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1BE6623" w14:textId="77777777" w:rsidR="0006454A" w:rsidRDefault="0006454A">
      <w:bookmarkStart w:id="0" w:name="_GoBack"/>
      <w:bookmarkEnd w:id="0"/>
    </w:p>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9A0AA8" w14:paraId="189D38D4" w14:textId="77777777" w:rsidTr="00FC2E07">
        <w:trPr>
          <w:cantSplit/>
          <w:trHeight w:hRule="exact" w:val="4800"/>
        </w:trPr>
        <w:tc>
          <w:tcPr>
            <w:tcW w:w="4253" w:type="dxa"/>
            <w:shd w:val="clear" w:color="auto" w:fill="auto"/>
            <w:vAlign w:val="bottom"/>
          </w:tcPr>
          <w:p w14:paraId="706120DB" w14:textId="77777777" w:rsidR="001B33AE" w:rsidRPr="009A0AA8" w:rsidRDefault="001B33AE" w:rsidP="00DF343F">
            <w:pPr>
              <w:pStyle w:val="TOC9"/>
              <w:jc w:val="both"/>
              <w:rPr>
                <w:rFonts w:ascii="Arial" w:hAnsi="Arial"/>
                <w:b/>
                <w:i/>
                <w:sz w:val="44"/>
                <w:szCs w:val="44"/>
              </w:rPr>
            </w:pPr>
          </w:p>
        </w:tc>
        <w:tc>
          <w:tcPr>
            <w:tcW w:w="4678" w:type="dxa"/>
            <w:shd w:val="clear" w:color="auto" w:fill="auto"/>
            <w:vAlign w:val="bottom"/>
          </w:tcPr>
          <w:p w14:paraId="59367116" w14:textId="0117DF60" w:rsidR="001B33AE" w:rsidRPr="00183E4D" w:rsidRDefault="00C22392" w:rsidP="00D358F5">
            <w:pPr>
              <w:pStyle w:val="PublicationTitle"/>
              <w:jc w:val="left"/>
              <w:rPr>
                <w:szCs w:val="44"/>
              </w:rPr>
            </w:pPr>
            <w:r>
              <w:rPr>
                <w:szCs w:val="44"/>
              </w:rPr>
              <w:t>Anti-Müllerian h</w:t>
            </w:r>
            <w:r w:rsidR="00D358F5" w:rsidRPr="00D358F5">
              <w:rPr>
                <w:szCs w:val="44"/>
              </w:rPr>
              <w:t>ormone (AMH) testing for female patients who will or have received gonadotoxic treatment</w:t>
            </w:r>
          </w:p>
        </w:tc>
      </w:tr>
      <w:tr w:rsidR="008F59A8" w:rsidRPr="009A0AA8" w14:paraId="4781CF1D" w14:textId="77777777" w:rsidTr="00E0760E">
        <w:trPr>
          <w:cantSplit/>
          <w:trHeight w:hRule="exact" w:val="2137"/>
        </w:trPr>
        <w:tc>
          <w:tcPr>
            <w:tcW w:w="4253" w:type="dxa"/>
            <w:shd w:val="clear" w:color="auto" w:fill="auto"/>
            <w:vAlign w:val="bottom"/>
          </w:tcPr>
          <w:p w14:paraId="6299DCB4" w14:textId="77777777" w:rsidR="008F59A8" w:rsidRPr="009A0AA8" w:rsidRDefault="008F59A8" w:rsidP="00DF343F">
            <w:pPr>
              <w:jc w:val="both"/>
              <w:rPr>
                <w:rFonts w:ascii="Arial" w:hAnsi="Arial"/>
                <w:b/>
                <w:sz w:val="32"/>
              </w:rPr>
            </w:pPr>
          </w:p>
        </w:tc>
        <w:tc>
          <w:tcPr>
            <w:tcW w:w="4678" w:type="dxa"/>
            <w:shd w:val="clear" w:color="auto" w:fill="auto"/>
            <w:vAlign w:val="bottom"/>
          </w:tcPr>
          <w:p w14:paraId="0A5DB1FC" w14:textId="77777777" w:rsidR="008F59A8" w:rsidRPr="009A0AA8" w:rsidRDefault="008F59A8" w:rsidP="009A0AA8">
            <w:pPr>
              <w:pStyle w:val="PublicationTitle"/>
              <w:pBdr>
                <w:bottom w:val="single" w:sz="4" w:space="1" w:color="auto"/>
              </w:pBdr>
              <w:jc w:val="left"/>
              <w:rPr>
                <w:szCs w:val="44"/>
              </w:rPr>
            </w:pPr>
          </w:p>
        </w:tc>
      </w:tr>
      <w:tr w:rsidR="008F59A8" w:rsidRPr="00183E4D" w14:paraId="1FE04436" w14:textId="77777777" w:rsidTr="00F43F3E">
        <w:trPr>
          <w:cantSplit/>
          <w:trHeight w:hRule="exact" w:val="1265"/>
        </w:trPr>
        <w:tc>
          <w:tcPr>
            <w:tcW w:w="4253" w:type="dxa"/>
            <w:shd w:val="clear" w:color="auto" w:fill="auto"/>
            <w:vAlign w:val="center"/>
          </w:tcPr>
          <w:p w14:paraId="59F358B6" w14:textId="19EC3A10" w:rsidR="008F59A8" w:rsidRPr="009A0AA8" w:rsidRDefault="008F59A8" w:rsidP="00DF343F">
            <w:pPr>
              <w:pStyle w:val="Date"/>
              <w:jc w:val="both"/>
              <w:rPr>
                <w:sz w:val="32"/>
              </w:rPr>
            </w:pPr>
          </w:p>
        </w:tc>
        <w:tc>
          <w:tcPr>
            <w:tcW w:w="4678" w:type="dxa"/>
            <w:shd w:val="clear" w:color="auto" w:fill="auto"/>
            <w:vAlign w:val="center"/>
          </w:tcPr>
          <w:p w14:paraId="68001172" w14:textId="77777777" w:rsidR="007518CF" w:rsidRPr="009A0AA8" w:rsidRDefault="00F90BF5" w:rsidP="00DF343F">
            <w:pPr>
              <w:pStyle w:val="Date"/>
              <w:jc w:val="both"/>
              <w:rPr>
                <w:sz w:val="32"/>
              </w:rPr>
            </w:pPr>
            <w:r w:rsidRPr="009A0AA8">
              <w:rPr>
                <w:sz w:val="32"/>
              </w:rPr>
              <w:t>January</w:t>
            </w:r>
            <w:r w:rsidR="00E91BE1" w:rsidRPr="009A0AA8">
              <w:rPr>
                <w:sz w:val="32"/>
              </w:rPr>
              <w:t xml:space="preserve"> </w:t>
            </w:r>
            <w:r w:rsidRPr="009A0AA8">
              <w:rPr>
                <w:sz w:val="32"/>
              </w:rPr>
              <w:t>2018</w:t>
            </w:r>
          </w:p>
          <w:p w14:paraId="5DEB1DBA" w14:textId="7AE96CCE" w:rsidR="001B004D" w:rsidRPr="009A0AA8" w:rsidRDefault="001B004D" w:rsidP="001B004D">
            <w:pPr>
              <w:rPr>
                <w:rFonts w:ascii="Arial" w:hAnsi="Arial"/>
                <w:b/>
                <w:sz w:val="32"/>
              </w:rPr>
            </w:pPr>
          </w:p>
        </w:tc>
      </w:tr>
      <w:tr w:rsidR="008F59A8" w:rsidRPr="00183E4D" w14:paraId="21231498" w14:textId="77777777" w:rsidTr="00E0760E">
        <w:trPr>
          <w:cantSplit/>
          <w:trHeight w:hRule="exact" w:val="998"/>
        </w:trPr>
        <w:tc>
          <w:tcPr>
            <w:tcW w:w="4253" w:type="dxa"/>
            <w:shd w:val="clear" w:color="auto" w:fill="auto"/>
          </w:tcPr>
          <w:p w14:paraId="79A584B6" w14:textId="77777777" w:rsidR="008F59A8" w:rsidRPr="009A0AA8" w:rsidRDefault="008F59A8" w:rsidP="00DF343F">
            <w:pPr>
              <w:jc w:val="both"/>
              <w:rPr>
                <w:rFonts w:ascii="Arial" w:hAnsi="Arial"/>
                <w:b/>
                <w:sz w:val="32"/>
              </w:rPr>
            </w:pPr>
          </w:p>
        </w:tc>
        <w:tc>
          <w:tcPr>
            <w:tcW w:w="4678" w:type="dxa"/>
            <w:shd w:val="clear" w:color="auto" w:fill="auto"/>
          </w:tcPr>
          <w:p w14:paraId="5DE123B1" w14:textId="77777777" w:rsidR="008F59A8" w:rsidRPr="009A0AA8" w:rsidRDefault="008F59A8" w:rsidP="00DF343F">
            <w:pPr>
              <w:jc w:val="both"/>
              <w:rPr>
                <w:rFonts w:ascii="Arial" w:hAnsi="Arial"/>
                <w:b/>
                <w:sz w:val="32"/>
              </w:rPr>
            </w:pPr>
          </w:p>
        </w:tc>
      </w:tr>
      <w:tr w:rsidR="008F59A8" w:rsidRPr="00183E4D" w14:paraId="416D148B" w14:textId="77777777" w:rsidTr="003A7C8F">
        <w:trPr>
          <w:cantSplit/>
          <w:trHeight w:hRule="exact" w:val="3094"/>
        </w:trPr>
        <w:tc>
          <w:tcPr>
            <w:tcW w:w="4253" w:type="dxa"/>
            <w:shd w:val="clear" w:color="auto" w:fill="auto"/>
          </w:tcPr>
          <w:p w14:paraId="59D9D625" w14:textId="77777777" w:rsidR="008F59A8" w:rsidRPr="00183E4D" w:rsidRDefault="008F59A8" w:rsidP="00DF343F">
            <w:pPr>
              <w:pStyle w:val="Sub-title"/>
              <w:jc w:val="both"/>
            </w:pPr>
          </w:p>
        </w:tc>
        <w:tc>
          <w:tcPr>
            <w:tcW w:w="4678" w:type="dxa"/>
            <w:shd w:val="clear" w:color="auto" w:fill="auto"/>
          </w:tcPr>
          <w:p w14:paraId="14F93BDC" w14:textId="77777777" w:rsidR="006D587E" w:rsidRPr="00337B19" w:rsidRDefault="008F59A8" w:rsidP="00DF343F">
            <w:pPr>
              <w:pStyle w:val="Sub-title"/>
              <w:jc w:val="both"/>
            </w:pPr>
            <w:r w:rsidRPr="00183E4D">
              <w:t xml:space="preserve">MSAC application </w:t>
            </w:r>
            <w:r w:rsidR="001C3A68" w:rsidRPr="00183E4D">
              <w:t>no</w:t>
            </w:r>
            <w:r w:rsidR="00DB1DDF" w:rsidRPr="00183E4D">
              <w:t>.</w:t>
            </w:r>
            <w:r w:rsidR="001C3A68" w:rsidRPr="00183E4D">
              <w:t xml:space="preserve"> </w:t>
            </w:r>
            <w:r w:rsidR="00D358F5">
              <w:t>1434</w:t>
            </w:r>
          </w:p>
          <w:p w14:paraId="64C67843" w14:textId="77777777" w:rsidR="009A0AA8" w:rsidRDefault="009A0AA8" w:rsidP="00DF343F">
            <w:pPr>
              <w:pStyle w:val="Sub-title"/>
              <w:jc w:val="both"/>
            </w:pPr>
          </w:p>
          <w:p w14:paraId="387A2869" w14:textId="5FF212C2" w:rsidR="008F59A8" w:rsidRPr="009A0AA8" w:rsidRDefault="00E0760E" w:rsidP="00DF343F">
            <w:pPr>
              <w:pStyle w:val="Sub-title"/>
              <w:jc w:val="both"/>
            </w:pPr>
            <w:r w:rsidRPr="00183E4D">
              <w:t>A</w:t>
            </w:r>
            <w:r w:rsidR="008F59A8" w:rsidRPr="00183E4D">
              <w:t>ssessment report</w:t>
            </w:r>
          </w:p>
        </w:tc>
      </w:tr>
    </w:tbl>
    <w:p w14:paraId="43E037F9" w14:textId="77777777" w:rsidR="003A7C8F" w:rsidRPr="00183E4D" w:rsidRDefault="003A7C8F" w:rsidP="00DF343F">
      <w:pPr>
        <w:spacing w:after="0" w:line="240" w:lineRule="auto"/>
        <w:jc w:val="both"/>
      </w:pPr>
      <w:r w:rsidRPr="00183E4D">
        <w:br w:type="page"/>
      </w:r>
    </w:p>
    <w:p w14:paraId="5A0E690B" w14:textId="570C395F" w:rsidR="00D11635" w:rsidRPr="004F2565" w:rsidRDefault="00F90BF5" w:rsidP="00073220">
      <w:pPr>
        <w:autoSpaceDE w:val="0"/>
        <w:autoSpaceDN w:val="0"/>
        <w:adjustRightInd w:val="0"/>
        <w:spacing w:line="240" w:lineRule="auto"/>
        <w:rPr>
          <w:rFonts w:asciiTheme="minorHAnsi" w:hAnsiTheme="minorHAnsi"/>
          <w:b/>
          <w:bCs/>
          <w:color w:val="000000"/>
          <w:sz w:val="20"/>
          <w:szCs w:val="20"/>
          <w:lang w:eastAsia="zh-TW"/>
        </w:rPr>
      </w:pP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Toc381796424"/>
      <w:r>
        <w:rPr>
          <w:b/>
          <w:bCs/>
          <w:color w:val="000000"/>
          <w:sz w:val="20"/>
          <w:szCs w:val="20"/>
          <w:lang w:eastAsia="zh-TW"/>
        </w:rPr>
        <w:lastRenderedPageBreak/>
        <w:t xml:space="preserve">© </w:t>
      </w:r>
      <w:r w:rsidRPr="009D0A93">
        <w:rPr>
          <w:rFonts w:asciiTheme="minorHAnsi" w:hAnsiTheme="minorHAnsi"/>
          <w:b/>
          <w:bCs/>
          <w:color w:val="000000"/>
          <w:sz w:val="20"/>
          <w:szCs w:val="20"/>
          <w:lang w:eastAsia="zh-TW"/>
        </w:rPr>
        <w:t>Commonwealth of Australia 2018</w:t>
      </w:r>
    </w:p>
    <w:p w14:paraId="4A480790" w14:textId="4AF5E7D9" w:rsidR="00D11635" w:rsidRPr="009D0A93" w:rsidRDefault="00D11635" w:rsidP="00073220">
      <w:pPr>
        <w:autoSpaceDE w:val="0"/>
        <w:autoSpaceDN w:val="0"/>
        <w:adjustRightInd w:val="0"/>
        <w:spacing w:line="240" w:lineRule="auto"/>
        <w:rPr>
          <w:rFonts w:asciiTheme="minorHAnsi" w:hAnsiTheme="minorHAnsi"/>
          <w:b/>
          <w:bCs/>
          <w:color w:val="000000"/>
          <w:sz w:val="20"/>
          <w:szCs w:val="20"/>
          <w:lang w:eastAsia="zh-TW"/>
        </w:rPr>
      </w:pPr>
      <w:r w:rsidRPr="009D0A93">
        <w:rPr>
          <w:rFonts w:asciiTheme="minorHAnsi" w:hAnsiTheme="minorHAnsi"/>
          <w:b/>
          <w:bCs/>
          <w:color w:val="000000"/>
          <w:sz w:val="20"/>
          <w:szCs w:val="20"/>
          <w:lang w:eastAsia="zh-TW"/>
        </w:rPr>
        <w:t>ISSN (Online) 1443-7139</w:t>
      </w:r>
    </w:p>
    <w:p w14:paraId="48570271" w14:textId="6A9D1C0D" w:rsidR="00D11635" w:rsidRPr="009D0A93" w:rsidRDefault="00D11635" w:rsidP="00073220">
      <w:pPr>
        <w:pStyle w:val="PlainText"/>
        <w:spacing w:after="240" w:line="240" w:lineRule="auto"/>
        <w:rPr>
          <w:rFonts w:asciiTheme="minorHAnsi" w:hAnsiTheme="minorHAnsi"/>
        </w:rPr>
      </w:pPr>
      <w:r w:rsidRPr="009D0A93">
        <w:rPr>
          <w:rFonts w:asciiTheme="minorHAnsi" w:hAnsiTheme="minorHAnsi"/>
          <w:b/>
          <w:bCs/>
          <w:color w:val="000000"/>
          <w:szCs w:val="20"/>
          <w:lang w:eastAsia="zh-TW"/>
        </w:rPr>
        <w:t xml:space="preserve">Internet site </w:t>
      </w:r>
      <w:hyperlink r:id="rId9" w:tooltip="Link to MSAC website" w:history="1">
        <w:r w:rsidRPr="009D0A93">
          <w:rPr>
            <w:rFonts w:asciiTheme="minorHAnsi" w:hAnsiTheme="minorHAnsi"/>
            <w:color w:val="0000FF"/>
            <w:szCs w:val="20"/>
            <w:u w:val="single"/>
            <w:lang w:eastAsia="zh-TW"/>
          </w:rPr>
          <w:t>http</w:t>
        </w:r>
        <w:r w:rsidR="009D0A93" w:rsidRPr="009D0A93">
          <w:rPr>
            <w:rFonts w:asciiTheme="minorHAnsi" w:hAnsiTheme="minorHAnsi"/>
            <w:color w:val="0000FF"/>
            <w:szCs w:val="20"/>
            <w:lang w:eastAsia="zh-TW"/>
          </w:rPr>
          <w:t>:</w:t>
        </w:r>
        <w:r w:rsidRPr="009D0A93">
          <w:rPr>
            <w:rFonts w:asciiTheme="minorHAnsi" w:hAnsiTheme="minorHAnsi"/>
            <w:color w:val="0000FF"/>
            <w:szCs w:val="20"/>
            <w:u w:val="single"/>
            <w:lang w:eastAsia="zh-TW"/>
          </w:rPr>
          <w:t>//www.msac.gov.au/</w:t>
        </w:r>
      </w:hyperlink>
      <w:r w:rsidR="00594CF6" w:rsidRPr="009D0A93">
        <w:rPr>
          <w:rFonts w:asciiTheme="minorHAnsi" w:hAnsiTheme="minorHAnsi"/>
        </w:rPr>
        <w:t>.</w:t>
      </w:r>
    </w:p>
    <w:p w14:paraId="43DCBA4B" w14:textId="56CC3B49" w:rsidR="00D11635" w:rsidRPr="00073220" w:rsidRDefault="00D11635" w:rsidP="00073220">
      <w:pPr>
        <w:pStyle w:val="PlainText"/>
        <w:spacing w:after="240" w:line="240" w:lineRule="auto"/>
        <w:rPr>
          <w:rFonts w:asciiTheme="minorHAnsi" w:hAnsiTheme="minorHAnsi"/>
        </w:rPr>
      </w:pPr>
      <w:r w:rsidRPr="009D0A93">
        <w:rPr>
          <w:rFonts w:asciiTheme="minorHAnsi" w:hAnsiTheme="minorHAnsi"/>
          <w:color w:val="00000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10" w:tooltip="Link to Attorney-General's Department's website" w:history="1">
        <w:r w:rsidRPr="009D0A93">
          <w:rPr>
            <w:rFonts w:asciiTheme="minorHAnsi" w:hAnsiTheme="minorHAnsi"/>
            <w:color w:val="0000FF"/>
            <w:szCs w:val="20"/>
            <w:u w:val="single"/>
            <w:lang w:eastAsia="zh-TW"/>
          </w:rPr>
          <w:t>http</w:t>
        </w:r>
        <w:r w:rsidR="009D0A93" w:rsidRPr="009D0A93">
          <w:rPr>
            <w:rFonts w:asciiTheme="minorHAnsi" w:hAnsiTheme="minorHAnsi"/>
            <w:color w:val="0000FF"/>
            <w:szCs w:val="20"/>
            <w:lang w:eastAsia="zh-TW"/>
          </w:rPr>
          <w:t>:</w:t>
        </w:r>
        <w:r w:rsidRPr="009D0A93">
          <w:rPr>
            <w:rFonts w:asciiTheme="minorHAnsi" w:hAnsiTheme="minorHAnsi"/>
            <w:color w:val="0000FF"/>
            <w:szCs w:val="20"/>
            <w:u w:val="single"/>
            <w:lang w:eastAsia="zh-TW"/>
          </w:rPr>
          <w:t>//www.ag.gov.au/</w:t>
        </w:r>
      </w:hyperlink>
      <w:r w:rsidRPr="009D0A93">
        <w:rPr>
          <w:rFonts w:asciiTheme="minorHAnsi" w:hAnsiTheme="minorHAnsi"/>
          <w:color w:val="0000FF"/>
          <w:szCs w:val="20"/>
          <w:lang w:eastAsia="zh-TW"/>
        </w:rPr>
        <w:t>.</w:t>
      </w:r>
    </w:p>
    <w:p w14:paraId="0A140015" w14:textId="740B35FC" w:rsidR="00D11635" w:rsidRPr="00073220" w:rsidRDefault="00D11635" w:rsidP="00073220">
      <w:pPr>
        <w:pStyle w:val="PlainText"/>
        <w:spacing w:after="240" w:line="240" w:lineRule="auto"/>
        <w:rPr>
          <w:rFonts w:asciiTheme="minorHAnsi" w:hAnsiTheme="minorHAnsi"/>
        </w:rPr>
      </w:pPr>
      <w:r w:rsidRPr="009D0A93">
        <w:rPr>
          <w:rFonts w:asciiTheme="minorHAnsi" w:hAnsiTheme="minorHAnsi"/>
          <w:color w:val="000000"/>
          <w:szCs w:val="20"/>
          <w:lang w:eastAsia="zh-TW"/>
        </w:rPr>
        <w:t>Electronic copies of the report can be obtained from the Medical Service Advisory Committee’s Internet site at</w:t>
      </w:r>
      <w:r w:rsidRPr="009D0A93">
        <w:rPr>
          <w:rFonts w:asciiTheme="minorHAnsi" w:hAnsiTheme="minorHAnsi"/>
          <w:szCs w:val="20"/>
          <w:lang w:eastAsia="zh-TW"/>
        </w:rPr>
        <w:t xml:space="preserve"> </w:t>
      </w:r>
      <w:hyperlink r:id="rId11" w:tooltip="Link to MSAC website" w:history="1">
        <w:r w:rsidRPr="009D0A93">
          <w:rPr>
            <w:rFonts w:asciiTheme="minorHAnsi" w:hAnsiTheme="minorHAnsi"/>
            <w:color w:val="0000FF"/>
            <w:szCs w:val="20"/>
            <w:u w:val="single"/>
            <w:lang w:eastAsia="zh-TW"/>
          </w:rPr>
          <w:t>http</w:t>
        </w:r>
        <w:r w:rsidR="009D0A93" w:rsidRPr="009D0A93">
          <w:rPr>
            <w:rFonts w:asciiTheme="minorHAnsi" w:hAnsiTheme="minorHAnsi"/>
            <w:color w:val="0000FF"/>
            <w:szCs w:val="20"/>
            <w:lang w:eastAsia="zh-TW"/>
          </w:rPr>
          <w:t>:</w:t>
        </w:r>
        <w:r w:rsidRPr="009D0A93">
          <w:rPr>
            <w:rFonts w:asciiTheme="minorHAnsi" w:hAnsiTheme="minorHAnsi"/>
            <w:color w:val="0000FF"/>
            <w:szCs w:val="20"/>
            <w:u w:val="single"/>
            <w:lang w:eastAsia="zh-TW"/>
          </w:rPr>
          <w:t>//www.msac.gov.au/</w:t>
        </w:r>
      </w:hyperlink>
      <w:r w:rsidR="00594CF6" w:rsidRPr="009D0A93">
        <w:rPr>
          <w:rFonts w:asciiTheme="minorHAnsi" w:hAnsiTheme="minorHAnsi"/>
        </w:rPr>
        <w:t>.</w:t>
      </w:r>
    </w:p>
    <w:p w14:paraId="4A8A070A" w14:textId="18BEFD29" w:rsidR="00D11635" w:rsidRPr="00073220" w:rsidRDefault="00D11635" w:rsidP="00073220">
      <w:pPr>
        <w:autoSpaceDE w:val="0"/>
        <w:autoSpaceDN w:val="0"/>
        <w:adjustRightInd w:val="0"/>
        <w:spacing w:line="240" w:lineRule="auto"/>
        <w:rPr>
          <w:rFonts w:asciiTheme="minorHAnsi" w:hAnsiTheme="minorHAnsi"/>
          <w:color w:val="000000"/>
          <w:sz w:val="20"/>
          <w:szCs w:val="20"/>
        </w:rPr>
      </w:pPr>
      <w:r w:rsidRPr="009D0A93">
        <w:rPr>
          <w:rFonts w:asciiTheme="minorHAnsi" w:hAnsiTheme="minorHAnsi"/>
          <w:color w:val="000000"/>
          <w:sz w:val="20"/>
          <w:szCs w:val="20"/>
        </w:rPr>
        <w:t xml:space="preserve">Enquiries about the content of the report should be emailed to </w:t>
      </w:r>
      <w:hyperlink r:id="rId12" w:history="1">
        <w:r w:rsidRPr="009D0A93">
          <w:rPr>
            <w:rFonts w:asciiTheme="minorHAnsi" w:hAnsiTheme="minorHAnsi"/>
            <w:color w:val="0000FF"/>
            <w:sz w:val="20"/>
            <w:szCs w:val="20"/>
            <w:u w:val="single"/>
          </w:rPr>
          <w:t>hta@health.gov.au</w:t>
        </w:r>
      </w:hyperlink>
      <w:r w:rsidRPr="009D0A93">
        <w:rPr>
          <w:rFonts w:asciiTheme="minorHAnsi" w:hAnsiTheme="minorHAnsi"/>
          <w:color w:val="000000"/>
          <w:sz w:val="20"/>
          <w:szCs w:val="20"/>
        </w:rPr>
        <w:t>.</w:t>
      </w:r>
    </w:p>
    <w:p w14:paraId="734AC28F" w14:textId="238B881F" w:rsidR="00D11635" w:rsidRPr="00FC79BA" w:rsidRDefault="00D11635" w:rsidP="00073220">
      <w:pPr>
        <w:autoSpaceDE w:val="0"/>
        <w:autoSpaceDN w:val="0"/>
        <w:adjustRightInd w:val="0"/>
        <w:spacing w:line="240" w:lineRule="auto"/>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w:t>
      </w:r>
      <w:r w:rsidR="00DF36E4">
        <w:rPr>
          <w:color w:val="000000"/>
          <w:sz w:val="20"/>
          <w:szCs w:val="20"/>
          <w:lang w:eastAsia="zh-TW"/>
        </w:rPr>
        <w:t>-</w:t>
      </w:r>
      <w:r w:rsidRPr="00FC79BA">
        <w:rPr>
          <w:color w:val="000000"/>
          <w:sz w:val="20"/>
          <w:szCs w:val="20"/>
          <w:lang w:eastAsia="zh-TW"/>
        </w:rPr>
        <w:t>effectiveness. This advice will help to inform government decisions about which medical services should attract funding under Medicare.</w:t>
      </w:r>
    </w:p>
    <w:p w14:paraId="57FCBDE3" w14:textId="6DB8B714" w:rsidR="00D11635" w:rsidRPr="00073220" w:rsidRDefault="00D11635" w:rsidP="00073220">
      <w:pPr>
        <w:autoSpaceDE w:val="0"/>
        <w:autoSpaceDN w:val="0"/>
        <w:adjustRightInd w:val="0"/>
        <w:spacing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14:paraId="23C12255" w14:textId="2D833D5F" w:rsidR="00D11635" w:rsidRPr="00FC79BA" w:rsidRDefault="00D11635" w:rsidP="00073220">
      <w:pPr>
        <w:autoSpaceDE w:val="0"/>
        <w:autoSpaceDN w:val="0"/>
        <w:adjustRightInd w:val="0"/>
        <w:spacing w:line="240" w:lineRule="auto"/>
        <w:rPr>
          <w:sz w:val="20"/>
          <w:szCs w:val="20"/>
        </w:rPr>
      </w:pPr>
      <w:r w:rsidRPr="00FC79BA">
        <w:rPr>
          <w:sz w:val="20"/>
          <w:szCs w:val="20"/>
        </w:rPr>
        <w:t xml:space="preserve">This report was prepared by </w:t>
      </w:r>
      <w:r w:rsidR="00825B3F">
        <w:rPr>
          <w:sz w:val="20"/>
          <w:szCs w:val="20"/>
        </w:rPr>
        <w:t>Ms Sharon Kessels, Dr Ruchi Mittal, Dr Judy Morona, Ms Skye</w:t>
      </w:r>
      <w:r w:rsidR="00C22CC2">
        <w:rPr>
          <w:sz w:val="20"/>
          <w:szCs w:val="20"/>
        </w:rPr>
        <w:t xml:space="preserve"> Newton, Ms Camille Schubert, Ms</w:t>
      </w:r>
      <w:r w:rsidR="0023752D">
        <w:rPr>
          <w:sz w:val="20"/>
          <w:szCs w:val="20"/>
        </w:rPr>
        <w:t xml:space="preserve"> Jo Milverton and Prof</w:t>
      </w:r>
      <w:r w:rsidR="00825B3F">
        <w:rPr>
          <w:sz w:val="20"/>
          <w:szCs w:val="20"/>
        </w:rPr>
        <w:t xml:space="preserve"> Tracy Merlin </w:t>
      </w:r>
      <w:r w:rsidR="00825B3F" w:rsidRPr="00FC79BA">
        <w:rPr>
          <w:sz w:val="20"/>
          <w:szCs w:val="20"/>
        </w:rPr>
        <w:t xml:space="preserve">from </w:t>
      </w:r>
      <w:r w:rsidR="00825B3F">
        <w:rPr>
          <w:sz w:val="20"/>
          <w:szCs w:val="20"/>
        </w:rPr>
        <w:t>Adelaide Health Technology Assessment (AHTA)</w:t>
      </w:r>
      <w:r w:rsidRPr="00FC79BA">
        <w:rPr>
          <w:sz w:val="20"/>
          <w:szCs w:val="20"/>
        </w:rPr>
        <w:t xml:space="preserve">. Clinical advice was provided by </w:t>
      </w:r>
      <w:r w:rsidR="00825B3F">
        <w:rPr>
          <w:sz w:val="20"/>
          <w:szCs w:val="20"/>
        </w:rPr>
        <w:t xml:space="preserve">Dr Antoinette Anazodo, </w:t>
      </w:r>
      <w:r w:rsidR="0023752D">
        <w:rPr>
          <w:sz w:val="20"/>
          <w:szCs w:val="20"/>
        </w:rPr>
        <w:t>A/</w:t>
      </w:r>
      <w:r w:rsidR="00825B3F">
        <w:rPr>
          <w:sz w:val="20"/>
          <w:szCs w:val="20"/>
        </w:rPr>
        <w:t>Pro</w:t>
      </w:r>
      <w:r w:rsidR="0023752D">
        <w:rPr>
          <w:sz w:val="20"/>
          <w:szCs w:val="20"/>
        </w:rPr>
        <w:t>f</w:t>
      </w:r>
      <w:r w:rsidR="00825B3F">
        <w:rPr>
          <w:sz w:val="20"/>
          <w:szCs w:val="20"/>
        </w:rPr>
        <w:t xml:space="preserve"> Catharyn Stern, </w:t>
      </w:r>
      <w:r w:rsidR="0023752D">
        <w:rPr>
          <w:sz w:val="20"/>
          <w:szCs w:val="20"/>
        </w:rPr>
        <w:t>Prof</w:t>
      </w:r>
      <w:r w:rsidR="00052C4C">
        <w:rPr>
          <w:sz w:val="20"/>
          <w:szCs w:val="20"/>
        </w:rPr>
        <w:t xml:space="preserve"> William Ledger and </w:t>
      </w:r>
      <w:r w:rsidR="009C00C7">
        <w:rPr>
          <w:sz w:val="20"/>
          <w:szCs w:val="20"/>
        </w:rPr>
        <w:t>Dr David Molloy</w:t>
      </w:r>
      <w:r w:rsidRPr="00FC79BA">
        <w:rPr>
          <w:sz w:val="20"/>
          <w:szCs w:val="20"/>
        </w:rPr>
        <w:t>. The report was commissioned by the Australian G</w:t>
      </w:r>
      <w:r w:rsidR="009D0A93">
        <w:rPr>
          <w:sz w:val="20"/>
          <w:szCs w:val="20"/>
        </w:rPr>
        <w:t>overnment Department of Health.</w:t>
      </w:r>
      <w:r w:rsidR="002862C6">
        <w:rPr>
          <w:sz w:val="20"/>
          <w:szCs w:val="20"/>
        </w:rPr>
        <w:t xml:space="preserve"> The report was edited by Mr Ben Ellery.</w:t>
      </w:r>
    </w:p>
    <w:p w14:paraId="43CF3309" w14:textId="5D33279E" w:rsidR="00D11635" w:rsidRPr="00FC79BA" w:rsidRDefault="00D11635" w:rsidP="00073220">
      <w:pPr>
        <w:autoSpaceDE w:val="0"/>
        <w:autoSpaceDN w:val="0"/>
        <w:adjustRightInd w:val="0"/>
        <w:spacing w:line="240" w:lineRule="auto"/>
        <w:rPr>
          <w:rFonts w:cs="Humanist521BT-Roman"/>
          <w:color w:val="231F20"/>
          <w:sz w:val="20"/>
          <w:szCs w:val="20"/>
        </w:rPr>
      </w:pPr>
      <w:r w:rsidRPr="00FC79BA">
        <w:rPr>
          <w:rFonts w:cs="Humanist521BT-Roman"/>
          <w:color w:val="231F20"/>
          <w:sz w:val="20"/>
          <w:szCs w:val="20"/>
        </w:rPr>
        <w:t>The suggested citation for this document is:</w:t>
      </w:r>
    </w:p>
    <w:p w14:paraId="5015BF57" w14:textId="17B1CBFE" w:rsidR="00D11635" w:rsidRPr="00073220" w:rsidRDefault="00825B3F" w:rsidP="00073220">
      <w:pPr>
        <w:autoSpaceDE w:val="0"/>
        <w:autoSpaceDN w:val="0"/>
        <w:adjustRightInd w:val="0"/>
        <w:spacing w:line="240" w:lineRule="auto"/>
        <w:rPr>
          <w:sz w:val="20"/>
          <w:szCs w:val="20"/>
        </w:rPr>
      </w:pPr>
      <w:r>
        <w:rPr>
          <w:sz w:val="20"/>
          <w:szCs w:val="20"/>
        </w:rPr>
        <w:t>Kessels S, Mittal R, Morona J, Newton S, Schubert C, Milverton J, Merlin T</w:t>
      </w:r>
      <w:r w:rsidR="00D11635" w:rsidRPr="00FC79BA">
        <w:rPr>
          <w:sz w:val="20"/>
          <w:szCs w:val="20"/>
        </w:rPr>
        <w:t>. (</w:t>
      </w:r>
      <w:r w:rsidR="00D11635" w:rsidRPr="00825B3F">
        <w:rPr>
          <w:sz w:val="20"/>
          <w:szCs w:val="20"/>
        </w:rPr>
        <w:t>20</w:t>
      </w:r>
      <w:r w:rsidRPr="00825B3F">
        <w:rPr>
          <w:sz w:val="20"/>
          <w:szCs w:val="20"/>
        </w:rPr>
        <w:t>18</w:t>
      </w:r>
      <w:r w:rsidR="00D11635" w:rsidRPr="00825B3F">
        <w:rPr>
          <w:sz w:val="20"/>
          <w:szCs w:val="20"/>
        </w:rPr>
        <w:t>).</w:t>
      </w:r>
      <w:r w:rsidRPr="00825B3F">
        <w:t xml:space="preserve"> </w:t>
      </w:r>
      <w:r w:rsidR="00782695">
        <w:rPr>
          <w:sz w:val="20"/>
          <w:szCs w:val="20"/>
        </w:rPr>
        <w:t>Anti-Müllerian h</w:t>
      </w:r>
      <w:r w:rsidRPr="00825B3F">
        <w:rPr>
          <w:sz w:val="20"/>
          <w:szCs w:val="20"/>
        </w:rPr>
        <w:t>ormone (AMH) testing for female patients who will or have received gonadotoxic treatment</w:t>
      </w:r>
      <w:r>
        <w:rPr>
          <w:sz w:val="20"/>
          <w:szCs w:val="20"/>
        </w:rPr>
        <w:t xml:space="preserve">. MSAC </w:t>
      </w:r>
      <w:r w:rsidR="0064098D">
        <w:rPr>
          <w:sz w:val="20"/>
          <w:szCs w:val="20"/>
        </w:rPr>
        <w:t>a</w:t>
      </w:r>
      <w:r>
        <w:rPr>
          <w:sz w:val="20"/>
          <w:szCs w:val="20"/>
        </w:rPr>
        <w:t>pplication 1434</w:t>
      </w:r>
      <w:r w:rsidR="00D11635" w:rsidRPr="00FC79BA">
        <w:rPr>
          <w:sz w:val="20"/>
          <w:szCs w:val="20"/>
        </w:rPr>
        <w:t>, Assessment Report. Commonwealth of Australia, Canberra, ACT.</w:t>
      </w:r>
    </w:p>
    <w:p w14:paraId="606BA464" w14:textId="77777777" w:rsidR="0013076C" w:rsidRDefault="00052C4C" w:rsidP="00DF343F">
      <w:pPr>
        <w:jc w:val="both"/>
        <w:rPr>
          <w:sz w:val="20"/>
          <w:szCs w:val="20"/>
        </w:rPr>
        <w:sectPr w:rsidR="0013076C" w:rsidSect="0013076C">
          <w:headerReference w:type="default" r:id="rId13"/>
          <w:footerReference w:type="default" r:id="rId14"/>
          <w:type w:val="oddPage"/>
          <w:pgSz w:w="11906" w:h="16838"/>
          <w:pgMar w:top="1440" w:right="1440" w:bottom="1440" w:left="1440" w:header="720" w:footer="720" w:gutter="0"/>
          <w:paperSrc w:first="2" w:other="2"/>
          <w:pgNumType w:fmt="lowerRoman" w:start="1"/>
          <w:cols w:space="720"/>
          <w:titlePg/>
          <w:docGrid w:linePitch="299"/>
        </w:sectPr>
      </w:pPr>
      <w:r>
        <w:rPr>
          <w:noProof/>
          <w:sz w:val="20"/>
          <w:szCs w:val="20"/>
        </w:rPr>
        <w:drawing>
          <wp:inline distT="0" distB="0" distL="0" distR="0" wp14:anchorId="0C8DA066" wp14:editId="60167789">
            <wp:extent cx="2420620" cy="1542415"/>
            <wp:effectExtent l="0" t="0" r="0" b="635"/>
            <wp:docPr id="3" name="Picture 3" descr="IPT Mark INAHTA" title="IPT Mark INA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1542415"/>
                    </a:xfrm>
                    <a:prstGeom prst="rect">
                      <a:avLst/>
                    </a:prstGeom>
                    <a:noFill/>
                  </pic:spPr>
                </pic:pic>
              </a:graphicData>
            </a:graphic>
          </wp:inline>
        </w:drawing>
      </w:r>
      <w:r w:rsidR="0013076C">
        <w:rPr>
          <w:sz w:val="20"/>
          <w:szCs w:val="20"/>
        </w:rPr>
        <w:br w:type="textWrapping" w:clear="all"/>
      </w:r>
    </w:p>
    <w:p w14:paraId="3C773EBB" w14:textId="79E94D24" w:rsidR="008F59A8" w:rsidRPr="00183E4D" w:rsidRDefault="008F59A8" w:rsidP="00DF343F">
      <w:pPr>
        <w:pStyle w:val="Heading1"/>
        <w:jc w:val="both"/>
      </w:pPr>
      <w:bookmarkStart w:id="14" w:name="_Toc395200735"/>
      <w:bookmarkStart w:id="15" w:name="_Toc399247190"/>
      <w:bookmarkStart w:id="16" w:name="_Toc502832871"/>
      <w:r w:rsidRPr="00183E4D">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sdt>
      <w:sdtPr>
        <w:rPr>
          <w:b w:val="0"/>
          <w:noProof w:val="0"/>
        </w:rPr>
        <w:id w:val="-1664701443"/>
        <w:docPartObj>
          <w:docPartGallery w:val="Table of Contents"/>
          <w:docPartUnique/>
        </w:docPartObj>
      </w:sdtPr>
      <w:sdtEndPr>
        <w:rPr>
          <w:bCs/>
        </w:rPr>
      </w:sdtEndPr>
      <w:sdtContent>
        <w:p w14:paraId="5D7C4873" w14:textId="3D230DAE" w:rsidR="002B3915" w:rsidRDefault="00F81651">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502832871" w:history="1">
            <w:r w:rsidR="002B3915" w:rsidRPr="00E878C3">
              <w:rPr>
                <w:rStyle w:val="Hyperlink"/>
              </w:rPr>
              <w:t>Contents</w:t>
            </w:r>
            <w:r w:rsidR="002B3915">
              <w:rPr>
                <w:webHidden/>
              </w:rPr>
              <w:tab/>
            </w:r>
            <w:r w:rsidR="00E54A6E">
              <w:rPr>
                <w:webHidden/>
              </w:rPr>
              <w:tab/>
            </w:r>
            <w:r w:rsidR="002B3915">
              <w:rPr>
                <w:webHidden/>
              </w:rPr>
              <w:fldChar w:fldCharType="begin"/>
            </w:r>
            <w:r w:rsidR="002B3915">
              <w:rPr>
                <w:webHidden/>
              </w:rPr>
              <w:instrText xml:space="preserve"> PAGEREF _Toc502832871 \h </w:instrText>
            </w:r>
            <w:r w:rsidR="002B3915">
              <w:rPr>
                <w:webHidden/>
              </w:rPr>
            </w:r>
            <w:r w:rsidR="002B3915">
              <w:rPr>
                <w:webHidden/>
              </w:rPr>
              <w:fldChar w:fldCharType="separate"/>
            </w:r>
            <w:r w:rsidR="00AC4BE5">
              <w:rPr>
                <w:webHidden/>
              </w:rPr>
              <w:t>iii</w:t>
            </w:r>
            <w:r w:rsidR="002B3915">
              <w:rPr>
                <w:webHidden/>
              </w:rPr>
              <w:fldChar w:fldCharType="end"/>
            </w:r>
          </w:hyperlink>
        </w:p>
        <w:p w14:paraId="03F43946" w14:textId="77777777" w:rsidR="002B3915" w:rsidRDefault="00AC4BE5">
          <w:pPr>
            <w:pStyle w:val="TOC2"/>
            <w:rPr>
              <w:rFonts w:asciiTheme="minorHAnsi" w:eastAsiaTheme="minorEastAsia" w:hAnsiTheme="minorHAnsi" w:cstheme="minorBidi"/>
            </w:rPr>
          </w:pPr>
          <w:hyperlink w:anchor="_Toc502832872" w:history="1">
            <w:r w:rsidR="002B3915" w:rsidRPr="00E878C3">
              <w:rPr>
                <w:rStyle w:val="Hyperlink"/>
              </w:rPr>
              <w:t>Tables</w:t>
            </w:r>
            <w:r w:rsidR="002B3915">
              <w:rPr>
                <w:webHidden/>
              </w:rPr>
              <w:tab/>
            </w:r>
            <w:r w:rsidR="002B3915">
              <w:rPr>
                <w:webHidden/>
              </w:rPr>
              <w:fldChar w:fldCharType="begin"/>
            </w:r>
            <w:r w:rsidR="002B3915">
              <w:rPr>
                <w:webHidden/>
              </w:rPr>
              <w:instrText xml:space="preserve"> PAGEREF _Toc502832872 \h </w:instrText>
            </w:r>
            <w:r w:rsidR="002B3915">
              <w:rPr>
                <w:webHidden/>
              </w:rPr>
            </w:r>
            <w:r w:rsidR="002B3915">
              <w:rPr>
                <w:webHidden/>
              </w:rPr>
              <w:fldChar w:fldCharType="separate"/>
            </w:r>
            <w:r>
              <w:rPr>
                <w:webHidden/>
              </w:rPr>
              <w:t>viii</w:t>
            </w:r>
            <w:r w:rsidR="002B3915">
              <w:rPr>
                <w:webHidden/>
              </w:rPr>
              <w:fldChar w:fldCharType="end"/>
            </w:r>
          </w:hyperlink>
        </w:p>
        <w:p w14:paraId="4B45EF92" w14:textId="77777777" w:rsidR="002B3915" w:rsidRDefault="00AC4BE5">
          <w:pPr>
            <w:pStyle w:val="TOC2"/>
            <w:rPr>
              <w:rFonts w:asciiTheme="minorHAnsi" w:eastAsiaTheme="minorEastAsia" w:hAnsiTheme="minorHAnsi" w:cstheme="minorBidi"/>
            </w:rPr>
          </w:pPr>
          <w:hyperlink w:anchor="_Toc502832873" w:history="1">
            <w:r w:rsidR="002B3915" w:rsidRPr="00E878C3">
              <w:rPr>
                <w:rStyle w:val="Hyperlink"/>
              </w:rPr>
              <w:t>Figures</w:t>
            </w:r>
            <w:r w:rsidR="002B3915">
              <w:rPr>
                <w:webHidden/>
              </w:rPr>
              <w:tab/>
            </w:r>
            <w:r w:rsidR="002B3915">
              <w:rPr>
                <w:webHidden/>
              </w:rPr>
              <w:fldChar w:fldCharType="begin"/>
            </w:r>
            <w:r w:rsidR="002B3915">
              <w:rPr>
                <w:webHidden/>
              </w:rPr>
              <w:instrText xml:space="preserve"> PAGEREF _Toc502832873 \h </w:instrText>
            </w:r>
            <w:r w:rsidR="002B3915">
              <w:rPr>
                <w:webHidden/>
              </w:rPr>
            </w:r>
            <w:r w:rsidR="002B3915">
              <w:rPr>
                <w:webHidden/>
              </w:rPr>
              <w:fldChar w:fldCharType="separate"/>
            </w:r>
            <w:r>
              <w:rPr>
                <w:webHidden/>
              </w:rPr>
              <w:t>xiii</w:t>
            </w:r>
            <w:r w:rsidR="002B3915">
              <w:rPr>
                <w:webHidden/>
              </w:rPr>
              <w:fldChar w:fldCharType="end"/>
            </w:r>
          </w:hyperlink>
        </w:p>
        <w:p w14:paraId="55049645" w14:textId="77777777" w:rsidR="002B3915" w:rsidRDefault="00AC4BE5">
          <w:pPr>
            <w:pStyle w:val="TOC1"/>
            <w:rPr>
              <w:rFonts w:asciiTheme="minorHAnsi" w:eastAsiaTheme="minorEastAsia" w:hAnsiTheme="minorHAnsi" w:cstheme="minorBidi"/>
              <w:b w:val="0"/>
            </w:rPr>
          </w:pPr>
          <w:hyperlink w:anchor="_Toc502832874" w:history="1">
            <w:r w:rsidR="002B3915" w:rsidRPr="00E878C3">
              <w:rPr>
                <w:rStyle w:val="Hyperlink"/>
              </w:rPr>
              <w:t>Executive summary</w:t>
            </w:r>
            <w:r w:rsidR="002B3915">
              <w:rPr>
                <w:webHidden/>
              </w:rPr>
              <w:tab/>
            </w:r>
            <w:r w:rsidR="002B3915">
              <w:rPr>
                <w:webHidden/>
              </w:rPr>
              <w:fldChar w:fldCharType="begin"/>
            </w:r>
            <w:r w:rsidR="002B3915">
              <w:rPr>
                <w:webHidden/>
              </w:rPr>
              <w:instrText xml:space="preserve"> PAGEREF _Toc502832874 \h </w:instrText>
            </w:r>
            <w:r w:rsidR="002B3915">
              <w:rPr>
                <w:webHidden/>
              </w:rPr>
            </w:r>
            <w:r w:rsidR="002B3915">
              <w:rPr>
                <w:webHidden/>
              </w:rPr>
              <w:fldChar w:fldCharType="separate"/>
            </w:r>
            <w:r>
              <w:rPr>
                <w:webHidden/>
              </w:rPr>
              <w:t>1</w:t>
            </w:r>
            <w:r w:rsidR="002B3915">
              <w:rPr>
                <w:webHidden/>
              </w:rPr>
              <w:fldChar w:fldCharType="end"/>
            </w:r>
          </w:hyperlink>
        </w:p>
        <w:p w14:paraId="2C05B3ED" w14:textId="77777777" w:rsidR="002B3915" w:rsidRDefault="00AC4BE5">
          <w:pPr>
            <w:pStyle w:val="TOC2"/>
            <w:rPr>
              <w:rFonts w:asciiTheme="minorHAnsi" w:eastAsiaTheme="minorEastAsia" w:hAnsiTheme="minorHAnsi" w:cstheme="minorBidi"/>
            </w:rPr>
          </w:pPr>
          <w:hyperlink w:anchor="_Toc502832875" w:history="1">
            <w:r w:rsidR="002B3915" w:rsidRPr="00E878C3">
              <w:rPr>
                <w:rStyle w:val="Hyperlink"/>
              </w:rPr>
              <w:t>Anti-Müllerian hormone testing for female patients preceding or following gonadotoxic treatment</w:t>
            </w:r>
            <w:r w:rsidR="002B3915">
              <w:rPr>
                <w:webHidden/>
              </w:rPr>
              <w:tab/>
            </w:r>
            <w:r w:rsidR="002B3915">
              <w:rPr>
                <w:webHidden/>
              </w:rPr>
              <w:fldChar w:fldCharType="begin"/>
            </w:r>
            <w:r w:rsidR="002B3915">
              <w:rPr>
                <w:webHidden/>
              </w:rPr>
              <w:instrText xml:space="preserve"> PAGEREF _Toc502832875 \h </w:instrText>
            </w:r>
            <w:r w:rsidR="002B3915">
              <w:rPr>
                <w:webHidden/>
              </w:rPr>
            </w:r>
            <w:r w:rsidR="002B3915">
              <w:rPr>
                <w:webHidden/>
              </w:rPr>
              <w:fldChar w:fldCharType="separate"/>
            </w:r>
            <w:r>
              <w:rPr>
                <w:webHidden/>
              </w:rPr>
              <w:t>1</w:t>
            </w:r>
            <w:r w:rsidR="002B3915">
              <w:rPr>
                <w:webHidden/>
              </w:rPr>
              <w:fldChar w:fldCharType="end"/>
            </w:r>
          </w:hyperlink>
        </w:p>
        <w:p w14:paraId="71D46349" w14:textId="77777777" w:rsidR="002B3915" w:rsidRDefault="00AC4BE5">
          <w:pPr>
            <w:pStyle w:val="TOC3"/>
            <w:rPr>
              <w:rFonts w:asciiTheme="minorHAnsi" w:eastAsiaTheme="minorEastAsia" w:hAnsiTheme="minorHAnsi" w:cstheme="minorBidi"/>
            </w:rPr>
          </w:pPr>
          <w:hyperlink w:anchor="_Toc502832876" w:history="1">
            <w:r w:rsidR="002B3915" w:rsidRPr="00E878C3">
              <w:rPr>
                <w:rStyle w:val="Hyperlink"/>
              </w:rPr>
              <w:t>Alignment with agreed PICO Confirmation</w:t>
            </w:r>
            <w:r w:rsidR="002B3915">
              <w:rPr>
                <w:webHidden/>
              </w:rPr>
              <w:tab/>
            </w:r>
            <w:r w:rsidR="002B3915">
              <w:rPr>
                <w:webHidden/>
              </w:rPr>
              <w:fldChar w:fldCharType="begin"/>
            </w:r>
            <w:r w:rsidR="002B3915">
              <w:rPr>
                <w:webHidden/>
              </w:rPr>
              <w:instrText xml:space="preserve"> PAGEREF _Toc502832876 \h </w:instrText>
            </w:r>
            <w:r w:rsidR="002B3915">
              <w:rPr>
                <w:webHidden/>
              </w:rPr>
            </w:r>
            <w:r w:rsidR="002B3915">
              <w:rPr>
                <w:webHidden/>
              </w:rPr>
              <w:fldChar w:fldCharType="separate"/>
            </w:r>
            <w:r>
              <w:rPr>
                <w:webHidden/>
              </w:rPr>
              <w:t>2</w:t>
            </w:r>
            <w:r w:rsidR="002B3915">
              <w:rPr>
                <w:webHidden/>
              </w:rPr>
              <w:fldChar w:fldCharType="end"/>
            </w:r>
          </w:hyperlink>
        </w:p>
        <w:p w14:paraId="7BF1DFB4" w14:textId="77777777" w:rsidR="002B3915" w:rsidRDefault="00AC4BE5">
          <w:pPr>
            <w:pStyle w:val="TOC3"/>
            <w:rPr>
              <w:rFonts w:asciiTheme="minorHAnsi" w:eastAsiaTheme="minorEastAsia" w:hAnsiTheme="minorHAnsi" w:cstheme="minorBidi"/>
            </w:rPr>
          </w:pPr>
          <w:hyperlink w:anchor="_Toc502832877" w:history="1">
            <w:r w:rsidR="002B3915" w:rsidRPr="00E878C3">
              <w:rPr>
                <w:rStyle w:val="Hyperlink"/>
              </w:rPr>
              <w:t>Proposed medical service</w:t>
            </w:r>
            <w:r w:rsidR="002B3915">
              <w:rPr>
                <w:webHidden/>
              </w:rPr>
              <w:tab/>
            </w:r>
            <w:r w:rsidR="002B3915">
              <w:rPr>
                <w:webHidden/>
              </w:rPr>
              <w:fldChar w:fldCharType="begin"/>
            </w:r>
            <w:r w:rsidR="002B3915">
              <w:rPr>
                <w:webHidden/>
              </w:rPr>
              <w:instrText xml:space="preserve"> PAGEREF _Toc502832877 \h </w:instrText>
            </w:r>
            <w:r w:rsidR="002B3915">
              <w:rPr>
                <w:webHidden/>
              </w:rPr>
            </w:r>
            <w:r w:rsidR="002B3915">
              <w:rPr>
                <w:webHidden/>
              </w:rPr>
              <w:fldChar w:fldCharType="separate"/>
            </w:r>
            <w:r>
              <w:rPr>
                <w:webHidden/>
              </w:rPr>
              <w:t>2</w:t>
            </w:r>
            <w:r w:rsidR="002B3915">
              <w:rPr>
                <w:webHidden/>
              </w:rPr>
              <w:fldChar w:fldCharType="end"/>
            </w:r>
          </w:hyperlink>
        </w:p>
        <w:p w14:paraId="091FE3B8" w14:textId="77777777" w:rsidR="002B3915" w:rsidRDefault="00AC4BE5">
          <w:pPr>
            <w:pStyle w:val="TOC3"/>
            <w:rPr>
              <w:rFonts w:asciiTheme="minorHAnsi" w:eastAsiaTheme="minorEastAsia" w:hAnsiTheme="minorHAnsi" w:cstheme="minorBidi"/>
            </w:rPr>
          </w:pPr>
          <w:hyperlink w:anchor="_Toc502832878" w:history="1">
            <w:r w:rsidR="002B3915" w:rsidRPr="00E878C3">
              <w:rPr>
                <w:rStyle w:val="Hyperlink"/>
              </w:rPr>
              <w:t>Proposal for public funding</w:t>
            </w:r>
            <w:r w:rsidR="002B3915">
              <w:rPr>
                <w:webHidden/>
              </w:rPr>
              <w:tab/>
            </w:r>
            <w:r w:rsidR="002B3915">
              <w:rPr>
                <w:webHidden/>
              </w:rPr>
              <w:fldChar w:fldCharType="begin"/>
            </w:r>
            <w:r w:rsidR="002B3915">
              <w:rPr>
                <w:webHidden/>
              </w:rPr>
              <w:instrText xml:space="preserve"> PAGEREF _Toc502832878 \h </w:instrText>
            </w:r>
            <w:r w:rsidR="002B3915">
              <w:rPr>
                <w:webHidden/>
              </w:rPr>
            </w:r>
            <w:r w:rsidR="002B3915">
              <w:rPr>
                <w:webHidden/>
              </w:rPr>
              <w:fldChar w:fldCharType="separate"/>
            </w:r>
            <w:r>
              <w:rPr>
                <w:webHidden/>
              </w:rPr>
              <w:t>3</w:t>
            </w:r>
            <w:r w:rsidR="002B3915">
              <w:rPr>
                <w:webHidden/>
              </w:rPr>
              <w:fldChar w:fldCharType="end"/>
            </w:r>
          </w:hyperlink>
        </w:p>
        <w:p w14:paraId="276FCFE7" w14:textId="77777777" w:rsidR="002B3915" w:rsidRDefault="00AC4BE5">
          <w:pPr>
            <w:pStyle w:val="TOC3"/>
            <w:rPr>
              <w:rFonts w:asciiTheme="minorHAnsi" w:eastAsiaTheme="minorEastAsia" w:hAnsiTheme="minorHAnsi" w:cstheme="minorBidi"/>
            </w:rPr>
          </w:pPr>
          <w:hyperlink w:anchor="_Toc502832879" w:history="1">
            <w:r w:rsidR="002B3915" w:rsidRPr="00E878C3">
              <w:rPr>
                <w:rStyle w:val="Hyperlink"/>
              </w:rPr>
              <w:t>Population</w:t>
            </w:r>
            <w:r w:rsidR="002B3915">
              <w:rPr>
                <w:webHidden/>
              </w:rPr>
              <w:tab/>
            </w:r>
            <w:r w:rsidR="002B3915">
              <w:rPr>
                <w:webHidden/>
              </w:rPr>
              <w:fldChar w:fldCharType="begin"/>
            </w:r>
            <w:r w:rsidR="002B3915">
              <w:rPr>
                <w:webHidden/>
              </w:rPr>
              <w:instrText xml:space="preserve"> PAGEREF _Toc502832879 \h </w:instrText>
            </w:r>
            <w:r w:rsidR="002B3915">
              <w:rPr>
                <w:webHidden/>
              </w:rPr>
            </w:r>
            <w:r w:rsidR="002B3915">
              <w:rPr>
                <w:webHidden/>
              </w:rPr>
              <w:fldChar w:fldCharType="separate"/>
            </w:r>
            <w:r>
              <w:rPr>
                <w:webHidden/>
              </w:rPr>
              <w:t>3</w:t>
            </w:r>
            <w:r w:rsidR="002B3915">
              <w:rPr>
                <w:webHidden/>
              </w:rPr>
              <w:fldChar w:fldCharType="end"/>
            </w:r>
          </w:hyperlink>
        </w:p>
        <w:p w14:paraId="0787A464" w14:textId="77777777" w:rsidR="002B3915" w:rsidRDefault="00AC4BE5">
          <w:pPr>
            <w:pStyle w:val="TOC3"/>
            <w:rPr>
              <w:rFonts w:asciiTheme="minorHAnsi" w:eastAsiaTheme="minorEastAsia" w:hAnsiTheme="minorHAnsi" w:cstheme="minorBidi"/>
            </w:rPr>
          </w:pPr>
          <w:hyperlink w:anchor="_Toc502832880" w:history="1">
            <w:r w:rsidR="002B3915" w:rsidRPr="00E878C3">
              <w:rPr>
                <w:rStyle w:val="Hyperlink"/>
              </w:rPr>
              <w:t>Comparator details</w:t>
            </w:r>
            <w:r w:rsidR="002B3915">
              <w:rPr>
                <w:webHidden/>
              </w:rPr>
              <w:tab/>
            </w:r>
            <w:r w:rsidR="002B3915">
              <w:rPr>
                <w:webHidden/>
              </w:rPr>
              <w:fldChar w:fldCharType="begin"/>
            </w:r>
            <w:r w:rsidR="002B3915">
              <w:rPr>
                <w:webHidden/>
              </w:rPr>
              <w:instrText xml:space="preserve"> PAGEREF _Toc502832880 \h </w:instrText>
            </w:r>
            <w:r w:rsidR="002B3915">
              <w:rPr>
                <w:webHidden/>
              </w:rPr>
            </w:r>
            <w:r w:rsidR="002B3915">
              <w:rPr>
                <w:webHidden/>
              </w:rPr>
              <w:fldChar w:fldCharType="separate"/>
            </w:r>
            <w:r>
              <w:rPr>
                <w:webHidden/>
              </w:rPr>
              <w:t>3</w:t>
            </w:r>
            <w:r w:rsidR="002B3915">
              <w:rPr>
                <w:webHidden/>
              </w:rPr>
              <w:fldChar w:fldCharType="end"/>
            </w:r>
          </w:hyperlink>
        </w:p>
        <w:p w14:paraId="79BA5123" w14:textId="77777777" w:rsidR="002B3915" w:rsidRDefault="00AC4BE5">
          <w:pPr>
            <w:pStyle w:val="TOC3"/>
            <w:rPr>
              <w:rFonts w:asciiTheme="minorHAnsi" w:eastAsiaTheme="minorEastAsia" w:hAnsiTheme="minorHAnsi" w:cstheme="minorBidi"/>
            </w:rPr>
          </w:pPr>
          <w:hyperlink w:anchor="_Toc502832881" w:history="1">
            <w:r w:rsidR="002B3915" w:rsidRPr="00E878C3">
              <w:rPr>
                <w:rStyle w:val="Hyperlink"/>
              </w:rPr>
              <w:t>Clinical management algorithm(s)</w:t>
            </w:r>
            <w:r w:rsidR="002B3915">
              <w:rPr>
                <w:webHidden/>
              </w:rPr>
              <w:tab/>
            </w:r>
            <w:r w:rsidR="002B3915">
              <w:rPr>
                <w:webHidden/>
              </w:rPr>
              <w:fldChar w:fldCharType="begin"/>
            </w:r>
            <w:r w:rsidR="002B3915">
              <w:rPr>
                <w:webHidden/>
              </w:rPr>
              <w:instrText xml:space="preserve"> PAGEREF _Toc502832881 \h </w:instrText>
            </w:r>
            <w:r w:rsidR="002B3915">
              <w:rPr>
                <w:webHidden/>
              </w:rPr>
            </w:r>
            <w:r w:rsidR="002B3915">
              <w:rPr>
                <w:webHidden/>
              </w:rPr>
              <w:fldChar w:fldCharType="separate"/>
            </w:r>
            <w:r>
              <w:rPr>
                <w:webHidden/>
              </w:rPr>
              <w:t>4</w:t>
            </w:r>
            <w:r w:rsidR="002B3915">
              <w:rPr>
                <w:webHidden/>
              </w:rPr>
              <w:fldChar w:fldCharType="end"/>
            </w:r>
          </w:hyperlink>
        </w:p>
        <w:p w14:paraId="7BC7B07C" w14:textId="77777777" w:rsidR="002B3915" w:rsidRDefault="00AC4BE5">
          <w:pPr>
            <w:pStyle w:val="TOC3"/>
            <w:rPr>
              <w:rFonts w:asciiTheme="minorHAnsi" w:eastAsiaTheme="minorEastAsia" w:hAnsiTheme="minorHAnsi" w:cstheme="minorBidi"/>
            </w:rPr>
          </w:pPr>
          <w:hyperlink w:anchor="_Toc502832882" w:history="1">
            <w:r w:rsidR="002B3915" w:rsidRPr="00E878C3">
              <w:rPr>
                <w:rStyle w:val="Hyperlink"/>
              </w:rPr>
              <w:t>Clinical claim</w:t>
            </w:r>
            <w:r w:rsidR="002B3915">
              <w:rPr>
                <w:webHidden/>
              </w:rPr>
              <w:tab/>
            </w:r>
            <w:r w:rsidR="002B3915">
              <w:rPr>
                <w:webHidden/>
              </w:rPr>
              <w:fldChar w:fldCharType="begin"/>
            </w:r>
            <w:r w:rsidR="002B3915">
              <w:rPr>
                <w:webHidden/>
              </w:rPr>
              <w:instrText xml:space="preserve"> PAGEREF _Toc502832882 \h </w:instrText>
            </w:r>
            <w:r w:rsidR="002B3915">
              <w:rPr>
                <w:webHidden/>
              </w:rPr>
            </w:r>
            <w:r w:rsidR="002B3915">
              <w:rPr>
                <w:webHidden/>
              </w:rPr>
              <w:fldChar w:fldCharType="separate"/>
            </w:r>
            <w:r>
              <w:rPr>
                <w:webHidden/>
              </w:rPr>
              <w:t>4</w:t>
            </w:r>
            <w:r w:rsidR="002B3915">
              <w:rPr>
                <w:webHidden/>
              </w:rPr>
              <w:fldChar w:fldCharType="end"/>
            </w:r>
          </w:hyperlink>
        </w:p>
        <w:p w14:paraId="36CA8028" w14:textId="77777777" w:rsidR="002B3915" w:rsidRDefault="00AC4BE5">
          <w:pPr>
            <w:pStyle w:val="TOC3"/>
            <w:rPr>
              <w:rFonts w:asciiTheme="minorHAnsi" w:eastAsiaTheme="minorEastAsia" w:hAnsiTheme="minorHAnsi" w:cstheme="minorBidi"/>
            </w:rPr>
          </w:pPr>
          <w:hyperlink w:anchor="_Toc502832883" w:history="1">
            <w:r w:rsidR="002B3915" w:rsidRPr="00E878C3">
              <w:rPr>
                <w:rStyle w:val="Hyperlink"/>
              </w:rPr>
              <w:t>Approach taken to the evidence assessment</w:t>
            </w:r>
            <w:r w:rsidR="002B3915">
              <w:rPr>
                <w:webHidden/>
              </w:rPr>
              <w:tab/>
            </w:r>
            <w:r w:rsidR="002B3915">
              <w:rPr>
                <w:webHidden/>
              </w:rPr>
              <w:fldChar w:fldCharType="begin"/>
            </w:r>
            <w:r w:rsidR="002B3915">
              <w:rPr>
                <w:webHidden/>
              </w:rPr>
              <w:instrText xml:space="preserve"> PAGEREF _Toc502832883 \h </w:instrText>
            </w:r>
            <w:r w:rsidR="002B3915">
              <w:rPr>
                <w:webHidden/>
              </w:rPr>
            </w:r>
            <w:r w:rsidR="002B3915">
              <w:rPr>
                <w:webHidden/>
              </w:rPr>
              <w:fldChar w:fldCharType="separate"/>
            </w:r>
            <w:r>
              <w:rPr>
                <w:webHidden/>
              </w:rPr>
              <w:t>4</w:t>
            </w:r>
            <w:r w:rsidR="002B3915">
              <w:rPr>
                <w:webHidden/>
              </w:rPr>
              <w:fldChar w:fldCharType="end"/>
            </w:r>
          </w:hyperlink>
        </w:p>
        <w:p w14:paraId="11A342CB" w14:textId="77777777" w:rsidR="002B3915" w:rsidRDefault="00AC4BE5">
          <w:pPr>
            <w:pStyle w:val="TOC3"/>
            <w:rPr>
              <w:rFonts w:asciiTheme="minorHAnsi" w:eastAsiaTheme="minorEastAsia" w:hAnsiTheme="minorHAnsi" w:cstheme="minorBidi"/>
            </w:rPr>
          </w:pPr>
          <w:hyperlink w:anchor="_Toc502832884" w:history="1">
            <w:r w:rsidR="002B3915" w:rsidRPr="00E878C3">
              <w:rPr>
                <w:rStyle w:val="Hyperlink"/>
              </w:rPr>
              <w:t>Characteristics of the evidence base</w:t>
            </w:r>
            <w:r w:rsidR="002B3915">
              <w:rPr>
                <w:webHidden/>
              </w:rPr>
              <w:tab/>
            </w:r>
            <w:r w:rsidR="002B3915">
              <w:rPr>
                <w:webHidden/>
              </w:rPr>
              <w:fldChar w:fldCharType="begin"/>
            </w:r>
            <w:r w:rsidR="002B3915">
              <w:rPr>
                <w:webHidden/>
              </w:rPr>
              <w:instrText xml:space="preserve"> PAGEREF _Toc502832884 \h </w:instrText>
            </w:r>
            <w:r w:rsidR="002B3915">
              <w:rPr>
                <w:webHidden/>
              </w:rPr>
            </w:r>
            <w:r w:rsidR="002B3915">
              <w:rPr>
                <w:webHidden/>
              </w:rPr>
              <w:fldChar w:fldCharType="separate"/>
            </w:r>
            <w:r>
              <w:rPr>
                <w:webHidden/>
              </w:rPr>
              <w:t>5</w:t>
            </w:r>
            <w:r w:rsidR="002B3915">
              <w:rPr>
                <w:webHidden/>
              </w:rPr>
              <w:fldChar w:fldCharType="end"/>
            </w:r>
          </w:hyperlink>
        </w:p>
        <w:p w14:paraId="3F462B6E" w14:textId="77777777" w:rsidR="002B3915" w:rsidRDefault="00AC4BE5">
          <w:pPr>
            <w:pStyle w:val="TOC3"/>
            <w:rPr>
              <w:rFonts w:asciiTheme="minorHAnsi" w:eastAsiaTheme="minorEastAsia" w:hAnsiTheme="minorHAnsi" w:cstheme="minorBidi"/>
            </w:rPr>
          </w:pPr>
          <w:hyperlink w:anchor="_Toc502832885" w:history="1">
            <w:r w:rsidR="002B3915" w:rsidRPr="00E878C3">
              <w:rPr>
                <w:rStyle w:val="Hyperlink"/>
              </w:rPr>
              <w:t>Results</w:t>
            </w:r>
            <w:r w:rsidR="002B3915">
              <w:rPr>
                <w:webHidden/>
              </w:rPr>
              <w:tab/>
            </w:r>
            <w:r w:rsidR="002B3915">
              <w:rPr>
                <w:webHidden/>
              </w:rPr>
              <w:fldChar w:fldCharType="begin"/>
            </w:r>
            <w:r w:rsidR="002B3915">
              <w:rPr>
                <w:webHidden/>
              </w:rPr>
              <w:instrText xml:space="preserve"> PAGEREF _Toc502832885 \h </w:instrText>
            </w:r>
            <w:r w:rsidR="002B3915">
              <w:rPr>
                <w:webHidden/>
              </w:rPr>
            </w:r>
            <w:r w:rsidR="002B3915">
              <w:rPr>
                <w:webHidden/>
              </w:rPr>
              <w:fldChar w:fldCharType="separate"/>
            </w:r>
            <w:r>
              <w:rPr>
                <w:webHidden/>
              </w:rPr>
              <w:t>6</w:t>
            </w:r>
            <w:r w:rsidR="002B3915">
              <w:rPr>
                <w:webHidden/>
              </w:rPr>
              <w:fldChar w:fldCharType="end"/>
            </w:r>
          </w:hyperlink>
        </w:p>
        <w:p w14:paraId="01FCF1F5" w14:textId="77777777" w:rsidR="002B3915" w:rsidRDefault="00AC4BE5">
          <w:pPr>
            <w:pStyle w:val="TOC3"/>
            <w:rPr>
              <w:rFonts w:asciiTheme="minorHAnsi" w:eastAsiaTheme="minorEastAsia" w:hAnsiTheme="minorHAnsi" w:cstheme="minorBidi"/>
            </w:rPr>
          </w:pPr>
          <w:hyperlink w:anchor="_Toc502832886" w:history="1">
            <w:r w:rsidR="002B3915" w:rsidRPr="00E878C3">
              <w:rPr>
                <w:rStyle w:val="Hyperlink"/>
              </w:rPr>
              <w:t>Summary of findings</w:t>
            </w:r>
            <w:r w:rsidR="002B3915">
              <w:rPr>
                <w:webHidden/>
              </w:rPr>
              <w:tab/>
            </w:r>
            <w:r w:rsidR="002B3915">
              <w:rPr>
                <w:webHidden/>
              </w:rPr>
              <w:fldChar w:fldCharType="begin"/>
            </w:r>
            <w:r w:rsidR="002B3915">
              <w:rPr>
                <w:webHidden/>
              </w:rPr>
              <w:instrText xml:space="preserve"> PAGEREF _Toc502832886 \h </w:instrText>
            </w:r>
            <w:r w:rsidR="002B3915">
              <w:rPr>
                <w:webHidden/>
              </w:rPr>
            </w:r>
            <w:r w:rsidR="002B3915">
              <w:rPr>
                <w:webHidden/>
              </w:rPr>
              <w:fldChar w:fldCharType="separate"/>
            </w:r>
            <w:r>
              <w:rPr>
                <w:webHidden/>
              </w:rPr>
              <w:t>11</w:t>
            </w:r>
            <w:r w:rsidR="002B3915">
              <w:rPr>
                <w:webHidden/>
              </w:rPr>
              <w:fldChar w:fldCharType="end"/>
            </w:r>
          </w:hyperlink>
        </w:p>
        <w:p w14:paraId="5FDAF30F" w14:textId="77777777" w:rsidR="002B3915" w:rsidRDefault="00AC4BE5">
          <w:pPr>
            <w:pStyle w:val="TOC3"/>
            <w:rPr>
              <w:rFonts w:asciiTheme="minorHAnsi" w:eastAsiaTheme="minorEastAsia" w:hAnsiTheme="minorHAnsi" w:cstheme="minorBidi"/>
            </w:rPr>
          </w:pPr>
          <w:hyperlink w:anchor="_Toc502832887" w:history="1">
            <w:r w:rsidR="002B3915" w:rsidRPr="00E878C3">
              <w:rPr>
                <w:rStyle w:val="Hyperlink"/>
              </w:rPr>
              <w:t>Translation issues</w:t>
            </w:r>
            <w:r w:rsidR="002B3915">
              <w:rPr>
                <w:webHidden/>
              </w:rPr>
              <w:tab/>
            </w:r>
            <w:r w:rsidR="002B3915">
              <w:rPr>
                <w:webHidden/>
              </w:rPr>
              <w:fldChar w:fldCharType="begin"/>
            </w:r>
            <w:r w:rsidR="002B3915">
              <w:rPr>
                <w:webHidden/>
              </w:rPr>
              <w:instrText xml:space="preserve"> PAGEREF _Toc502832887 \h </w:instrText>
            </w:r>
            <w:r w:rsidR="002B3915">
              <w:rPr>
                <w:webHidden/>
              </w:rPr>
            </w:r>
            <w:r w:rsidR="002B3915">
              <w:rPr>
                <w:webHidden/>
              </w:rPr>
              <w:fldChar w:fldCharType="separate"/>
            </w:r>
            <w:r>
              <w:rPr>
                <w:webHidden/>
              </w:rPr>
              <w:t>11</w:t>
            </w:r>
            <w:r w:rsidR="002B3915">
              <w:rPr>
                <w:webHidden/>
              </w:rPr>
              <w:fldChar w:fldCharType="end"/>
            </w:r>
          </w:hyperlink>
        </w:p>
        <w:p w14:paraId="6DAB62FC" w14:textId="77777777" w:rsidR="002B3915" w:rsidRDefault="00AC4BE5">
          <w:pPr>
            <w:pStyle w:val="TOC3"/>
            <w:rPr>
              <w:rFonts w:asciiTheme="minorHAnsi" w:eastAsiaTheme="minorEastAsia" w:hAnsiTheme="minorHAnsi" w:cstheme="minorBidi"/>
            </w:rPr>
          </w:pPr>
          <w:hyperlink w:anchor="_Toc502832888" w:history="1">
            <w:r w:rsidR="002B3915" w:rsidRPr="00E878C3">
              <w:rPr>
                <w:rStyle w:val="Hyperlink"/>
              </w:rPr>
              <w:t>Economic evaluation</w:t>
            </w:r>
            <w:r w:rsidR="002B3915">
              <w:rPr>
                <w:webHidden/>
              </w:rPr>
              <w:tab/>
            </w:r>
            <w:r w:rsidR="002B3915">
              <w:rPr>
                <w:webHidden/>
              </w:rPr>
              <w:fldChar w:fldCharType="begin"/>
            </w:r>
            <w:r w:rsidR="002B3915">
              <w:rPr>
                <w:webHidden/>
              </w:rPr>
              <w:instrText xml:space="preserve"> PAGEREF _Toc502832888 \h </w:instrText>
            </w:r>
            <w:r w:rsidR="002B3915">
              <w:rPr>
                <w:webHidden/>
              </w:rPr>
            </w:r>
            <w:r w:rsidR="002B3915">
              <w:rPr>
                <w:webHidden/>
              </w:rPr>
              <w:fldChar w:fldCharType="separate"/>
            </w:r>
            <w:r>
              <w:rPr>
                <w:webHidden/>
              </w:rPr>
              <w:t>11</w:t>
            </w:r>
            <w:r w:rsidR="002B3915">
              <w:rPr>
                <w:webHidden/>
              </w:rPr>
              <w:fldChar w:fldCharType="end"/>
            </w:r>
          </w:hyperlink>
        </w:p>
        <w:p w14:paraId="63015AE6" w14:textId="77777777" w:rsidR="002B3915" w:rsidRDefault="00AC4BE5">
          <w:pPr>
            <w:pStyle w:val="TOC3"/>
            <w:rPr>
              <w:rFonts w:asciiTheme="minorHAnsi" w:eastAsiaTheme="minorEastAsia" w:hAnsiTheme="minorHAnsi" w:cstheme="minorBidi"/>
            </w:rPr>
          </w:pPr>
          <w:hyperlink w:anchor="_Toc502832889" w:history="1">
            <w:r w:rsidR="002B3915" w:rsidRPr="00E878C3">
              <w:rPr>
                <w:rStyle w:val="Hyperlink"/>
              </w:rPr>
              <w:t>Estimated extent of use and financial implications</w:t>
            </w:r>
            <w:r w:rsidR="002B3915">
              <w:rPr>
                <w:webHidden/>
              </w:rPr>
              <w:tab/>
            </w:r>
            <w:r w:rsidR="002B3915">
              <w:rPr>
                <w:webHidden/>
              </w:rPr>
              <w:fldChar w:fldCharType="begin"/>
            </w:r>
            <w:r w:rsidR="002B3915">
              <w:rPr>
                <w:webHidden/>
              </w:rPr>
              <w:instrText xml:space="preserve"> PAGEREF _Toc502832889 \h </w:instrText>
            </w:r>
            <w:r w:rsidR="002B3915">
              <w:rPr>
                <w:webHidden/>
              </w:rPr>
            </w:r>
            <w:r w:rsidR="002B3915">
              <w:rPr>
                <w:webHidden/>
              </w:rPr>
              <w:fldChar w:fldCharType="separate"/>
            </w:r>
            <w:r>
              <w:rPr>
                <w:webHidden/>
              </w:rPr>
              <w:t>12</w:t>
            </w:r>
            <w:r w:rsidR="002B3915">
              <w:rPr>
                <w:webHidden/>
              </w:rPr>
              <w:fldChar w:fldCharType="end"/>
            </w:r>
          </w:hyperlink>
        </w:p>
        <w:p w14:paraId="46092569" w14:textId="77777777" w:rsidR="002B3915" w:rsidRDefault="00AC4BE5">
          <w:pPr>
            <w:pStyle w:val="TOC3"/>
            <w:rPr>
              <w:rFonts w:asciiTheme="minorHAnsi" w:eastAsiaTheme="minorEastAsia" w:hAnsiTheme="minorHAnsi" w:cstheme="minorBidi"/>
            </w:rPr>
          </w:pPr>
          <w:hyperlink w:anchor="_Toc502832890" w:history="1">
            <w:r w:rsidR="002B3915" w:rsidRPr="00E878C3">
              <w:rPr>
                <w:rStyle w:val="Hyperlink"/>
              </w:rPr>
              <w:t>Consumer impact summary</w:t>
            </w:r>
            <w:r w:rsidR="002B3915">
              <w:rPr>
                <w:webHidden/>
              </w:rPr>
              <w:tab/>
            </w:r>
            <w:r w:rsidR="002B3915">
              <w:rPr>
                <w:webHidden/>
              </w:rPr>
              <w:fldChar w:fldCharType="begin"/>
            </w:r>
            <w:r w:rsidR="002B3915">
              <w:rPr>
                <w:webHidden/>
              </w:rPr>
              <w:instrText xml:space="preserve"> PAGEREF _Toc502832890 \h </w:instrText>
            </w:r>
            <w:r w:rsidR="002B3915">
              <w:rPr>
                <w:webHidden/>
              </w:rPr>
            </w:r>
            <w:r w:rsidR="002B3915">
              <w:rPr>
                <w:webHidden/>
              </w:rPr>
              <w:fldChar w:fldCharType="separate"/>
            </w:r>
            <w:r>
              <w:rPr>
                <w:webHidden/>
              </w:rPr>
              <w:t>13</w:t>
            </w:r>
            <w:r w:rsidR="002B3915">
              <w:rPr>
                <w:webHidden/>
              </w:rPr>
              <w:fldChar w:fldCharType="end"/>
            </w:r>
          </w:hyperlink>
        </w:p>
        <w:p w14:paraId="67ED10A6" w14:textId="77777777" w:rsidR="002B3915" w:rsidRDefault="00AC4BE5">
          <w:pPr>
            <w:pStyle w:val="TOC3"/>
            <w:rPr>
              <w:rFonts w:asciiTheme="minorHAnsi" w:eastAsiaTheme="minorEastAsia" w:hAnsiTheme="minorHAnsi" w:cstheme="minorBidi"/>
            </w:rPr>
          </w:pPr>
          <w:hyperlink w:anchor="_Toc502832891" w:history="1">
            <w:r w:rsidR="002B3915" w:rsidRPr="00E878C3">
              <w:rPr>
                <w:rStyle w:val="Hyperlink"/>
              </w:rPr>
              <w:t>Other relevant considerations</w:t>
            </w:r>
            <w:r w:rsidR="002B3915">
              <w:rPr>
                <w:webHidden/>
              </w:rPr>
              <w:tab/>
            </w:r>
            <w:r w:rsidR="002B3915">
              <w:rPr>
                <w:webHidden/>
              </w:rPr>
              <w:fldChar w:fldCharType="begin"/>
            </w:r>
            <w:r w:rsidR="002B3915">
              <w:rPr>
                <w:webHidden/>
              </w:rPr>
              <w:instrText xml:space="preserve"> PAGEREF _Toc502832891 \h </w:instrText>
            </w:r>
            <w:r w:rsidR="002B3915">
              <w:rPr>
                <w:webHidden/>
              </w:rPr>
            </w:r>
            <w:r w:rsidR="002B3915">
              <w:rPr>
                <w:webHidden/>
              </w:rPr>
              <w:fldChar w:fldCharType="separate"/>
            </w:r>
            <w:r>
              <w:rPr>
                <w:webHidden/>
              </w:rPr>
              <w:t>14</w:t>
            </w:r>
            <w:r w:rsidR="002B3915">
              <w:rPr>
                <w:webHidden/>
              </w:rPr>
              <w:fldChar w:fldCharType="end"/>
            </w:r>
          </w:hyperlink>
        </w:p>
        <w:p w14:paraId="0CA4928A" w14:textId="77777777" w:rsidR="002B3915" w:rsidRDefault="00AC4BE5">
          <w:pPr>
            <w:pStyle w:val="TOC1"/>
            <w:rPr>
              <w:rFonts w:asciiTheme="minorHAnsi" w:eastAsiaTheme="minorEastAsia" w:hAnsiTheme="minorHAnsi" w:cstheme="minorBidi"/>
              <w:b w:val="0"/>
            </w:rPr>
          </w:pPr>
          <w:hyperlink w:anchor="_Toc502832892" w:history="1">
            <w:r w:rsidR="002B3915" w:rsidRPr="00E878C3">
              <w:rPr>
                <w:rStyle w:val="Hyperlink"/>
              </w:rPr>
              <w:t>Acronyms and abbreviations</w:t>
            </w:r>
            <w:r w:rsidR="002B3915">
              <w:rPr>
                <w:webHidden/>
              </w:rPr>
              <w:tab/>
            </w:r>
            <w:r w:rsidR="002B3915">
              <w:rPr>
                <w:webHidden/>
              </w:rPr>
              <w:fldChar w:fldCharType="begin"/>
            </w:r>
            <w:r w:rsidR="002B3915">
              <w:rPr>
                <w:webHidden/>
              </w:rPr>
              <w:instrText xml:space="preserve"> PAGEREF _Toc502832892 \h </w:instrText>
            </w:r>
            <w:r w:rsidR="002B3915">
              <w:rPr>
                <w:webHidden/>
              </w:rPr>
            </w:r>
            <w:r w:rsidR="002B3915">
              <w:rPr>
                <w:webHidden/>
              </w:rPr>
              <w:fldChar w:fldCharType="separate"/>
            </w:r>
            <w:r>
              <w:rPr>
                <w:webHidden/>
              </w:rPr>
              <w:t>15</w:t>
            </w:r>
            <w:r w:rsidR="002B3915">
              <w:rPr>
                <w:webHidden/>
              </w:rPr>
              <w:fldChar w:fldCharType="end"/>
            </w:r>
          </w:hyperlink>
        </w:p>
        <w:p w14:paraId="209670A2" w14:textId="77777777" w:rsidR="002B3915" w:rsidRDefault="00AC4BE5">
          <w:pPr>
            <w:pStyle w:val="TOC1"/>
            <w:rPr>
              <w:rFonts w:asciiTheme="minorHAnsi" w:eastAsiaTheme="minorEastAsia" w:hAnsiTheme="minorHAnsi" w:cstheme="minorBidi"/>
              <w:b w:val="0"/>
            </w:rPr>
          </w:pPr>
          <w:hyperlink w:anchor="_Toc502832893" w:history="1">
            <w:r w:rsidR="002B3915" w:rsidRPr="00E878C3">
              <w:rPr>
                <w:rStyle w:val="Hyperlink"/>
              </w:rPr>
              <w:t>Section A</w:t>
            </w:r>
            <w:r w:rsidR="002B3915">
              <w:rPr>
                <w:rFonts w:asciiTheme="minorHAnsi" w:eastAsiaTheme="minorEastAsia" w:hAnsiTheme="minorHAnsi" w:cstheme="minorBidi"/>
                <w:b w:val="0"/>
              </w:rPr>
              <w:tab/>
            </w:r>
            <w:r w:rsidR="002B3915" w:rsidRPr="00E878C3">
              <w:rPr>
                <w:rStyle w:val="Hyperlink"/>
              </w:rPr>
              <w:t>Context</w:t>
            </w:r>
            <w:r w:rsidR="002B3915">
              <w:rPr>
                <w:webHidden/>
              </w:rPr>
              <w:tab/>
            </w:r>
            <w:r w:rsidR="002B3915">
              <w:rPr>
                <w:webHidden/>
              </w:rPr>
              <w:fldChar w:fldCharType="begin"/>
            </w:r>
            <w:r w:rsidR="002B3915">
              <w:rPr>
                <w:webHidden/>
              </w:rPr>
              <w:instrText xml:space="preserve"> PAGEREF _Toc502832893 \h </w:instrText>
            </w:r>
            <w:r w:rsidR="002B3915">
              <w:rPr>
                <w:webHidden/>
              </w:rPr>
            </w:r>
            <w:r w:rsidR="002B3915">
              <w:rPr>
                <w:webHidden/>
              </w:rPr>
              <w:fldChar w:fldCharType="separate"/>
            </w:r>
            <w:r>
              <w:rPr>
                <w:webHidden/>
              </w:rPr>
              <w:t>18</w:t>
            </w:r>
            <w:r w:rsidR="002B3915">
              <w:rPr>
                <w:webHidden/>
              </w:rPr>
              <w:fldChar w:fldCharType="end"/>
            </w:r>
          </w:hyperlink>
        </w:p>
        <w:p w14:paraId="466BA8AE" w14:textId="77777777" w:rsidR="002B3915" w:rsidRDefault="00AC4BE5">
          <w:pPr>
            <w:pStyle w:val="TOC2"/>
            <w:tabs>
              <w:tab w:val="left" w:pos="1418"/>
            </w:tabs>
            <w:rPr>
              <w:rFonts w:asciiTheme="minorHAnsi" w:eastAsiaTheme="minorEastAsia" w:hAnsiTheme="minorHAnsi" w:cstheme="minorBidi"/>
            </w:rPr>
          </w:pPr>
          <w:hyperlink w:anchor="_Toc502832894" w:history="1">
            <w:r w:rsidR="002B3915" w:rsidRPr="00E878C3">
              <w:rPr>
                <w:rStyle w:val="Hyperlink"/>
              </w:rPr>
              <w:t>A1</w:t>
            </w:r>
            <w:r w:rsidR="002B3915">
              <w:rPr>
                <w:rFonts w:asciiTheme="minorHAnsi" w:eastAsiaTheme="minorEastAsia" w:hAnsiTheme="minorHAnsi" w:cstheme="minorBidi"/>
              </w:rPr>
              <w:tab/>
            </w:r>
            <w:r w:rsidR="002B3915" w:rsidRPr="00E878C3">
              <w:rPr>
                <w:rStyle w:val="Hyperlink"/>
              </w:rPr>
              <w:t>Items in the agreed PICO Confirmation</w:t>
            </w:r>
            <w:r w:rsidR="002B3915">
              <w:rPr>
                <w:webHidden/>
              </w:rPr>
              <w:tab/>
            </w:r>
            <w:r w:rsidR="002B3915">
              <w:rPr>
                <w:webHidden/>
              </w:rPr>
              <w:fldChar w:fldCharType="begin"/>
            </w:r>
            <w:r w:rsidR="002B3915">
              <w:rPr>
                <w:webHidden/>
              </w:rPr>
              <w:instrText xml:space="preserve"> PAGEREF _Toc502832894 \h </w:instrText>
            </w:r>
            <w:r w:rsidR="002B3915">
              <w:rPr>
                <w:webHidden/>
              </w:rPr>
            </w:r>
            <w:r w:rsidR="002B3915">
              <w:rPr>
                <w:webHidden/>
              </w:rPr>
              <w:fldChar w:fldCharType="separate"/>
            </w:r>
            <w:r>
              <w:rPr>
                <w:webHidden/>
              </w:rPr>
              <w:t>18</w:t>
            </w:r>
            <w:r w:rsidR="002B3915">
              <w:rPr>
                <w:webHidden/>
              </w:rPr>
              <w:fldChar w:fldCharType="end"/>
            </w:r>
          </w:hyperlink>
        </w:p>
        <w:p w14:paraId="2B32ED09" w14:textId="77777777" w:rsidR="002B3915" w:rsidRDefault="00AC4BE5">
          <w:pPr>
            <w:pStyle w:val="TOC2"/>
            <w:tabs>
              <w:tab w:val="left" w:pos="1418"/>
            </w:tabs>
            <w:rPr>
              <w:rFonts w:asciiTheme="minorHAnsi" w:eastAsiaTheme="minorEastAsia" w:hAnsiTheme="minorHAnsi" w:cstheme="minorBidi"/>
            </w:rPr>
          </w:pPr>
          <w:hyperlink w:anchor="_Toc502832895" w:history="1">
            <w:r w:rsidR="002B3915" w:rsidRPr="00E878C3">
              <w:rPr>
                <w:rStyle w:val="Hyperlink"/>
              </w:rPr>
              <w:t>A2</w:t>
            </w:r>
            <w:r w:rsidR="002B3915">
              <w:rPr>
                <w:rFonts w:asciiTheme="minorHAnsi" w:eastAsiaTheme="minorEastAsia" w:hAnsiTheme="minorHAnsi" w:cstheme="minorBidi"/>
              </w:rPr>
              <w:tab/>
            </w:r>
            <w:r w:rsidR="002B3915" w:rsidRPr="00E878C3">
              <w:rPr>
                <w:rStyle w:val="Hyperlink"/>
              </w:rPr>
              <w:t>Proposed medical service</w:t>
            </w:r>
            <w:r w:rsidR="002B3915">
              <w:rPr>
                <w:webHidden/>
              </w:rPr>
              <w:tab/>
            </w:r>
            <w:r w:rsidR="002B3915">
              <w:rPr>
                <w:webHidden/>
              </w:rPr>
              <w:fldChar w:fldCharType="begin"/>
            </w:r>
            <w:r w:rsidR="002B3915">
              <w:rPr>
                <w:webHidden/>
              </w:rPr>
              <w:instrText xml:space="preserve"> PAGEREF _Toc502832895 \h </w:instrText>
            </w:r>
            <w:r w:rsidR="002B3915">
              <w:rPr>
                <w:webHidden/>
              </w:rPr>
            </w:r>
            <w:r w:rsidR="002B3915">
              <w:rPr>
                <w:webHidden/>
              </w:rPr>
              <w:fldChar w:fldCharType="separate"/>
            </w:r>
            <w:r>
              <w:rPr>
                <w:webHidden/>
              </w:rPr>
              <w:t>19</w:t>
            </w:r>
            <w:r w:rsidR="002B3915">
              <w:rPr>
                <w:webHidden/>
              </w:rPr>
              <w:fldChar w:fldCharType="end"/>
            </w:r>
          </w:hyperlink>
        </w:p>
        <w:p w14:paraId="5BBC333B" w14:textId="77777777" w:rsidR="002B3915" w:rsidRDefault="00AC4BE5">
          <w:pPr>
            <w:pStyle w:val="TOC3"/>
            <w:rPr>
              <w:rFonts w:asciiTheme="minorHAnsi" w:eastAsiaTheme="minorEastAsia" w:hAnsiTheme="minorHAnsi" w:cstheme="minorBidi"/>
            </w:rPr>
          </w:pPr>
          <w:hyperlink w:anchor="_Toc502832896" w:history="1">
            <w:r w:rsidR="002B3915" w:rsidRPr="00E878C3">
              <w:rPr>
                <w:rStyle w:val="Hyperlink"/>
              </w:rPr>
              <w:t>Fertility and the ovarian follicle pool</w:t>
            </w:r>
            <w:r w:rsidR="002B3915">
              <w:rPr>
                <w:webHidden/>
              </w:rPr>
              <w:tab/>
            </w:r>
            <w:r w:rsidR="002B3915">
              <w:rPr>
                <w:webHidden/>
              </w:rPr>
              <w:fldChar w:fldCharType="begin"/>
            </w:r>
            <w:r w:rsidR="002B3915">
              <w:rPr>
                <w:webHidden/>
              </w:rPr>
              <w:instrText xml:space="preserve"> PAGEREF _Toc502832896 \h </w:instrText>
            </w:r>
            <w:r w:rsidR="002B3915">
              <w:rPr>
                <w:webHidden/>
              </w:rPr>
            </w:r>
            <w:r w:rsidR="002B3915">
              <w:rPr>
                <w:webHidden/>
              </w:rPr>
              <w:fldChar w:fldCharType="separate"/>
            </w:r>
            <w:r>
              <w:rPr>
                <w:webHidden/>
              </w:rPr>
              <w:t>19</w:t>
            </w:r>
            <w:r w:rsidR="002B3915">
              <w:rPr>
                <w:webHidden/>
              </w:rPr>
              <w:fldChar w:fldCharType="end"/>
            </w:r>
          </w:hyperlink>
        </w:p>
        <w:p w14:paraId="5E064AC7" w14:textId="77777777" w:rsidR="002B3915" w:rsidRDefault="00AC4BE5">
          <w:pPr>
            <w:pStyle w:val="TOC3"/>
            <w:rPr>
              <w:rFonts w:asciiTheme="minorHAnsi" w:eastAsiaTheme="minorEastAsia" w:hAnsiTheme="minorHAnsi" w:cstheme="minorBidi"/>
            </w:rPr>
          </w:pPr>
          <w:hyperlink w:anchor="_Toc502832897" w:history="1">
            <w:r w:rsidR="002B3915" w:rsidRPr="00E878C3">
              <w:rPr>
                <w:rStyle w:val="Hyperlink"/>
              </w:rPr>
              <w:t>Ovarian failure and AMH testing</w:t>
            </w:r>
            <w:r w:rsidR="002B3915">
              <w:rPr>
                <w:webHidden/>
              </w:rPr>
              <w:tab/>
            </w:r>
            <w:r w:rsidR="002B3915">
              <w:rPr>
                <w:webHidden/>
              </w:rPr>
              <w:fldChar w:fldCharType="begin"/>
            </w:r>
            <w:r w:rsidR="002B3915">
              <w:rPr>
                <w:webHidden/>
              </w:rPr>
              <w:instrText xml:space="preserve"> PAGEREF _Toc502832897 \h </w:instrText>
            </w:r>
            <w:r w:rsidR="002B3915">
              <w:rPr>
                <w:webHidden/>
              </w:rPr>
            </w:r>
            <w:r w:rsidR="002B3915">
              <w:rPr>
                <w:webHidden/>
              </w:rPr>
              <w:fldChar w:fldCharType="separate"/>
            </w:r>
            <w:r>
              <w:rPr>
                <w:webHidden/>
              </w:rPr>
              <w:t>19</w:t>
            </w:r>
            <w:r w:rsidR="002B3915">
              <w:rPr>
                <w:webHidden/>
              </w:rPr>
              <w:fldChar w:fldCharType="end"/>
            </w:r>
          </w:hyperlink>
        </w:p>
        <w:p w14:paraId="326FA729" w14:textId="77777777" w:rsidR="002B3915" w:rsidRDefault="00AC4BE5">
          <w:pPr>
            <w:pStyle w:val="TOC2"/>
            <w:tabs>
              <w:tab w:val="left" w:pos="1418"/>
            </w:tabs>
            <w:rPr>
              <w:rFonts w:asciiTheme="minorHAnsi" w:eastAsiaTheme="minorEastAsia" w:hAnsiTheme="minorHAnsi" w:cstheme="minorBidi"/>
            </w:rPr>
          </w:pPr>
          <w:hyperlink w:anchor="_Toc502832898" w:history="1">
            <w:r w:rsidR="002B3915" w:rsidRPr="00E878C3">
              <w:rPr>
                <w:rStyle w:val="Hyperlink"/>
              </w:rPr>
              <w:t>A3</w:t>
            </w:r>
            <w:r w:rsidR="002B3915">
              <w:rPr>
                <w:rFonts w:asciiTheme="minorHAnsi" w:eastAsiaTheme="minorEastAsia" w:hAnsiTheme="minorHAnsi" w:cstheme="minorBidi"/>
              </w:rPr>
              <w:tab/>
            </w:r>
            <w:r w:rsidR="002B3915" w:rsidRPr="00E878C3">
              <w:rPr>
                <w:rStyle w:val="Hyperlink"/>
              </w:rPr>
              <w:t>Proposal for public funding</w:t>
            </w:r>
            <w:r w:rsidR="002B3915">
              <w:rPr>
                <w:webHidden/>
              </w:rPr>
              <w:tab/>
            </w:r>
            <w:r w:rsidR="002B3915">
              <w:rPr>
                <w:webHidden/>
              </w:rPr>
              <w:fldChar w:fldCharType="begin"/>
            </w:r>
            <w:r w:rsidR="002B3915">
              <w:rPr>
                <w:webHidden/>
              </w:rPr>
              <w:instrText xml:space="preserve"> PAGEREF _Toc502832898 \h </w:instrText>
            </w:r>
            <w:r w:rsidR="002B3915">
              <w:rPr>
                <w:webHidden/>
              </w:rPr>
            </w:r>
            <w:r w:rsidR="002B3915">
              <w:rPr>
                <w:webHidden/>
              </w:rPr>
              <w:fldChar w:fldCharType="separate"/>
            </w:r>
            <w:r>
              <w:rPr>
                <w:webHidden/>
              </w:rPr>
              <w:t>20</w:t>
            </w:r>
            <w:r w:rsidR="002B3915">
              <w:rPr>
                <w:webHidden/>
              </w:rPr>
              <w:fldChar w:fldCharType="end"/>
            </w:r>
          </w:hyperlink>
        </w:p>
        <w:p w14:paraId="006C94D5" w14:textId="77777777" w:rsidR="002B3915" w:rsidRDefault="00AC4BE5">
          <w:pPr>
            <w:pStyle w:val="TOC2"/>
            <w:tabs>
              <w:tab w:val="left" w:pos="1418"/>
            </w:tabs>
            <w:rPr>
              <w:rFonts w:asciiTheme="minorHAnsi" w:eastAsiaTheme="minorEastAsia" w:hAnsiTheme="minorHAnsi" w:cstheme="minorBidi"/>
            </w:rPr>
          </w:pPr>
          <w:hyperlink w:anchor="_Toc502832899" w:history="1">
            <w:r w:rsidR="002B3915" w:rsidRPr="00E878C3">
              <w:rPr>
                <w:rStyle w:val="Hyperlink"/>
              </w:rPr>
              <w:t>A4</w:t>
            </w:r>
            <w:r w:rsidR="002B3915">
              <w:rPr>
                <w:rFonts w:asciiTheme="minorHAnsi" w:eastAsiaTheme="minorEastAsia" w:hAnsiTheme="minorHAnsi" w:cstheme="minorBidi"/>
              </w:rPr>
              <w:tab/>
            </w:r>
            <w:r w:rsidR="002B3915" w:rsidRPr="00E878C3">
              <w:rPr>
                <w:rStyle w:val="Hyperlink"/>
              </w:rPr>
              <w:t>Proposed population</w:t>
            </w:r>
            <w:r w:rsidR="002B3915">
              <w:rPr>
                <w:webHidden/>
              </w:rPr>
              <w:tab/>
            </w:r>
            <w:r w:rsidR="002B3915">
              <w:rPr>
                <w:webHidden/>
              </w:rPr>
              <w:fldChar w:fldCharType="begin"/>
            </w:r>
            <w:r w:rsidR="002B3915">
              <w:rPr>
                <w:webHidden/>
              </w:rPr>
              <w:instrText xml:space="preserve"> PAGEREF _Toc502832899 \h </w:instrText>
            </w:r>
            <w:r w:rsidR="002B3915">
              <w:rPr>
                <w:webHidden/>
              </w:rPr>
            </w:r>
            <w:r w:rsidR="002B3915">
              <w:rPr>
                <w:webHidden/>
              </w:rPr>
              <w:fldChar w:fldCharType="separate"/>
            </w:r>
            <w:r>
              <w:rPr>
                <w:webHidden/>
              </w:rPr>
              <w:t>21</w:t>
            </w:r>
            <w:r w:rsidR="002B3915">
              <w:rPr>
                <w:webHidden/>
              </w:rPr>
              <w:fldChar w:fldCharType="end"/>
            </w:r>
          </w:hyperlink>
        </w:p>
        <w:p w14:paraId="6096670D" w14:textId="77777777" w:rsidR="002B3915" w:rsidRDefault="00AC4BE5">
          <w:pPr>
            <w:pStyle w:val="TOC3"/>
            <w:rPr>
              <w:rFonts w:asciiTheme="minorHAnsi" w:eastAsiaTheme="minorEastAsia" w:hAnsiTheme="minorHAnsi" w:cstheme="minorBidi"/>
            </w:rPr>
          </w:pPr>
          <w:hyperlink w:anchor="_Toc502832900" w:history="1">
            <w:r w:rsidR="002B3915" w:rsidRPr="00E878C3">
              <w:rPr>
                <w:rStyle w:val="Hyperlink"/>
              </w:rPr>
              <w:t>Patients prior to, or after completion of gonadotoxic treatment</w:t>
            </w:r>
            <w:r w:rsidR="002B3915">
              <w:rPr>
                <w:webHidden/>
              </w:rPr>
              <w:tab/>
            </w:r>
            <w:r w:rsidR="002B3915">
              <w:rPr>
                <w:webHidden/>
              </w:rPr>
              <w:fldChar w:fldCharType="begin"/>
            </w:r>
            <w:r w:rsidR="002B3915">
              <w:rPr>
                <w:webHidden/>
              </w:rPr>
              <w:instrText xml:space="preserve"> PAGEREF _Toc502832900 \h </w:instrText>
            </w:r>
            <w:r w:rsidR="002B3915">
              <w:rPr>
                <w:webHidden/>
              </w:rPr>
            </w:r>
            <w:r w:rsidR="002B3915">
              <w:rPr>
                <w:webHidden/>
              </w:rPr>
              <w:fldChar w:fldCharType="separate"/>
            </w:r>
            <w:r>
              <w:rPr>
                <w:webHidden/>
              </w:rPr>
              <w:t>21</w:t>
            </w:r>
            <w:r w:rsidR="002B3915">
              <w:rPr>
                <w:webHidden/>
              </w:rPr>
              <w:fldChar w:fldCharType="end"/>
            </w:r>
          </w:hyperlink>
        </w:p>
        <w:p w14:paraId="04FC35FE" w14:textId="77777777" w:rsidR="002B3915" w:rsidRDefault="00AC4BE5">
          <w:pPr>
            <w:pStyle w:val="TOC3"/>
            <w:rPr>
              <w:rFonts w:asciiTheme="minorHAnsi" w:eastAsiaTheme="minorEastAsia" w:hAnsiTheme="minorHAnsi" w:cstheme="minorBidi"/>
            </w:rPr>
          </w:pPr>
          <w:hyperlink w:anchor="_Toc502832901" w:history="1">
            <w:r w:rsidR="002B3915" w:rsidRPr="00E878C3">
              <w:rPr>
                <w:rStyle w:val="Hyperlink"/>
              </w:rPr>
              <w:t>Why gonadotoxic treatment is a concern</w:t>
            </w:r>
            <w:r w:rsidR="002B3915">
              <w:rPr>
                <w:webHidden/>
              </w:rPr>
              <w:tab/>
            </w:r>
            <w:r w:rsidR="002B3915">
              <w:rPr>
                <w:webHidden/>
              </w:rPr>
              <w:fldChar w:fldCharType="begin"/>
            </w:r>
            <w:r w:rsidR="002B3915">
              <w:rPr>
                <w:webHidden/>
              </w:rPr>
              <w:instrText xml:space="preserve"> PAGEREF _Toc502832901 \h </w:instrText>
            </w:r>
            <w:r w:rsidR="002B3915">
              <w:rPr>
                <w:webHidden/>
              </w:rPr>
            </w:r>
            <w:r w:rsidR="002B3915">
              <w:rPr>
                <w:webHidden/>
              </w:rPr>
              <w:fldChar w:fldCharType="separate"/>
            </w:r>
            <w:r>
              <w:rPr>
                <w:webHidden/>
              </w:rPr>
              <w:t>23</w:t>
            </w:r>
            <w:r w:rsidR="002B3915">
              <w:rPr>
                <w:webHidden/>
              </w:rPr>
              <w:fldChar w:fldCharType="end"/>
            </w:r>
          </w:hyperlink>
        </w:p>
        <w:p w14:paraId="5AB00F2A" w14:textId="77777777" w:rsidR="002B3915" w:rsidRDefault="00AC4BE5">
          <w:pPr>
            <w:pStyle w:val="TOC3"/>
            <w:rPr>
              <w:rFonts w:asciiTheme="minorHAnsi" w:eastAsiaTheme="minorEastAsia" w:hAnsiTheme="minorHAnsi" w:cstheme="minorBidi"/>
            </w:rPr>
          </w:pPr>
          <w:hyperlink w:anchor="_Toc502832902" w:history="1">
            <w:r w:rsidR="002B3915" w:rsidRPr="00E878C3">
              <w:rPr>
                <w:rStyle w:val="Hyperlink"/>
              </w:rPr>
              <w:t>Estimated incidence</w:t>
            </w:r>
            <w:r w:rsidR="002B3915">
              <w:rPr>
                <w:webHidden/>
              </w:rPr>
              <w:tab/>
            </w:r>
            <w:r w:rsidR="002B3915">
              <w:rPr>
                <w:webHidden/>
              </w:rPr>
              <w:fldChar w:fldCharType="begin"/>
            </w:r>
            <w:r w:rsidR="002B3915">
              <w:rPr>
                <w:webHidden/>
              </w:rPr>
              <w:instrText xml:space="preserve"> PAGEREF _Toc502832902 \h </w:instrText>
            </w:r>
            <w:r w:rsidR="002B3915">
              <w:rPr>
                <w:webHidden/>
              </w:rPr>
            </w:r>
            <w:r w:rsidR="002B3915">
              <w:rPr>
                <w:webHidden/>
              </w:rPr>
              <w:fldChar w:fldCharType="separate"/>
            </w:r>
            <w:r>
              <w:rPr>
                <w:webHidden/>
              </w:rPr>
              <w:t>24</w:t>
            </w:r>
            <w:r w:rsidR="002B3915">
              <w:rPr>
                <w:webHidden/>
              </w:rPr>
              <w:fldChar w:fldCharType="end"/>
            </w:r>
          </w:hyperlink>
        </w:p>
        <w:p w14:paraId="2F429972" w14:textId="77777777" w:rsidR="002B3915" w:rsidRDefault="00AC4BE5">
          <w:pPr>
            <w:pStyle w:val="TOC3"/>
            <w:rPr>
              <w:rFonts w:asciiTheme="minorHAnsi" w:eastAsiaTheme="minorEastAsia" w:hAnsiTheme="minorHAnsi" w:cstheme="minorBidi"/>
            </w:rPr>
          </w:pPr>
          <w:hyperlink w:anchor="_Toc502832903" w:history="1">
            <w:r w:rsidR="002B3915" w:rsidRPr="00E878C3">
              <w:rPr>
                <w:rStyle w:val="Hyperlink"/>
              </w:rPr>
              <w:t>Uptake of AMH testing in Australia</w:t>
            </w:r>
            <w:r w:rsidR="002B3915">
              <w:rPr>
                <w:webHidden/>
              </w:rPr>
              <w:tab/>
            </w:r>
            <w:r w:rsidR="002B3915">
              <w:rPr>
                <w:webHidden/>
              </w:rPr>
              <w:fldChar w:fldCharType="begin"/>
            </w:r>
            <w:r w:rsidR="002B3915">
              <w:rPr>
                <w:webHidden/>
              </w:rPr>
              <w:instrText xml:space="preserve"> PAGEREF _Toc502832903 \h </w:instrText>
            </w:r>
            <w:r w:rsidR="002B3915">
              <w:rPr>
                <w:webHidden/>
              </w:rPr>
            </w:r>
            <w:r w:rsidR="002B3915">
              <w:rPr>
                <w:webHidden/>
              </w:rPr>
              <w:fldChar w:fldCharType="separate"/>
            </w:r>
            <w:r>
              <w:rPr>
                <w:webHidden/>
              </w:rPr>
              <w:t>24</w:t>
            </w:r>
            <w:r w:rsidR="002B3915">
              <w:rPr>
                <w:webHidden/>
              </w:rPr>
              <w:fldChar w:fldCharType="end"/>
            </w:r>
          </w:hyperlink>
        </w:p>
        <w:p w14:paraId="2905866D" w14:textId="77777777" w:rsidR="002B3915" w:rsidRDefault="00AC4BE5">
          <w:pPr>
            <w:pStyle w:val="TOC2"/>
            <w:tabs>
              <w:tab w:val="left" w:pos="1418"/>
            </w:tabs>
            <w:rPr>
              <w:rFonts w:asciiTheme="minorHAnsi" w:eastAsiaTheme="minorEastAsia" w:hAnsiTheme="minorHAnsi" w:cstheme="minorBidi"/>
            </w:rPr>
          </w:pPr>
          <w:hyperlink w:anchor="_Toc502832904" w:history="1">
            <w:r w:rsidR="002B3915" w:rsidRPr="00E878C3">
              <w:rPr>
                <w:rStyle w:val="Hyperlink"/>
              </w:rPr>
              <w:t>A5</w:t>
            </w:r>
            <w:r w:rsidR="002B3915">
              <w:rPr>
                <w:rFonts w:asciiTheme="minorHAnsi" w:eastAsiaTheme="minorEastAsia" w:hAnsiTheme="minorHAnsi" w:cstheme="minorBidi"/>
              </w:rPr>
              <w:tab/>
            </w:r>
            <w:r w:rsidR="002B3915" w:rsidRPr="00E878C3">
              <w:rPr>
                <w:rStyle w:val="Hyperlink"/>
              </w:rPr>
              <w:t>Comparator details</w:t>
            </w:r>
            <w:r w:rsidR="002B3915">
              <w:rPr>
                <w:webHidden/>
              </w:rPr>
              <w:tab/>
            </w:r>
            <w:r w:rsidR="002B3915">
              <w:rPr>
                <w:webHidden/>
              </w:rPr>
              <w:fldChar w:fldCharType="begin"/>
            </w:r>
            <w:r w:rsidR="002B3915">
              <w:rPr>
                <w:webHidden/>
              </w:rPr>
              <w:instrText xml:space="preserve"> PAGEREF _Toc502832904 \h </w:instrText>
            </w:r>
            <w:r w:rsidR="002B3915">
              <w:rPr>
                <w:webHidden/>
              </w:rPr>
            </w:r>
            <w:r w:rsidR="002B3915">
              <w:rPr>
                <w:webHidden/>
              </w:rPr>
              <w:fldChar w:fldCharType="separate"/>
            </w:r>
            <w:r>
              <w:rPr>
                <w:webHidden/>
              </w:rPr>
              <w:t>25</w:t>
            </w:r>
            <w:r w:rsidR="002B3915">
              <w:rPr>
                <w:webHidden/>
              </w:rPr>
              <w:fldChar w:fldCharType="end"/>
            </w:r>
          </w:hyperlink>
        </w:p>
        <w:p w14:paraId="5402DF89" w14:textId="77777777" w:rsidR="002B3915" w:rsidRDefault="00AC4BE5">
          <w:pPr>
            <w:pStyle w:val="TOC3"/>
            <w:rPr>
              <w:rFonts w:asciiTheme="minorHAnsi" w:eastAsiaTheme="minorEastAsia" w:hAnsiTheme="minorHAnsi" w:cstheme="minorBidi"/>
            </w:rPr>
          </w:pPr>
          <w:hyperlink w:anchor="_Toc502832905" w:history="1">
            <w:r w:rsidR="002B3915" w:rsidRPr="00E878C3">
              <w:rPr>
                <w:rStyle w:val="Hyperlink"/>
              </w:rPr>
              <w:t>Clinical management algorithms</w:t>
            </w:r>
            <w:r w:rsidR="002B3915">
              <w:rPr>
                <w:webHidden/>
              </w:rPr>
              <w:tab/>
            </w:r>
            <w:r w:rsidR="002B3915">
              <w:rPr>
                <w:webHidden/>
              </w:rPr>
              <w:fldChar w:fldCharType="begin"/>
            </w:r>
            <w:r w:rsidR="002B3915">
              <w:rPr>
                <w:webHidden/>
              </w:rPr>
              <w:instrText xml:space="preserve"> PAGEREF _Toc502832905 \h </w:instrText>
            </w:r>
            <w:r w:rsidR="002B3915">
              <w:rPr>
                <w:webHidden/>
              </w:rPr>
            </w:r>
            <w:r w:rsidR="002B3915">
              <w:rPr>
                <w:webHidden/>
              </w:rPr>
              <w:fldChar w:fldCharType="separate"/>
            </w:r>
            <w:r>
              <w:rPr>
                <w:webHidden/>
              </w:rPr>
              <w:t>28</w:t>
            </w:r>
            <w:r w:rsidR="002B3915">
              <w:rPr>
                <w:webHidden/>
              </w:rPr>
              <w:fldChar w:fldCharType="end"/>
            </w:r>
          </w:hyperlink>
        </w:p>
        <w:p w14:paraId="0D465FBE" w14:textId="77777777" w:rsidR="002B3915" w:rsidRDefault="00AC4BE5">
          <w:pPr>
            <w:pStyle w:val="TOC2"/>
            <w:tabs>
              <w:tab w:val="left" w:pos="1418"/>
            </w:tabs>
            <w:rPr>
              <w:rFonts w:asciiTheme="minorHAnsi" w:eastAsiaTheme="minorEastAsia" w:hAnsiTheme="minorHAnsi" w:cstheme="minorBidi"/>
            </w:rPr>
          </w:pPr>
          <w:hyperlink w:anchor="_Toc502832906" w:history="1">
            <w:r w:rsidR="002B3915" w:rsidRPr="00E878C3">
              <w:rPr>
                <w:rStyle w:val="Hyperlink"/>
              </w:rPr>
              <w:t>A6</w:t>
            </w:r>
            <w:r w:rsidR="002B3915">
              <w:rPr>
                <w:rFonts w:asciiTheme="minorHAnsi" w:eastAsiaTheme="minorEastAsia" w:hAnsiTheme="minorHAnsi" w:cstheme="minorBidi"/>
              </w:rPr>
              <w:tab/>
            </w:r>
            <w:r w:rsidR="002B3915" w:rsidRPr="00E878C3">
              <w:rPr>
                <w:rStyle w:val="Hyperlink"/>
              </w:rPr>
              <w:t>Clinical Claim</w:t>
            </w:r>
            <w:r w:rsidR="002B3915">
              <w:rPr>
                <w:webHidden/>
              </w:rPr>
              <w:tab/>
            </w:r>
            <w:r w:rsidR="002B3915">
              <w:rPr>
                <w:webHidden/>
              </w:rPr>
              <w:fldChar w:fldCharType="begin"/>
            </w:r>
            <w:r w:rsidR="002B3915">
              <w:rPr>
                <w:webHidden/>
              </w:rPr>
              <w:instrText xml:space="preserve"> PAGEREF _Toc502832906 \h </w:instrText>
            </w:r>
            <w:r w:rsidR="002B3915">
              <w:rPr>
                <w:webHidden/>
              </w:rPr>
            </w:r>
            <w:r w:rsidR="002B3915">
              <w:rPr>
                <w:webHidden/>
              </w:rPr>
              <w:fldChar w:fldCharType="separate"/>
            </w:r>
            <w:r>
              <w:rPr>
                <w:webHidden/>
              </w:rPr>
              <w:t>32</w:t>
            </w:r>
            <w:r w:rsidR="002B3915">
              <w:rPr>
                <w:webHidden/>
              </w:rPr>
              <w:fldChar w:fldCharType="end"/>
            </w:r>
          </w:hyperlink>
        </w:p>
        <w:p w14:paraId="5FD3AEC0" w14:textId="77777777" w:rsidR="002B3915" w:rsidRDefault="00AC4BE5">
          <w:pPr>
            <w:pStyle w:val="TOC2"/>
            <w:tabs>
              <w:tab w:val="left" w:pos="1418"/>
            </w:tabs>
            <w:rPr>
              <w:rFonts w:asciiTheme="minorHAnsi" w:eastAsiaTheme="minorEastAsia" w:hAnsiTheme="minorHAnsi" w:cstheme="minorBidi"/>
            </w:rPr>
          </w:pPr>
          <w:hyperlink w:anchor="_Toc502832907" w:history="1">
            <w:r w:rsidR="002B3915" w:rsidRPr="00E878C3">
              <w:rPr>
                <w:rStyle w:val="Hyperlink"/>
              </w:rPr>
              <w:t>A7</w:t>
            </w:r>
            <w:r w:rsidR="002B3915">
              <w:rPr>
                <w:rFonts w:asciiTheme="minorHAnsi" w:eastAsiaTheme="minorEastAsia" w:hAnsiTheme="minorHAnsi" w:cstheme="minorBidi"/>
              </w:rPr>
              <w:tab/>
            </w:r>
            <w:r w:rsidR="002B3915" w:rsidRPr="00E878C3">
              <w:rPr>
                <w:rStyle w:val="Hyperlink"/>
              </w:rPr>
              <w:t>Summary of the PICO</w:t>
            </w:r>
            <w:r w:rsidR="002B3915">
              <w:rPr>
                <w:webHidden/>
              </w:rPr>
              <w:tab/>
            </w:r>
            <w:r w:rsidR="002B3915">
              <w:rPr>
                <w:webHidden/>
              </w:rPr>
              <w:fldChar w:fldCharType="begin"/>
            </w:r>
            <w:r w:rsidR="002B3915">
              <w:rPr>
                <w:webHidden/>
              </w:rPr>
              <w:instrText xml:space="preserve"> PAGEREF _Toc502832907 \h </w:instrText>
            </w:r>
            <w:r w:rsidR="002B3915">
              <w:rPr>
                <w:webHidden/>
              </w:rPr>
            </w:r>
            <w:r w:rsidR="002B3915">
              <w:rPr>
                <w:webHidden/>
              </w:rPr>
              <w:fldChar w:fldCharType="separate"/>
            </w:r>
            <w:r>
              <w:rPr>
                <w:webHidden/>
              </w:rPr>
              <w:t>32</w:t>
            </w:r>
            <w:r w:rsidR="002B3915">
              <w:rPr>
                <w:webHidden/>
              </w:rPr>
              <w:fldChar w:fldCharType="end"/>
            </w:r>
          </w:hyperlink>
        </w:p>
        <w:p w14:paraId="56E3D477" w14:textId="77777777" w:rsidR="002B3915" w:rsidRDefault="00AC4BE5">
          <w:pPr>
            <w:pStyle w:val="TOC3"/>
            <w:rPr>
              <w:rFonts w:asciiTheme="minorHAnsi" w:eastAsiaTheme="minorEastAsia" w:hAnsiTheme="minorHAnsi" w:cstheme="minorBidi"/>
            </w:rPr>
          </w:pPr>
          <w:hyperlink w:anchor="_Toc502832908" w:history="1">
            <w:r w:rsidR="002B3915" w:rsidRPr="00E878C3">
              <w:rPr>
                <w:rStyle w:val="Hyperlink"/>
              </w:rPr>
              <w:t>Direct evidence</w:t>
            </w:r>
            <w:r w:rsidR="002B3915">
              <w:rPr>
                <w:webHidden/>
              </w:rPr>
              <w:tab/>
            </w:r>
            <w:r w:rsidR="002B3915">
              <w:rPr>
                <w:webHidden/>
              </w:rPr>
              <w:fldChar w:fldCharType="begin"/>
            </w:r>
            <w:r w:rsidR="002B3915">
              <w:rPr>
                <w:webHidden/>
              </w:rPr>
              <w:instrText xml:space="preserve"> PAGEREF _Toc502832908 \h </w:instrText>
            </w:r>
            <w:r w:rsidR="002B3915">
              <w:rPr>
                <w:webHidden/>
              </w:rPr>
            </w:r>
            <w:r w:rsidR="002B3915">
              <w:rPr>
                <w:webHidden/>
              </w:rPr>
              <w:fldChar w:fldCharType="separate"/>
            </w:r>
            <w:r>
              <w:rPr>
                <w:webHidden/>
              </w:rPr>
              <w:t>33</w:t>
            </w:r>
            <w:r w:rsidR="002B3915">
              <w:rPr>
                <w:webHidden/>
              </w:rPr>
              <w:fldChar w:fldCharType="end"/>
            </w:r>
          </w:hyperlink>
        </w:p>
        <w:p w14:paraId="7D5AB577" w14:textId="77777777" w:rsidR="002B3915" w:rsidRDefault="00AC4BE5">
          <w:pPr>
            <w:pStyle w:val="TOC3"/>
            <w:rPr>
              <w:rFonts w:asciiTheme="minorHAnsi" w:eastAsiaTheme="minorEastAsia" w:hAnsiTheme="minorHAnsi" w:cstheme="minorBidi"/>
            </w:rPr>
          </w:pPr>
          <w:hyperlink w:anchor="_Toc502832909" w:history="1">
            <w:r w:rsidR="002B3915" w:rsidRPr="00E878C3">
              <w:rPr>
                <w:rStyle w:val="Hyperlink"/>
              </w:rPr>
              <w:t>Linked evidence</w:t>
            </w:r>
            <w:r w:rsidR="002B3915">
              <w:rPr>
                <w:webHidden/>
              </w:rPr>
              <w:tab/>
            </w:r>
            <w:r w:rsidR="002B3915">
              <w:rPr>
                <w:webHidden/>
              </w:rPr>
              <w:fldChar w:fldCharType="begin"/>
            </w:r>
            <w:r w:rsidR="002B3915">
              <w:rPr>
                <w:webHidden/>
              </w:rPr>
              <w:instrText xml:space="preserve"> PAGEREF _Toc502832909 \h </w:instrText>
            </w:r>
            <w:r w:rsidR="002B3915">
              <w:rPr>
                <w:webHidden/>
              </w:rPr>
            </w:r>
            <w:r w:rsidR="002B3915">
              <w:rPr>
                <w:webHidden/>
              </w:rPr>
              <w:fldChar w:fldCharType="separate"/>
            </w:r>
            <w:r>
              <w:rPr>
                <w:webHidden/>
              </w:rPr>
              <w:t>35</w:t>
            </w:r>
            <w:r w:rsidR="002B3915">
              <w:rPr>
                <w:webHidden/>
              </w:rPr>
              <w:fldChar w:fldCharType="end"/>
            </w:r>
          </w:hyperlink>
        </w:p>
        <w:p w14:paraId="1BF08713" w14:textId="77777777" w:rsidR="002B3915" w:rsidRDefault="00AC4BE5">
          <w:pPr>
            <w:pStyle w:val="TOC2"/>
            <w:tabs>
              <w:tab w:val="left" w:pos="1418"/>
            </w:tabs>
            <w:rPr>
              <w:rFonts w:asciiTheme="minorHAnsi" w:eastAsiaTheme="minorEastAsia" w:hAnsiTheme="minorHAnsi" w:cstheme="minorBidi"/>
            </w:rPr>
          </w:pPr>
          <w:hyperlink w:anchor="_Toc502832910" w:history="1">
            <w:r w:rsidR="002B3915" w:rsidRPr="00E878C3">
              <w:rPr>
                <w:rStyle w:val="Hyperlink"/>
              </w:rPr>
              <w:t>A8</w:t>
            </w:r>
            <w:r w:rsidR="002B3915">
              <w:rPr>
                <w:rFonts w:asciiTheme="minorHAnsi" w:eastAsiaTheme="minorEastAsia" w:hAnsiTheme="minorHAnsi" w:cstheme="minorBidi"/>
              </w:rPr>
              <w:tab/>
            </w:r>
            <w:r w:rsidR="002B3915" w:rsidRPr="00E878C3">
              <w:rPr>
                <w:rStyle w:val="Hyperlink"/>
              </w:rPr>
              <w:t>Consumer impact statement</w:t>
            </w:r>
            <w:r w:rsidR="002B3915">
              <w:rPr>
                <w:webHidden/>
              </w:rPr>
              <w:tab/>
            </w:r>
            <w:r w:rsidR="002B3915">
              <w:rPr>
                <w:webHidden/>
              </w:rPr>
              <w:fldChar w:fldCharType="begin"/>
            </w:r>
            <w:r w:rsidR="002B3915">
              <w:rPr>
                <w:webHidden/>
              </w:rPr>
              <w:instrText xml:space="preserve"> PAGEREF _Toc502832910 \h </w:instrText>
            </w:r>
            <w:r w:rsidR="002B3915">
              <w:rPr>
                <w:webHidden/>
              </w:rPr>
            </w:r>
            <w:r w:rsidR="002B3915">
              <w:rPr>
                <w:webHidden/>
              </w:rPr>
              <w:fldChar w:fldCharType="separate"/>
            </w:r>
            <w:r>
              <w:rPr>
                <w:webHidden/>
              </w:rPr>
              <w:t>39</w:t>
            </w:r>
            <w:r w:rsidR="002B3915">
              <w:rPr>
                <w:webHidden/>
              </w:rPr>
              <w:fldChar w:fldCharType="end"/>
            </w:r>
          </w:hyperlink>
        </w:p>
        <w:p w14:paraId="757AACA8" w14:textId="77777777" w:rsidR="002B3915" w:rsidRDefault="00AC4BE5">
          <w:pPr>
            <w:pStyle w:val="TOC1"/>
            <w:rPr>
              <w:rFonts w:asciiTheme="minorHAnsi" w:eastAsiaTheme="minorEastAsia" w:hAnsiTheme="minorHAnsi" w:cstheme="minorBidi"/>
              <w:b w:val="0"/>
            </w:rPr>
          </w:pPr>
          <w:hyperlink w:anchor="_Toc502832911" w:history="1">
            <w:r w:rsidR="002B3915" w:rsidRPr="00E878C3">
              <w:rPr>
                <w:rStyle w:val="Hyperlink"/>
              </w:rPr>
              <w:t>Section B</w:t>
            </w:r>
            <w:r w:rsidR="002B3915">
              <w:rPr>
                <w:rFonts w:asciiTheme="minorHAnsi" w:eastAsiaTheme="minorEastAsia" w:hAnsiTheme="minorHAnsi" w:cstheme="minorBidi"/>
                <w:b w:val="0"/>
              </w:rPr>
              <w:tab/>
            </w:r>
            <w:r w:rsidR="002B3915" w:rsidRPr="00E878C3">
              <w:rPr>
                <w:rStyle w:val="Hyperlink"/>
              </w:rPr>
              <w:t>Clinical evaluation</w:t>
            </w:r>
            <w:r w:rsidR="002B3915">
              <w:rPr>
                <w:webHidden/>
              </w:rPr>
              <w:tab/>
            </w:r>
            <w:r w:rsidR="002B3915">
              <w:rPr>
                <w:webHidden/>
              </w:rPr>
              <w:fldChar w:fldCharType="begin"/>
            </w:r>
            <w:r w:rsidR="002B3915">
              <w:rPr>
                <w:webHidden/>
              </w:rPr>
              <w:instrText xml:space="preserve"> PAGEREF _Toc502832911 \h </w:instrText>
            </w:r>
            <w:r w:rsidR="002B3915">
              <w:rPr>
                <w:webHidden/>
              </w:rPr>
            </w:r>
            <w:r w:rsidR="002B3915">
              <w:rPr>
                <w:webHidden/>
              </w:rPr>
              <w:fldChar w:fldCharType="separate"/>
            </w:r>
            <w:r>
              <w:rPr>
                <w:webHidden/>
              </w:rPr>
              <w:t>41</w:t>
            </w:r>
            <w:r w:rsidR="002B3915">
              <w:rPr>
                <w:webHidden/>
              </w:rPr>
              <w:fldChar w:fldCharType="end"/>
            </w:r>
          </w:hyperlink>
        </w:p>
        <w:p w14:paraId="7E3E912E" w14:textId="77777777" w:rsidR="002B3915" w:rsidRDefault="00AC4BE5">
          <w:pPr>
            <w:pStyle w:val="TOC1"/>
            <w:rPr>
              <w:rFonts w:asciiTheme="minorHAnsi" w:eastAsiaTheme="minorEastAsia" w:hAnsiTheme="minorHAnsi" w:cstheme="minorBidi"/>
              <w:b w:val="0"/>
            </w:rPr>
          </w:pPr>
          <w:hyperlink w:anchor="_Toc502832912" w:history="1">
            <w:r w:rsidR="002B3915" w:rsidRPr="00E878C3">
              <w:rPr>
                <w:rStyle w:val="Hyperlink"/>
              </w:rPr>
              <w:t>B1</w:t>
            </w:r>
            <w:r w:rsidR="002B3915">
              <w:rPr>
                <w:rFonts w:asciiTheme="minorHAnsi" w:eastAsiaTheme="minorEastAsia" w:hAnsiTheme="minorHAnsi" w:cstheme="minorBidi"/>
                <w:b w:val="0"/>
              </w:rPr>
              <w:tab/>
            </w:r>
            <w:r w:rsidR="002B3915" w:rsidRPr="00E878C3">
              <w:rPr>
                <w:rStyle w:val="Hyperlink"/>
              </w:rPr>
              <w:t>Direct evidence</w:t>
            </w:r>
            <w:r w:rsidR="002B3915">
              <w:rPr>
                <w:webHidden/>
              </w:rPr>
              <w:tab/>
            </w:r>
            <w:r w:rsidR="002B3915">
              <w:rPr>
                <w:webHidden/>
              </w:rPr>
              <w:fldChar w:fldCharType="begin"/>
            </w:r>
            <w:r w:rsidR="002B3915">
              <w:rPr>
                <w:webHidden/>
              </w:rPr>
              <w:instrText xml:space="preserve"> PAGEREF _Toc502832912 \h </w:instrText>
            </w:r>
            <w:r w:rsidR="002B3915">
              <w:rPr>
                <w:webHidden/>
              </w:rPr>
            </w:r>
            <w:r w:rsidR="002B3915">
              <w:rPr>
                <w:webHidden/>
              </w:rPr>
              <w:fldChar w:fldCharType="separate"/>
            </w:r>
            <w:r>
              <w:rPr>
                <w:webHidden/>
              </w:rPr>
              <w:t>42</w:t>
            </w:r>
            <w:r w:rsidR="002B3915">
              <w:rPr>
                <w:webHidden/>
              </w:rPr>
              <w:fldChar w:fldCharType="end"/>
            </w:r>
          </w:hyperlink>
        </w:p>
        <w:p w14:paraId="41547E22" w14:textId="77777777" w:rsidR="002B3915" w:rsidRDefault="00AC4BE5">
          <w:pPr>
            <w:pStyle w:val="TOC2"/>
            <w:tabs>
              <w:tab w:val="left" w:pos="1540"/>
            </w:tabs>
            <w:rPr>
              <w:rFonts w:asciiTheme="minorHAnsi" w:eastAsiaTheme="minorEastAsia" w:hAnsiTheme="minorHAnsi" w:cstheme="minorBidi"/>
            </w:rPr>
          </w:pPr>
          <w:hyperlink w:anchor="_Toc502832913" w:history="1">
            <w:r w:rsidR="002B3915" w:rsidRPr="00E878C3">
              <w:rPr>
                <w:rStyle w:val="Hyperlink"/>
              </w:rPr>
              <w:t>B1.1</w:t>
            </w:r>
            <w:r w:rsidR="002B3915">
              <w:rPr>
                <w:rFonts w:asciiTheme="minorHAnsi" w:eastAsiaTheme="minorEastAsia" w:hAnsiTheme="minorHAnsi" w:cstheme="minorBidi"/>
              </w:rPr>
              <w:tab/>
            </w:r>
            <w:r w:rsidR="002B3915" w:rsidRPr="00E878C3">
              <w:rPr>
                <w:rStyle w:val="Hyperlink"/>
              </w:rPr>
              <w:t>Literature sources and search strategies</w:t>
            </w:r>
            <w:r w:rsidR="002B3915">
              <w:rPr>
                <w:webHidden/>
              </w:rPr>
              <w:tab/>
            </w:r>
            <w:r w:rsidR="002B3915">
              <w:rPr>
                <w:webHidden/>
              </w:rPr>
              <w:fldChar w:fldCharType="begin"/>
            </w:r>
            <w:r w:rsidR="002B3915">
              <w:rPr>
                <w:webHidden/>
              </w:rPr>
              <w:instrText xml:space="preserve"> PAGEREF _Toc502832913 \h </w:instrText>
            </w:r>
            <w:r w:rsidR="002B3915">
              <w:rPr>
                <w:webHidden/>
              </w:rPr>
            </w:r>
            <w:r w:rsidR="002B3915">
              <w:rPr>
                <w:webHidden/>
              </w:rPr>
              <w:fldChar w:fldCharType="separate"/>
            </w:r>
            <w:r>
              <w:rPr>
                <w:webHidden/>
              </w:rPr>
              <w:t>42</w:t>
            </w:r>
            <w:r w:rsidR="002B3915">
              <w:rPr>
                <w:webHidden/>
              </w:rPr>
              <w:fldChar w:fldCharType="end"/>
            </w:r>
          </w:hyperlink>
        </w:p>
        <w:p w14:paraId="6177B1E5" w14:textId="77777777" w:rsidR="002B3915" w:rsidRDefault="00AC4BE5">
          <w:pPr>
            <w:pStyle w:val="TOC2"/>
            <w:tabs>
              <w:tab w:val="left" w:pos="1540"/>
            </w:tabs>
            <w:rPr>
              <w:rFonts w:asciiTheme="minorHAnsi" w:eastAsiaTheme="minorEastAsia" w:hAnsiTheme="minorHAnsi" w:cstheme="minorBidi"/>
            </w:rPr>
          </w:pPr>
          <w:hyperlink w:anchor="_Toc502832914" w:history="1">
            <w:r w:rsidR="002B3915" w:rsidRPr="00E878C3">
              <w:rPr>
                <w:rStyle w:val="Hyperlink"/>
              </w:rPr>
              <w:t>B1.2</w:t>
            </w:r>
            <w:r w:rsidR="002B3915">
              <w:rPr>
                <w:rFonts w:asciiTheme="minorHAnsi" w:eastAsiaTheme="minorEastAsia" w:hAnsiTheme="minorHAnsi" w:cstheme="minorBidi"/>
              </w:rPr>
              <w:tab/>
            </w:r>
            <w:r w:rsidR="002B3915" w:rsidRPr="00E878C3">
              <w:rPr>
                <w:rStyle w:val="Hyperlink"/>
              </w:rPr>
              <w:t>Results of literature search</w:t>
            </w:r>
            <w:r w:rsidR="002B3915">
              <w:rPr>
                <w:webHidden/>
              </w:rPr>
              <w:tab/>
            </w:r>
            <w:r w:rsidR="002B3915">
              <w:rPr>
                <w:webHidden/>
              </w:rPr>
              <w:fldChar w:fldCharType="begin"/>
            </w:r>
            <w:r w:rsidR="002B3915">
              <w:rPr>
                <w:webHidden/>
              </w:rPr>
              <w:instrText xml:space="preserve"> PAGEREF _Toc502832914 \h </w:instrText>
            </w:r>
            <w:r w:rsidR="002B3915">
              <w:rPr>
                <w:webHidden/>
              </w:rPr>
            </w:r>
            <w:r w:rsidR="002B3915">
              <w:rPr>
                <w:webHidden/>
              </w:rPr>
              <w:fldChar w:fldCharType="separate"/>
            </w:r>
            <w:r>
              <w:rPr>
                <w:webHidden/>
              </w:rPr>
              <w:t>42</w:t>
            </w:r>
            <w:r w:rsidR="002B3915">
              <w:rPr>
                <w:webHidden/>
              </w:rPr>
              <w:fldChar w:fldCharType="end"/>
            </w:r>
          </w:hyperlink>
        </w:p>
        <w:p w14:paraId="47F08C56" w14:textId="77777777" w:rsidR="002B3915" w:rsidRDefault="00AC4BE5">
          <w:pPr>
            <w:pStyle w:val="TOC3"/>
            <w:rPr>
              <w:rFonts w:asciiTheme="minorHAnsi" w:eastAsiaTheme="minorEastAsia" w:hAnsiTheme="minorHAnsi" w:cstheme="minorBidi"/>
            </w:rPr>
          </w:pPr>
          <w:hyperlink w:anchor="_Toc502832915" w:history="1">
            <w:r w:rsidR="002B3915" w:rsidRPr="00E878C3">
              <w:rPr>
                <w:rStyle w:val="Hyperlink"/>
              </w:rPr>
              <w:t>Appraisal of the evidence</w:t>
            </w:r>
            <w:r w:rsidR="002B3915">
              <w:rPr>
                <w:webHidden/>
              </w:rPr>
              <w:tab/>
            </w:r>
            <w:r w:rsidR="002B3915">
              <w:rPr>
                <w:webHidden/>
              </w:rPr>
              <w:fldChar w:fldCharType="begin"/>
            </w:r>
            <w:r w:rsidR="002B3915">
              <w:rPr>
                <w:webHidden/>
              </w:rPr>
              <w:instrText xml:space="preserve"> PAGEREF _Toc502832915 \h </w:instrText>
            </w:r>
            <w:r w:rsidR="002B3915">
              <w:rPr>
                <w:webHidden/>
              </w:rPr>
            </w:r>
            <w:r w:rsidR="002B3915">
              <w:rPr>
                <w:webHidden/>
              </w:rPr>
              <w:fldChar w:fldCharType="separate"/>
            </w:r>
            <w:r>
              <w:rPr>
                <w:webHidden/>
              </w:rPr>
              <w:t>43</w:t>
            </w:r>
            <w:r w:rsidR="002B3915">
              <w:rPr>
                <w:webHidden/>
              </w:rPr>
              <w:fldChar w:fldCharType="end"/>
            </w:r>
          </w:hyperlink>
        </w:p>
        <w:p w14:paraId="72449987" w14:textId="77777777" w:rsidR="002B3915" w:rsidRDefault="00AC4BE5">
          <w:pPr>
            <w:pStyle w:val="TOC2"/>
            <w:tabs>
              <w:tab w:val="left" w:pos="1540"/>
            </w:tabs>
            <w:rPr>
              <w:rFonts w:asciiTheme="minorHAnsi" w:eastAsiaTheme="minorEastAsia" w:hAnsiTheme="minorHAnsi" w:cstheme="minorBidi"/>
            </w:rPr>
          </w:pPr>
          <w:hyperlink w:anchor="_Toc502832916" w:history="1">
            <w:r w:rsidR="002B3915" w:rsidRPr="00E878C3">
              <w:rPr>
                <w:rStyle w:val="Hyperlink"/>
              </w:rPr>
              <w:t>B1.3</w:t>
            </w:r>
            <w:r w:rsidR="002B3915">
              <w:rPr>
                <w:rFonts w:asciiTheme="minorHAnsi" w:eastAsiaTheme="minorEastAsia" w:hAnsiTheme="minorHAnsi" w:cstheme="minorBidi"/>
              </w:rPr>
              <w:tab/>
            </w:r>
            <w:r w:rsidR="002B3915" w:rsidRPr="00E878C3">
              <w:rPr>
                <w:rStyle w:val="Hyperlink"/>
              </w:rPr>
              <w:t>Risk of bias assessment</w:t>
            </w:r>
            <w:r w:rsidR="002B3915">
              <w:rPr>
                <w:webHidden/>
              </w:rPr>
              <w:tab/>
            </w:r>
            <w:r w:rsidR="002B3915">
              <w:rPr>
                <w:webHidden/>
              </w:rPr>
              <w:fldChar w:fldCharType="begin"/>
            </w:r>
            <w:r w:rsidR="002B3915">
              <w:rPr>
                <w:webHidden/>
              </w:rPr>
              <w:instrText xml:space="preserve"> PAGEREF _Toc502832916 \h </w:instrText>
            </w:r>
            <w:r w:rsidR="002B3915">
              <w:rPr>
                <w:webHidden/>
              </w:rPr>
            </w:r>
            <w:r w:rsidR="002B3915">
              <w:rPr>
                <w:webHidden/>
              </w:rPr>
              <w:fldChar w:fldCharType="separate"/>
            </w:r>
            <w:r>
              <w:rPr>
                <w:webHidden/>
              </w:rPr>
              <w:t>44</w:t>
            </w:r>
            <w:r w:rsidR="002B3915">
              <w:rPr>
                <w:webHidden/>
              </w:rPr>
              <w:fldChar w:fldCharType="end"/>
            </w:r>
          </w:hyperlink>
        </w:p>
        <w:p w14:paraId="4CC2CB86" w14:textId="77777777" w:rsidR="002B3915" w:rsidRDefault="00AC4BE5">
          <w:pPr>
            <w:pStyle w:val="TOC2"/>
            <w:tabs>
              <w:tab w:val="left" w:pos="1540"/>
            </w:tabs>
            <w:rPr>
              <w:rFonts w:asciiTheme="minorHAnsi" w:eastAsiaTheme="minorEastAsia" w:hAnsiTheme="minorHAnsi" w:cstheme="minorBidi"/>
            </w:rPr>
          </w:pPr>
          <w:hyperlink w:anchor="_Toc502832917" w:history="1">
            <w:r w:rsidR="002B3915" w:rsidRPr="00E878C3">
              <w:rPr>
                <w:rStyle w:val="Hyperlink"/>
              </w:rPr>
              <w:t>B1.4</w:t>
            </w:r>
            <w:r w:rsidR="002B3915">
              <w:rPr>
                <w:rFonts w:asciiTheme="minorHAnsi" w:eastAsiaTheme="minorEastAsia" w:hAnsiTheme="minorHAnsi" w:cstheme="minorBidi"/>
              </w:rPr>
              <w:tab/>
            </w:r>
            <w:r w:rsidR="002B3915" w:rsidRPr="00E878C3">
              <w:rPr>
                <w:rStyle w:val="Hyperlink"/>
              </w:rPr>
              <w:t>Characteristics of the evidence base</w:t>
            </w:r>
            <w:r w:rsidR="002B3915">
              <w:rPr>
                <w:webHidden/>
              </w:rPr>
              <w:tab/>
            </w:r>
            <w:r w:rsidR="002B3915">
              <w:rPr>
                <w:webHidden/>
              </w:rPr>
              <w:fldChar w:fldCharType="begin"/>
            </w:r>
            <w:r w:rsidR="002B3915">
              <w:rPr>
                <w:webHidden/>
              </w:rPr>
              <w:instrText xml:space="preserve"> PAGEREF _Toc502832917 \h </w:instrText>
            </w:r>
            <w:r w:rsidR="002B3915">
              <w:rPr>
                <w:webHidden/>
              </w:rPr>
            </w:r>
            <w:r w:rsidR="002B3915">
              <w:rPr>
                <w:webHidden/>
              </w:rPr>
              <w:fldChar w:fldCharType="separate"/>
            </w:r>
            <w:r>
              <w:rPr>
                <w:webHidden/>
              </w:rPr>
              <w:t>44</w:t>
            </w:r>
            <w:r w:rsidR="002B3915">
              <w:rPr>
                <w:webHidden/>
              </w:rPr>
              <w:fldChar w:fldCharType="end"/>
            </w:r>
          </w:hyperlink>
        </w:p>
        <w:p w14:paraId="6806BAB4" w14:textId="77777777" w:rsidR="002B3915" w:rsidRDefault="00AC4BE5">
          <w:pPr>
            <w:pStyle w:val="TOC2"/>
            <w:tabs>
              <w:tab w:val="left" w:pos="1540"/>
            </w:tabs>
            <w:rPr>
              <w:rFonts w:asciiTheme="minorHAnsi" w:eastAsiaTheme="minorEastAsia" w:hAnsiTheme="minorHAnsi" w:cstheme="minorBidi"/>
            </w:rPr>
          </w:pPr>
          <w:hyperlink w:anchor="_Toc502832918" w:history="1">
            <w:r w:rsidR="002B3915" w:rsidRPr="00E878C3">
              <w:rPr>
                <w:rStyle w:val="Hyperlink"/>
              </w:rPr>
              <w:t>B1.5</w:t>
            </w:r>
            <w:r w:rsidR="002B3915">
              <w:rPr>
                <w:rFonts w:asciiTheme="minorHAnsi" w:eastAsiaTheme="minorEastAsia" w:hAnsiTheme="minorHAnsi" w:cstheme="minorBidi"/>
              </w:rPr>
              <w:tab/>
            </w:r>
            <w:r w:rsidR="002B3915" w:rsidRPr="00E878C3">
              <w:rPr>
                <w:rStyle w:val="Hyperlink"/>
              </w:rPr>
              <w:t>Outcome measures and analysis</w:t>
            </w:r>
            <w:r w:rsidR="002B3915">
              <w:rPr>
                <w:webHidden/>
              </w:rPr>
              <w:tab/>
            </w:r>
            <w:r w:rsidR="002B3915">
              <w:rPr>
                <w:webHidden/>
              </w:rPr>
              <w:fldChar w:fldCharType="begin"/>
            </w:r>
            <w:r w:rsidR="002B3915">
              <w:rPr>
                <w:webHidden/>
              </w:rPr>
              <w:instrText xml:space="preserve"> PAGEREF _Toc502832918 \h </w:instrText>
            </w:r>
            <w:r w:rsidR="002B3915">
              <w:rPr>
                <w:webHidden/>
              </w:rPr>
            </w:r>
            <w:r w:rsidR="002B3915">
              <w:rPr>
                <w:webHidden/>
              </w:rPr>
              <w:fldChar w:fldCharType="separate"/>
            </w:r>
            <w:r>
              <w:rPr>
                <w:webHidden/>
              </w:rPr>
              <w:t>44</w:t>
            </w:r>
            <w:r w:rsidR="002B3915">
              <w:rPr>
                <w:webHidden/>
              </w:rPr>
              <w:fldChar w:fldCharType="end"/>
            </w:r>
          </w:hyperlink>
        </w:p>
        <w:p w14:paraId="6535823A" w14:textId="77777777" w:rsidR="002B3915" w:rsidRDefault="00AC4BE5">
          <w:pPr>
            <w:pStyle w:val="TOC2"/>
            <w:tabs>
              <w:tab w:val="left" w:pos="1540"/>
            </w:tabs>
            <w:rPr>
              <w:rFonts w:asciiTheme="minorHAnsi" w:eastAsiaTheme="minorEastAsia" w:hAnsiTheme="minorHAnsi" w:cstheme="minorBidi"/>
            </w:rPr>
          </w:pPr>
          <w:hyperlink w:anchor="_Toc502832919" w:history="1">
            <w:r w:rsidR="002B3915" w:rsidRPr="00E878C3">
              <w:rPr>
                <w:rStyle w:val="Hyperlink"/>
              </w:rPr>
              <w:t>B1.6</w:t>
            </w:r>
            <w:r w:rsidR="002B3915">
              <w:rPr>
                <w:rFonts w:asciiTheme="minorHAnsi" w:eastAsiaTheme="minorEastAsia" w:hAnsiTheme="minorHAnsi" w:cstheme="minorBidi"/>
              </w:rPr>
              <w:tab/>
            </w:r>
            <w:r w:rsidR="002B3915" w:rsidRPr="00E878C3">
              <w:rPr>
                <w:rStyle w:val="Hyperlink"/>
              </w:rPr>
              <w:t>Results of the systematic literature review</w:t>
            </w:r>
            <w:r w:rsidR="002B3915">
              <w:rPr>
                <w:webHidden/>
              </w:rPr>
              <w:tab/>
            </w:r>
            <w:r w:rsidR="002B3915">
              <w:rPr>
                <w:webHidden/>
              </w:rPr>
              <w:fldChar w:fldCharType="begin"/>
            </w:r>
            <w:r w:rsidR="002B3915">
              <w:rPr>
                <w:webHidden/>
              </w:rPr>
              <w:instrText xml:space="preserve"> PAGEREF _Toc502832919 \h </w:instrText>
            </w:r>
            <w:r w:rsidR="002B3915">
              <w:rPr>
                <w:webHidden/>
              </w:rPr>
            </w:r>
            <w:r w:rsidR="002B3915">
              <w:rPr>
                <w:webHidden/>
              </w:rPr>
              <w:fldChar w:fldCharType="separate"/>
            </w:r>
            <w:r>
              <w:rPr>
                <w:webHidden/>
              </w:rPr>
              <w:t>45</w:t>
            </w:r>
            <w:r w:rsidR="002B3915">
              <w:rPr>
                <w:webHidden/>
              </w:rPr>
              <w:fldChar w:fldCharType="end"/>
            </w:r>
          </w:hyperlink>
        </w:p>
        <w:p w14:paraId="50D1C80E" w14:textId="77777777" w:rsidR="002B3915" w:rsidRDefault="00AC4BE5">
          <w:pPr>
            <w:pStyle w:val="TOC3"/>
            <w:rPr>
              <w:rFonts w:asciiTheme="minorHAnsi" w:eastAsiaTheme="minorEastAsia" w:hAnsiTheme="minorHAnsi" w:cstheme="minorBidi"/>
            </w:rPr>
          </w:pPr>
          <w:hyperlink w:anchor="_Toc502832920" w:history="1">
            <w:r w:rsidR="002B3915" w:rsidRPr="00E878C3">
              <w:rPr>
                <w:rStyle w:val="Hyperlink"/>
              </w:rPr>
              <w:t>Is it safe?</w:t>
            </w:r>
            <w:r w:rsidR="002B3915">
              <w:rPr>
                <w:webHidden/>
              </w:rPr>
              <w:tab/>
            </w:r>
            <w:r w:rsidR="002B3915">
              <w:rPr>
                <w:webHidden/>
              </w:rPr>
              <w:fldChar w:fldCharType="begin"/>
            </w:r>
            <w:r w:rsidR="002B3915">
              <w:rPr>
                <w:webHidden/>
              </w:rPr>
              <w:instrText xml:space="preserve"> PAGEREF _Toc502832920 \h </w:instrText>
            </w:r>
            <w:r w:rsidR="002B3915">
              <w:rPr>
                <w:webHidden/>
              </w:rPr>
            </w:r>
            <w:r w:rsidR="002B3915">
              <w:rPr>
                <w:webHidden/>
              </w:rPr>
              <w:fldChar w:fldCharType="separate"/>
            </w:r>
            <w:r>
              <w:rPr>
                <w:webHidden/>
              </w:rPr>
              <w:t>45</w:t>
            </w:r>
            <w:r w:rsidR="002B3915">
              <w:rPr>
                <w:webHidden/>
              </w:rPr>
              <w:fldChar w:fldCharType="end"/>
            </w:r>
          </w:hyperlink>
        </w:p>
        <w:p w14:paraId="1AF4AAE3" w14:textId="77777777" w:rsidR="002B3915" w:rsidRDefault="00AC4BE5">
          <w:pPr>
            <w:pStyle w:val="TOC3"/>
            <w:rPr>
              <w:rFonts w:asciiTheme="minorHAnsi" w:eastAsiaTheme="minorEastAsia" w:hAnsiTheme="minorHAnsi" w:cstheme="minorBidi"/>
            </w:rPr>
          </w:pPr>
          <w:hyperlink w:anchor="_Toc502832921" w:history="1">
            <w:r w:rsidR="002B3915" w:rsidRPr="00E878C3">
              <w:rPr>
                <w:rStyle w:val="Hyperlink"/>
              </w:rPr>
              <w:t>Is it effective?</w:t>
            </w:r>
            <w:r w:rsidR="002B3915">
              <w:rPr>
                <w:webHidden/>
              </w:rPr>
              <w:tab/>
            </w:r>
            <w:r w:rsidR="002B3915">
              <w:rPr>
                <w:webHidden/>
              </w:rPr>
              <w:fldChar w:fldCharType="begin"/>
            </w:r>
            <w:r w:rsidR="002B3915">
              <w:rPr>
                <w:webHidden/>
              </w:rPr>
              <w:instrText xml:space="preserve"> PAGEREF _Toc502832921 \h </w:instrText>
            </w:r>
            <w:r w:rsidR="002B3915">
              <w:rPr>
                <w:webHidden/>
              </w:rPr>
            </w:r>
            <w:r w:rsidR="002B3915">
              <w:rPr>
                <w:webHidden/>
              </w:rPr>
              <w:fldChar w:fldCharType="separate"/>
            </w:r>
            <w:r>
              <w:rPr>
                <w:webHidden/>
              </w:rPr>
              <w:t>45</w:t>
            </w:r>
            <w:r w:rsidR="002B3915">
              <w:rPr>
                <w:webHidden/>
              </w:rPr>
              <w:fldChar w:fldCharType="end"/>
            </w:r>
          </w:hyperlink>
        </w:p>
        <w:p w14:paraId="374C8C39" w14:textId="77777777" w:rsidR="002B3915" w:rsidRDefault="00AC4BE5">
          <w:pPr>
            <w:pStyle w:val="TOC1"/>
            <w:rPr>
              <w:rFonts w:asciiTheme="minorHAnsi" w:eastAsiaTheme="minorEastAsia" w:hAnsiTheme="minorHAnsi" w:cstheme="minorBidi"/>
              <w:b w:val="0"/>
            </w:rPr>
          </w:pPr>
          <w:hyperlink w:anchor="_Toc502832922" w:history="1">
            <w:r w:rsidR="002B3915" w:rsidRPr="00E878C3">
              <w:rPr>
                <w:rStyle w:val="Hyperlink"/>
              </w:rPr>
              <w:t>B2</w:t>
            </w:r>
            <w:r w:rsidR="002B3915">
              <w:rPr>
                <w:rFonts w:asciiTheme="minorHAnsi" w:eastAsiaTheme="minorEastAsia" w:hAnsiTheme="minorHAnsi" w:cstheme="minorBidi"/>
                <w:b w:val="0"/>
              </w:rPr>
              <w:tab/>
            </w:r>
            <w:r w:rsidR="002B3915" w:rsidRPr="00E878C3">
              <w:rPr>
                <w:rStyle w:val="Hyperlink"/>
              </w:rPr>
              <w:t>Linked evidence approach</w:t>
            </w:r>
            <w:r w:rsidR="002B3915">
              <w:rPr>
                <w:webHidden/>
              </w:rPr>
              <w:tab/>
            </w:r>
            <w:r w:rsidR="002B3915">
              <w:rPr>
                <w:webHidden/>
              </w:rPr>
              <w:fldChar w:fldCharType="begin"/>
            </w:r>
            <w:r w:rsidR="002B3915">
              <w:rPr>
                <w:webHidden/>
              </w:rPr>
              <w:instrText xml:space="preserve"> PAGEREF _Toc502832922 \h </w:instrText>
            </w:r>
            <w:r w:rsidR="002B3915">
              <w:rPr>
                <w:webHidden/>
              </w:rPr>
            </w:r>
            <w:r w:rsidR="002B3915">
              <w:rPr>
                <w:webHidden/>
              </w:rPr>
              <w:fldChar w:fldCharType="separate"/>
            </w:r>
            <w:r>
              <w:rPr>
                <w:webHidden/>
              </w:rPr>
              <w:t>46</w:t>
            </w:r>
            <w:r w:rsidR="002B3915">
              <w:rPr>
                <w:webHidden/>
              </w:rPr>
              <w:fldChar w:fldCharType="end"/>
            </w:r>
          </w:hyperlink>
        </w:p>
        <w:p w14:paraId="0EAC44AC" w14:textId="77777777" w:rsidR="002B3915" w:rsidRDefault="00AC4BE5">
          <w:pPr>
            <w:pStyle w:val="TOC2"/>
            <w:tabs>
              <w:tab w:val="left" w:pos="1540"/>
            </w:tabs>
            <w:rPr>
              <w:rFonts w:asciiTheme="minorHAnsi" w:eastAsiaTheme="minorEastAsia" w:hAnsiTheme="minorHAnsi" w:cstheme="minorBidi"/>
            </w:rPr>
          </w:pPr>
          <w:hyperlink w:anchor="_Toc502832923" w:history="1">
            <w:r w:rsidR="002B3915" w:rsidRPr="00E878C3">
              <w:rPr>
                <w:rStyle w:val="Hyperlink"/>
              </w:rPr>
              <w:t>B2.1</w:t>
            </w:r>
            <w:r w:rsidR="002B3915">
              <w:rPr>
                <w:rFonts w:asciiTheme="minorHAnsi" w:eastAsiaTheme="minorEastAsia" w:hAnsiTheme="minorHAnsi" w:cstheme="minorBidi"/>
              </w:rPr>
              <w:tab/>
            </w:r>
            <w:r w:rsidR="002B3915" w:rsidRPr="00E878C3">
              <w:rPr>
                <w:rStyle w:val="Hyperlink"/>
              </w:rPr>
              <w:t>Basis for linked evidence</w:t>
            </w:r>
            <w:r w:rsidR="002B3915">
              <w:rPr>
                <w:webHidden/>
              </w:rPr>
              <w:tab/>
            </w:r>
            <w:r w:rsidR="002B3915">
              <w:rPr>
                <w:webHidden/>
              </w:rPr>
              <w:fldChar w:fldCharType="begin"/>
            </w:r>
            <w:r w:rsidR="002B3915">
              <w:rPr>
                <w:webHidden/>
              </w:rPr>
              <w:instrText xml:space="preserve"> PAGEREF _Toc502832923 \h </w:instrText>
            </w:r>
            <w:r w:rsidR="002B3915">
              <w:rPr>
                <w:webHidden/>
              </w:rPr>
            </w:r>
            <w:r w:rsidR="002B3915">
              <w:rPr>
                <w:webHidden/>
              </w:rPr>
              <w:fldChar w:fldCharType="separate"/>
            </w:r>
            <w:r>
              <w:rPr>
                <w:webHidden/>
              </w:rPr>
              <w:t>46</w:t>
            </w:r>
            <w:r w:rsidR="002B3915">
              <w:rPr>
                <w:webHidden/>
              </w:rPr>
              <w:fldChar w:fldCharType="end"/>
            </w:r>
          </w:hyperlink>
        </w:p>
        <w:p w14:paraId="01D3256C" w14:textId="77777777" w:rsidR="002B3915" w:rsidRDefault="00AC4BE5">
          <w:pPr>
            <w:pStyle w:val="TOC2"/>
            <w:tabs>
              <w:tab w:val="left" w:pos="1540"/>
            </w:tabs>
            <w:rPr>
              <w:rFonts w:asciiTheme="minorHAnsi" w:eastAsiaTheme="minorEastAsia" w:hAnsiTheme="minorHAnsi" w:cstheme="minorBidi"/>
            </w:rPr>
          </w:pPr>
          <w:hyperlink w:anchor="_Toc502832924" w:history="1">
            <w:r w:rsidR="002B3915" w:rsidRPr="00E878C3">
              <w:rPr>
                <w:rStyle w:val="Hyperlink"/>
              </w:rPr>
              <w:t>B2.2</w:t>
            </w:r>
            <w:r w:rsidR="002B3915">
              <w:rPr>
                <w:rFonts w:asciiTheme="minorHAnsi" w:eastAsiaTheme="minorEastAsia" w:hAnsiTheme="minorHAnsi" w:cstheme="minorBidi"/>
              </w:rPr>
              <w:tab/>
            </w:r>
            <w:r w:rsidR="002B3915" w:rsidRPr="00E878C3">
              <w:rPr>
                <w:rStyle w:val="Hyperlink"/>
              </w:rPr>
              <w:t>Steps for linked analysis</w:t>
            </w:r>
            <w:r w:rsidR="002B3915">
              <w:rPr>
                <w:webHidden/>
              </w:rPr>
              <w:tab/>
            </w:r>
            <w:r w:rsidR="002B3915">
              <w:rPr>
                <w:webHidden/>
              </w:rPr>
              <w:fldChar w:fldCharType="begin"/>
            </w:r>
            <w:r w:rsidR="002B3915">
              <w:rPr>
                <w:webHidden/>
              </w:rPr>
              <w:instrText xml:space="preserve"> PAGEREF _Toc502832924 \h </w:instrText>
            </w:r>
            <w:r w:rsidR="002B3915">
              <w:rPr>
                <w:webHidden/>
              </w:rPr>
            </w:r>
            <w:r w:rsidR="002B3915">
              <w:rPr>
                <w:webHidden/>
              </w:rPr>
              <w:fldChar w:fldCharType="separate"/>
            </w:r>
            <w:r>
              <w:rPr>
                <w:webHidden/>
              </w:rPr>
              <w:t>46</w:t>
            </w:r>
            <w:r w:rsidR="002B3915">
              <w:rPr>
                <w:webHidden/>
              </w:rPr>
              <w:fldChar w:fldCharType="end"/>
            </w:r>
          </w:hyperlink>
        </w:p>
        <w:p w14:paraId="1C4F56C9" w14:textId="77777777" w:rsidR="002B3915" w:rsidRDefault="00AC4BE5">
          <w:pPr>
            <w:pStyle w:val="TOC1"/>
            <w:rPr>
              <w:rFonts w:asciiTheme="minorHAnsi" w:eastAsiaTheme="minorEastAsia" w:hAnsiTheme="minorHAnsi" w:cstheme="minorBidi"/>
              <w:b w:val="0"/>
            </w:rPr>
          </w:pPr>
          <w:hyperlink w:anchor="_Toc502832925" w:history="1">
            <w:r w:rsidR="002B3915" w:rsidRPr="00E878C3">
              <w:rPr>
                <w:rStyle w:val="Hyperlink"/>
              </w:rPr>
              <w:t>B3</w:t>
            </w:r>
            <w:r w:rsidR="002B3915">
              <w:rPr>
                <w:rFonts w:asciiTheme="minorHAnsi" w:eastAsiaTheme="minorEastAsia" w:hAnsiTheme="minorHAnsi" w:cstheme="minorBidi"/>
                <w:b w:val="0"/>
              </w:rPr>
              <w:tab/>
            </w:r>
            <w:r w:rsidR="002B3915" w:rsidRPr="00E878C3">
              <w:rPr>
                <w:rStyle w:val="Hyperlink"/>
              </w:rPr>
              <w:t>Analytical validity</w:t>
            </w:r>
            <w:r w:rsidR="002B3915">
              <w:rPr>
                <w:webHidden/>
              </w:rPr>
              <w:tab/>
            </w:r>
            <w:r w:rsidR="002B3915">
              <w:rPr>
                <w:webHidden/>
              </w:rPr>
              <w:fldChar w:fldCharType="begin"/>
            </w:r>
            <w:r w:rsidR="002B3915">
              <w:rPr>
                <w:webHidden/>
              </w:rPr>
              <w:instrText xml:space="preserve"> PAGEREF _Toc502832925 \h </w:instrText>
            </w:r>
            <w:r w:rsidR="002B3915">
              <w:rPr>
                <w:webHidden/>
              </w:rPr>
            </w:r>
            <w:r w:rsidR="002B3915">
              <w:rPr>
                <w:webHidden/>
              </w:rPr>
              <w:fldChar w:fldCharType="separate"/>
            </w:r>
            <w:r>
              <w:rPr>
                <w:webHidden/>
              </w:rPr>
              <w:t>47</w:t>
            </w:r>
            <w:r w:rsidR="002B3915">
              <w:rPr>
                <w:webHidden/>
              </w:rPr>
              <w:fldChar w:fldCharType="end"/>
            </w:r>
          </w:hyperlink>
        </w:p>
        <w:p w14:paraId="2AC1197E" w14:textId="77777777" w:rsidR="002B3915" w:rsidRDefault="00AC4BE5">
          <w:pPr>
            <w:pStyle w:val="TOC2"/>
            <w:tabs>
              <w:tab w:val="left" w:pos="1540"/>
            </w:tabs>
            <w:rPr>
              <w:rFonts w:asciiTheme="minorHAnsi" w:eastAsiaTheme="minorEastAsia" w:hAnsiTheme="minorHAnsi" w:cstheme="minorBidi"/>
            </w:rPr>
          </w:pPr>
          <w:hyperlink w:anchor="_Toc502832926" w:history="1">
            <w:r w:rsidR="002B3915" w:rsidRPr="00E878C3">
              <w:rPr>
                <w:rStyle w:val="Hyperlink"/>
              </w:rPr>
              <w:t>B3.1</w:t>
            </w:r>
            <w:r w:rsidR="002B3915">
              <w:rPr>
                <w:rFonts w:asciiTheme="minorHAnsi" w:eastAsiaTheme="minorEastAsia" w:hAnsiTheme="minorHAnsi" w:cstheme="minorBidi"/>
              </w:rPr>
              <w:tab/>
            </w:r>
            <w:r w:rsidR="002B3915" w:rsidRPr="00E878C3">
              <w:rPr>
                <w:rStyle w:val="Hyperlink"/>
              </w:rPr>
              <w:t>Reference standard</w:t>
            </w:r>
            <w:r w:rsidR="002B3915">
              <w:rPr>
                <w:webHidden/>
              </w:rPr>
              <w:tab/>
            </w:r>
            <w:r w:rsidR="002B3915">
              <w:rPr>
                <w:webHidden/>
              </w:rPr>
              <w:fldChar w:fldCharType="begin"/>
            </w:r>
            <w:r w:rsidR="002B3915">
              <w:rPr>
                <w:webHidden/>
              </w:rPr>
              <w:instrText xml:space="preserve"> PAGEREF _Toc502832926 \h </w:instrText>
            </w:r>
            <w:r w:rsidR="002B3915">
              <w:rPr>
                <w:webHidden/>
              </w:rPr>
            </w:r>
            <w:r w:rsidR="002B3915">
              <w:rPr>
                <w:webHidden/>
              </w:rPr>
              <w:fldChar w:fldCharType="separate"/>
            </w:r>
            <w:r>
              <w:rPr>
                <w:webHidden/>
              </w:rPr>
              <w:t>47</w:t>
            </w:r>
            <w:r w:rsidR="002B3915">
              <w:rPr>
                <w:webHidden/>
              </w:rPr>
              <w:fldChar w:fldCharType="end"/>
            </w:r>
          </w:hyperlink>
        </w:p>
        <w:p w14:paraId="4CFBB14B" w14:textId="77777777" w:rsidR="002B3915" w:rsidRDefault="00AC4BE5">
          <w:pPr>
            <w:pStyle w:val="TOC2"/>
            <w:tabs>
              <w:tab w:val="left" w:pos="1540"/>
            </w:tabs>
            <w:rPr>
              <w:rFonts w:asciiTheme="minorHAnsi" w:eastAsiaTheme="minorEastAsia" w:hAnsiTheme="minorHAnsi" w:cstheme="minorBidi"/>
            </w:rPr>
          </w:pPr>
          <w:hyperlink w:anchor="_Toc502832927" w:history="1">
            <w:r w:rsidR="002B3915" w:rsidRPr="00E878C3">
              <w:rPr>
                <w:rStyle w:val="Hyperlink"/>
              </w:rPr>
              <w:t>B3.2</w:t>
            </w:r>
            <w:r w:rsidR="002B3915">
              <w:rPr>
                <w:rFonts w:asciiTheme="minorHAnsi" w:eastAsiaTheme="minorEastAsia" w:hAnsiTheme="minorHAnsi" w:cstheme="minorBidi"/>
              </w:rPr>
              <w:tab/>
            </w:r>
            <w:r w:rsidR="002B3915" w:rsidRPr="00E878C3">
              <w:rPr>
                <w:rStyle w:val="Hyperlink"/>
              </w:rPr>
              <w:t>Literature sources and search strategies</w:t>
            </w:r>
            <w:r w:rsidR="002B3915">
              <w:rPr>
                <w:webHidden/>
              </w:rPr>
              <w:tab/>
            </w:r>
            <w:r w:rsidR="002B3915">
              <w:rPr>
                <w:webHidden/>
              </w:rPr>
              <w:fldChar w:fldCharType="begin"/>
            </w:r>
            <w:r w:rsidR="002B3915">
              <w:rPr>
                <w:webHidden/>
              </w:rPr>
              <w:instrText xml:space="preserve"> PAGEREF _Toc502832927 \h </w:instrText>
            </w:r>
            <w:r w:rsidR="002B3915">
              <w:rPr>
                <w:webHidden/>
              </w:rPr>
            </w:r>
            <w:r w:rsidR="002B3915">
              <w:rPr>
                <w:webHidden/>
              </w:rPr>
              <w:fldChar w:fldCharType="separate"/>
            </w:r>
            <w:r>
              <w:rPr>
                <w:webHidden/>
              </w:rPr>
              <w:t>47</w:t>
            </w:r>
            <w:r w:rsidR="002B3915">
              <w:rPr>
                <w:webHidden/>
              </w:rPr>
              <w:fldChar w:fldCharType="end"/>
            </w:r>
          </w:hyperlink>
        </w:p>
        <w:p w14:paraId="6ECD5EC3" w14:textId="77777777" w:rsidR="002B3915" w:rsidRDefault="00AC4BE5">
          <w:pPr>
            <w:pStyle w:val="TOC2"/>
            <w:tabs>
              <w:tab w:val="left" w:pos="1540"/>
            </w:tabs>
            <w:rPr>
              <w:rFonts w:asciiTheme="minorHAnsi" w:eastAsiaTheme="minorEastAsia" w:hAnsiTheme="minorHAnsi" w:cstheme="minorBidi"/>
            </w:rPr>
          </w:pPr>
          <w:hyperlink w:anchor="_Toc502832928" w:history="1">
            <w:r w:rsidR="002B3915" w:rsidRPr="00E878C3">
              <w:rPr>
                <w:rStyle w:val="Hyperlink"/>
              </w:rPr>
              <w:t>B3.3</w:t>
            </w:r>
            <w:r w:rsidR="002B3915">
              <w:rPr>
                <w:rFonts w:asciiTheme="minorHAnsi" w:eastAsiaTheme="minorEastAsia" w:hAnsiTheme="minorHAnsi" w:cstheme="minorBidi"/>
              </w:rPr>
              <w:tab/>
            </w:r>
            <w:r w:rsidR="002B3915" w:rsidRPr="00E878C3">
              <w:rPr>
                <w:rStyle w:val="Hyperlink"/>
              </w:rPr>
              <w:t>Results of literature search</w:t>
            </w:r>
            <w:r w:rsidR="002B3915">
              <w:rPr>
                <w:webHidden/>
              </w:rPr>
              <w:tab/>
            </w:r>
            <w:r w:rsidR="002B3915">
              <w:rPr>
                <w:webHidden/>
              </w:rPr>
              <w:fldChar w:fldCharType="begin"/>
            </w:r>
            <w:r w:rsidR="002B3915">
              <w:rPr>
                <w:webHidden/>
              </w:rPr>
              <w:instrText xml:space="preserve"> PAGEREF _Toc502832928 \h </w:instrText>
            </w:r>
            <w:r w:rsidR="002B3915">
              <w:rPr>
                <w:webHidden/>
              </w:rPr>
            </w:r>
            <w:r w:rsidR="002B3915">
              <w:rPr>
                <w:webHidden/>
              </w:rPr>
              <w:fldChar w:fldCharType="separate"/>
            </w:r>
            <w:r>
              <w:rPr>
                <w:webHidden/>
              </w:rPr>
              <w:t>47</w:t>
            </w:r>
            <w:r w:rsidR="002B3915">
              <w:rPr>
                <w:webHidden/>
              </w:rPr>
              <w:fldChar w:fldCharType="end"/>
            </w:r>
          </w:hyperlink>
        </w:p>
        <w:p w14:paraId="57B95AD8" w14:textId="77777777" w:rsidR="002B3915" w:rsidRDefault="00AC4BE5">
          <w:pPr>
            <w:pStyle w:val="TOC2"/>
            <w:tabs>
              <w:tab w:val="left" w:pos="1540"/>
            </w:tabs>
            <w:rPr>
              <w:rFonts w:asciiTheme="minorHAnsi" w:eastAsiaTheme="minorEastAsia" w:hAnsiTheme="minorHAnsi" w:cstheme="minorBidi"/>
            </w:rPr>
          </w:pPr>
          <w:hyperlink w:anchor="_Toc502832929" w:history="1">
            <w:r w:rsidR="002B3915" w:rsidRPr="00E878C3">
              <w:rPr>
                <w:rStyle w:val="Hyperlink"/>
              </w:rPr>
              <w:t>B3.4</w:t>
            </w:r>
            <w:r w:rsidR="002B3915">
              <w:rPr>
                <w:rFonts w:asciiTheme="minorHAnsi" w:eastAsiaTheme="minorEastAsia" w:hAnsiTheme="minorHAnsi" w:cstheme="minorBidi"/>
              </w:rPr>
              <w:tab/>
            </w:r>
            <w:r w:rsidR="002B3915" w:rsidRPr="00E878C3">
              <w:rPr>
                <w:rStyle w:val="Hyperlink"/>
              </w:rPr>
              <w:t>Risk of bias assessment</w:t>
            </w:r>
            <w:r w:rsidR="002B3915">
              <w:rPr>
                <w:webHidden/>
              </w:rPr>
              <w:tab/>
            </w:r>
            <w:r w:rsidR="002B3915">
              <w:rPr>
                <w:webHidden/>
              </w:rPr>
              <w:fldChar w:fldCharType="begin"/>
            </w:r>
            <w:r w:rsidR="002B3915">
              <w:rPr>
                <w:webHidden/>
              </w:rPr>
              <w:instrText xml:space="preserve"> PAGEREF _Toc502832929 \h </w:instrText>
            </w:r>
            <w:r w:rsidR="002B3915">
              <w:rPr>
                <w:webHidden/>
              </w:rPr>
            </w:r>
            <w:r w:rsidR="002B3915">
              <w:rPr>
                <w:webHidden/>
              </w:rPr>
              <w:fldChar w:fldCharType="separate"/>
            </w:r>
            <w:r>
              <w:rPr>
                <w:webHidden/>
              </w:rPr>
              <w:t>48</w:t>
            </w:r>
            <w:r w:rsidR="002B3915">
              <w:rPr>
                <w:webHidden/>
              </w:rPr>
              <w:fldChar w:fldCharType="end"/>
            </w:r>
          </w:hyperlink>
        </w:p>
        <w:p w14:paraId="7CDF01FB" w14:textId="77777777" w:rsidR="002B3915" w:rsidRDefault="00AC4BE5">
          <w:pPr>
            <w:pStyle w:val="TOC2"/>
            <w:tabs>
              <w:tab w:val="left" w:pos="1540"/>
            </w:tabs>
            <w:rPr>
              <w:rFonts w:asciiTheme="minorHAnsi" w:eastAsiaTheme="minorEastAsia" w:hAnsiTheme="minorHAnsi" w:cstheme="minorBidi"/>
            </w:rPr>
          </w:pPr>
          <w:hyperlink w:anchor="_Toc502832930" w:history="1">
            <w:r w:rsidR="002B3915" w:rsidRPr="00E878C3">
              <w:rPr>
                <w:rStyle w:val="Hyperlink"/>
              </w:rPr>
              <w:t>B3.5</w:t>
            </w:r>
            <w:r w:rsidR="002B3915">
              <w:rPr>
                <w:rFonts w:asciiTheme="minorHAnsi" w:eastAsiaTheme="minorEastAsia" w:hAnsiTheme="minorHAnsi" w:cstheme="minorBidi"/>
              </w:rPr>
              <w:tab/>
            </w:r>
            <w:r w:rsidR="002B3915" w:rsidRPr="00E878C3">
              <w:rPr>
                <w:rStyle w:val="Hyperlink"/>
              </w:rPr>
              <w:t>Characteristics of the evidence base</w:t>
            </w:r>
            <w:r w:rsidR="002B3915">
              <w:rPr>
                <w:webHidden/>
              </w:rPr>
              <w:tab/>
            </w:r>
            <w:r w:rsidR="002B3915">
              <w:rPr>
                <w:webHidden/>
              </w:rPr>
              <w:fldChar w:fldCharType="begin"/>
            </w:r>
            <w:r w:rsidR="002B3915">
              <w:rPr>
                <w:webHidden/>
              </w:rPr>
              <w:instrText xml:space="preserve"> PAGEREF _Toc502832930 \h </w:instrText>
            </w:r>
            <w:r w:rsidR="002B3915">
              <w:rPr>
                <w:webHidden/>
              </w:rPr>
            </w:r>
            <w:r w:rsidR="002B3915">
              <w:rPr>
                <w:webHidden/>
              </w:rPr>
              <w:fldChar w:fldCharType="separate"/>
            </w:r>
            <w:r>
              <w:rPr>
                <w:webHidden/>
              </w:rPr>
              <w:t>49</w:t>
            </w:r>
            <w:r w:rsidR="002B3915">
              <w:rPr>
                <w:webHidden/>
              </w:rPr>
              <w:fldChar w:fldCharType="end"/>
            </w:r>
          </w:hyperlink>
        </w:p>
        <w:p w14:paraId="125C0182" w14:textId="77777777" w:rsidR="002B3915" w:rsidRDefault="00AC4BE5">
          <w:pPr>
            <w:pStyle w:val="TOC2"/>
            <w:tabs>
              <w:tab w:val="left" w:pos="1540"/>
            </w:tabs>
            <w:rPr>
              <w:rFonts w:asciiTheme="minorHAnsi" w:eastAsiaTheme="minorEastAsia" w:hAnsiTheme="minorHAnsi" w:cstheme="minorBidi"/>
            </w:rPr>
          </w:pPr>
          <w:hyperlink w:anchor="_Toc502832931" w:history="1">
            <w:r w:rsidR="002B3915" w:rsidRPr="00E878C3">
              <w:rPr>
                <w:rStyle w:val="Hyperlink"/>
              </w:rPr>
              <w:t>B3.6</w:t>
            </w:r>
            <w:r w:rsidR="002B3915">
              <w:rPr>
                <w:rFonts w:asciiTheme="minorHAnsi" w:eastAsiaTheme="minorEastAsia" w:hAnsiTheme="minorHAnsi" w:cstheme="minorBidi"/>
              </w:rPr>
              <w:tab/>
            </w:r>
            <w:r w:rsidR="002B3915" w:rsidRPr="00E878C3">
              <w:rPr>
                <w:rStyle w:val="Hyperlink"/>
              </w:rPr>
              <w:t>Outcome measures and analysis</w:t>
            </w:r>
            <w:r w:rsidR="002B3915">
              <w:rPr>
                <w:webHidden/>
              </w:rPr>
              <w:tab/>
            </w:r>
            <w:r w:rsidR="002B3915">
              <w:rPr>
                <w:webHidden/>
              </w:rPr>
              <w:fldChar w:fldCharType="begin"/>
            </w:r>
            <w:r w:rsidR="002B3915">
              <w:rPr>
                <w:webHidden/>
              </w:rPr>
              <w:instrText xml:space="preserve"> PAGEREF _Toc502832931 \h </w:instrText>
            </w:r>
            <w:r w:rsidR="002B3915">
              <w:rPr>
                <w:webHidden/>
              </w:rPr>
            </w:r>
            <w:r w:rsidR="002B3915">
              <w:rPr>
                <w:webHidden/>
              </w:rPr>
              <w:fldChar w:fldCharType="separate"/>
            </w:r>
            <w:r>
              <w:rPr>
                <w:webHidden/>
              </w:rPr>
              <w:t>50</w:t>
            </w:r>
            <w:r w:rsidR="002B3915">
              <w:rPr>
                <w:webHidden/>
              </w:rPr>
              <w:fldChar w:fldCharType="end"/>
            </w:r>
          </w:hyperlink>
        </w:p>
        <w:p w14:paraId="6EB28D80" w14:textId="77777777" w:rsidR="002B3915" w:rsidRDefault="00AC4BE5">
          <w:pPr>
            <w:pStyle w:val="TOC3"/>
            <w:rPr>
              <w:rFonts w:asciiTheme="minorHAnsi" w:eastAsiaTheme="minorEastAsia" w:hAnsiTheme="minorHAnsi" w:cstheme="minorBidi"/>
            </w:rPr>
          </w:pPr>
          <w:hyperlink w:anchor="_Toc502832932" w:history="1">
            <w:r w:rsidR="002B3915" w:rsidRPr="00E878C3">
              <w:rPr>
                <w:rStyle w:val="Hyperlink"/>
              </w:rPr>
              <w:t>Analytical validity</w:t>
            </w:r>
            <w:r w:rsidR="002B3915">
              <w:rPr>
                <w:webHidden/>
              </w:rPr>
              <w:tab/>
            </w:r>
            <w:r w:rsidR="002B3915">
              <w:rPr>
                <w:webHidden/>
              </w:rPr>
              <w:fldChar w:fldCharType="begin"/>
            </w:r>
            <w:r w:rsidR="002B3915">
              <w:rPr>
                <w:webHidden/>
              </w:rPr>
              <w:instrText xml:space="preserve"> PAGEREF _Toc502832932 \h </w:instrText>
            </w:r>
            <w:r w:rsidR="002B3915">
              <w:rPr>
                <w:webHidden/>
              </w:rPr>
            </w:r>
            <w:r w:rsidR="002B3915">
              <w:rPr>
                <w:webHidden/>
              </w:rPr>
              <w:fldChar w:fldCharType="separate"/>
            </w:r>
            <w:r>
              <w:rPr>
                <w:webHidden/>
              </w:rPr>
              <w:t>50</w:t>
            </w:r>
            <w:r w:rsidR="002B3915">
              <w:rPr>
                <w:webHidden/>
              </w:rPr>
              <w:fldChar w:fldCharType="end"/>
            </w:r>
          </w:hyperlink>
        </w:p>
        <w:p w14:paraId="52EB46F5" w14:textId="77777777" w:rsidR="002B3915" w:rsidRDefault="00AC4BE5">
          <w:pPr>
            <w:pStyle w:val="TOC3"/>
            <w:rPr>
              <w:rFonts w:asciiTheme="minorHAnsi" w:eastAsiaTheme="minorEastAsia" w:hAnsiTheme="minorHAnsi" w:cstheme="minorBidi"/>
            </w:rPr>
          </w:pPr>
          <w:hyperlink w:anchor="_Toc502832933" w:history="1">
            <w:r w:rsidR="002B3915" w:rsidRPr="00E878C3">
              <w:rPr>
                <w:rStyle w:val="Hyperlink"/>
              </w:rPr>
              <w:t>Receiver operator characteristic (ROC) analysis</w:t>
            </w:r>
            <w:r w:rsidR="002B3915">
              <w:rPr>
                <w:webHidden/>
              </w:rPr>
              <w:tab/>
            </w:r>
            <w:r w:rsidR="002B3915">
              <w:rPr>
                <w:webHidden/>
              </w:rPr>
              <w:fldChar w:fldCharType="begin"/>
            </w:r>
            <w:r w:rsidR="002B3915">
              <w:rPr>
                <w:webHidden/>
              </w:rPr>
              <w:instrText xml:space="preserve"> PAGEREF _Toc502832933 \h </w:instrText>
            </w:r>
            <w:r w:rsidR="002B3915">
              <w:rPr>
                <w:webHidden/>
              </w:rPr>
            </w:r>
            <w:r w:rsidR="002B3915">
              <w:rPr>
                <w:webHidden/>
              </w:rPr>
              <w:fldChar w:fldCharType="separate"/>
            </w:r>
            <w:r>
              <w:rPr>
                <w:webHidden/>
              </w:rPr>
              <w:t>51</w:t>
            </w:r>
            <w:r w:rsidR="002B3915">
              <w:rPr>
                <w:webHidden/>
              </w:rPr>
              <w:fldChar w:fldCharType="end"/>
            </w:r>
          </w:hyperlink>
        </w:p>
        <w:p w14:paraId="270E0EBB" w14:textId="77777777" w:rsidR="002B3915" w:rsidRDefault="00AC4BE5">
          <w:pPr>
            <w:pStyle w:val="TOC3"/>
            <w:rPr>
              <w:rFonts w:asciiTheme="minorHAnsi" w:eastAsiaTheme="minorEastAsia" w:hAnsiTheme="minorHAnsi" w:cstheme="minorBidi"/>
            </w:rPr>
          </w:pPr>
          <w:hyperlink w:anchor="_Toc502832934" w:history="1">
            <w:r w:rsidR="002B3915" w:rsidRPr="00E878C3">
              <w:rPr>
                <w:rStyle w:val="Hyperlink"/>
              </w:rPr>
              <w:t>Correlation</w:t>
            </w:r>
            <w:r w:rsidR="002B3915">
              <w:rPr>
                <w:webHidden/>
              </w:rPr>
              <w:tab/>
            </w:r>
            <w:r w:rsidR="002B3915">
              <w:rPr>
                <w:webHidden/>
              </w:rPr>
              <w:fldChar w:fldCharType="begin"/>
            </w:r>
            <w:r w:rsidR="002B3915">
              <w:rPr>
                <w:webHidden/>
              </w:rPr>
              <w:instrText xml:space="preserve"> PAGEREF _Toc502832934 \h </w:instrText>
            </w:r>
            <w:r w:rsidR="002B3915">
              <w:rPr>
                <w:webHidden/>
              </w:rPr>
            </w:r>
            <w:r w:rsidR="002B3915">
              <w:rPr>
                <w:webHidden/>
              </w:rPr>
              <w:fldChar w:fldCharType="separate"/>
            </w:r>
            <w:r>
              <w:rPr>
                <w:webHidden/>
              </w:rPr>
              <w:t>52</w:t>
            </w:r>
            <w:r w:rsidR="002B3915">
              <w:rPr>
                <w:webHidden/>
              </w:rPr>
              <w:fldChar w:fldCharType="end"/>
            </w:r>
          </w:hyperlink>
        </w:p>
        <w:p w14:paraId="6157DAB9" w14:textId="77777777" w:rsidR="002B3915" w:rsidRDefault="00AC4BE5">
          <w:pPr>
            <w:pStyle w:val="TOC2"/>
            <w:tabs>
              <w:tab w:val="left" w:pos="1540"/>
            </w:tabs>
            <w:rPr>
              <w:rFonts w:asciiTheme="minorHAnsi" w:eastAsiaTheme="minorEastAsia" w:hAnsiTheme="minorHAnsi" w:cstheme="minorBidi"/>
            </w:rPr>
          </w:pPr>
          <w:hyperlink w:anchor="_Toc502832935" w:history="1">
            <w:r w:rsidR="002B3915" w:rsidRPr="00E878C3">
              <w:rPr>
                <w:rStyle w:val="Hyperlink"/>
              </w:rPr>
              <w:t>B3.7</w:t>
            </w:r>
            <w:r w:rsidR="002B3915">
              <w:rPr>
                <w:rFonts w:asciiTheme="minorHAnsi" w:eastAsiaTheme="minorEastAsia" w:hAnsiTheme="minorHAnsi" w:cstheme="minorBidi"/>
              </w:rPr>
              <w:tab/>
            </w:r>
            <w:r w:rsidR="002B3915" w:rsidRPr="00E878C3">
              <w:rPr>
                <w:rStyle w:val="Hyperlink"/>
              </w:rPr>
              <w:t>Results of the systematic literature review</w:t>
            </w:r>
            <w:r w:rsidR="002B3915">
              <w:rPr>
                <w:webHidden/>
              </w:rPr>
              <w:tab/>
            </w:r>
            <w:r w:rsidR="002B3915">
              <w:rPr>
                <w:webHidden/>
              </w:rPr>
              <w:fldChar w:fldCharType="begin"/>
            </w:r>
            <w:r w:rsidR="002B3915">
              <w:rPr>
                <w:webHidden/>
              </w:rPr>
              <w:instrText xml:space="preserve"> PAGEREF _Toc502832935 \h </w:instrText>
            </w:r>
            <w:r w:rsidR="002B3915">
              <w:rPr>
                <w:webHidden/>
              </w:rPr>
            </w:r>
            <w:r w:rsidR="002B3915">
              <w:rPr>
                <w:webHidden/>
              </w:rPr>
              <w:fldChar w:fldCharType="separate"/>
            </w:r>
            <w:r>
              <w:rPr>
                <w:webHidden/>
              </w:rPr>
              <w:t>53</w:t>
            </w:r>
            <w:r w:rsidR="002B3915">
              <w:rPr>
                <w:webHidden/>
              </w:rPr>
              <w:fldChar w:fldCharType="end"/>
            </w:r>
          </w:hyperlink>
        </w:p>
        <w:p w14:paraId="026ECD4B" w14:textId="77777777" w:rsidR="002B3915" w:rsidRDefault="00AC4BE5">
          <w:pPr>
            <w:pStyle w:val="TOC3"/>
            <w:rPr>
              <w:rFonts w:asciiTheme="minorHAnsi" w:eastAsiaTheme="minorEastAsia" w:hAnsiTheme="minorHAnsi" w:cstheme="minorBidi"/>
            </w:rPr>
          </w:pPr>
          <w:hyperlink w:anchor="_Toc502832936" w:history="1">
            <w:r w:rsidR="002B3915" w:rsidRPr="00E878C3">
              <w:rPr>
                <w:rStyle w:val="Hyperlink"/>
              </w:rPr>
              <w:t>Is it accurate?</w:t>
            </w:r>
            <w:r w:rsidR="002B3915">
              <w:rPr>
                <w:webHidden/>
              </w:rPr>
              <w:tab/>
            </w:r>
            <w:r w:rsidR="002B3915">
              <w:rPr>
                <w:webHidden/>
              </w:rPr>
              <w:fldChar w:fldCharType="begin"/>
            </w:r>
            <w:r w:rsidR="002B3915">
              <w:rPr>
                <w:webHidden/>
              </w:rPr>
              <w:instrText xml:space="preserve"> PAGEREF _Toc502832936 \h </w:instrText>
            </w:r>
            <w:r w:rsidR="002B3915">
              <w:rPr>
                <w:webHidden/>
              </w:rPr>
            </w:r>
            <w:r w:rsidR="002B3915">
              <w:rPr>
                <w:webHidden/>
              </w:rPr>
              <w:fldChar w:fldCharType="separate"/>
            </w:r>
            <w:r>
              <w:rPr>
                <w:webHidden/>
              </w:rPr>
              <w:t>53</w:t>
            </w:r>
            <w:r w:rsidR="002B3915">
              <w:rPr>
                <w:webHidden/>
              </w:rPr>
              <w:fldChar w:fldCharType="end"/>
            </w:r>
          </w:hyperlink>
        </w:p>
        <w:p w14:paraId="6FC660CE" w14:textId="77777777" w:rsidR="002B3915" w:rsidRDefault="00AC4BE5">
          <w:pPr>
            <w:pStyle w:val="TOC2"/>
            <w:tabs>
              <w:tab w:val="left" w:pos="1540"/>
            </w:tabs>
            <w:rPr>
              <w:rFonts w:asciiTheme="minorHAnsi" w:eastAsiaTheme="minorEastAsia" w:hAnsiTheme="minorHAnsi" w:cstheme="minorBidi"/>
            </w:rPr>
          </w:pPr>
          <w:hyperlink w:anchor="_Toc502832937" w:history="1">
            <w:r w:rsidR="002B3915" w:rsidRPr="00E878C3">
              <w:rPr>
                <w:rStyle w:val="Hyperlink"/>
              </w:rPr>
              <w:t>B3.8</w:t>
            </w:r>
            <w:r w:rsidR="002B3915">
              <w:rPr>
                <w:rFonts w:asciiTheme="minorHAnsi" w:eastAsiaTheme="minorEastAsia" w:hAnsiTheme="minorHAnsi" w:cstheme="minorBidi"/>
              </w:rPr>
              <w:tab/>
            </w:r>
            <w:r w:rsidR="002B3915" w:rsidRPr="00E878C3">
              <w:rPr>
                <w:rStyle w:val="Hyperlink"/>
              </w:rPr>
              <w:t>Extended assessment of reliability evidence</w:t>
            </w:r>
            <w:r w:rsidR="002B3915">
              <w:rPr>
                <w:webHidden/>
              </w:rPr>
              <w:tab/>
            </w:r>
            <w:r w:rsidR="002B3915">
              <w:rPr>
                <w:webHidden/>
              </w:rPr>
              <w:fldChar w:fldCharType="begin"/>
            </w:r>
            <w:r w:rsidR="002B3915">
              <w:rPr>
                <w:webHidden/>
              </w:rPr>
              <w:instrText xml:space="preserve"> PAGEREF _Toc502832937 \h </w:instrText>
            </w:r>
            <w:r w:rsidR="002B3915">
              <w:rPr>
                <w:webHidden/>
              </w:rPr>
            </w:r>
            <w:r w:rsidR="002B3915">
              <w:rPr>
                <w:webHidden/>
              </w:rPr>
              <w:fldChar w:fldCharType="separate"/>
            </w:r>
            <w:r>
              <w:rPr>
                <w:webHidden/>
              </w:rPr>
              <w:t>56</w:t>
            </w:r>
            <w:r w:rsidR="002B3915">
              <w:rPr>
                <w:webHidden/>
              </w:rPr>
              <w:fldChar w:fldCharType="end"/>
            </w:r>
          </w:hyperlink>
        </w:p>
        <w:p w14:paraId="287C9F46" w14:textId="77777777" w:rsidR="002B3915" w:rsidRDefault="00AC4BE5">
          <w:pPr>
            <w:pStyle w:val="TOC2"/>
            <w:tabs>
              <w:tab w:val="left" w:pos="1540"/>
            </w:tabs>
            <w:rPr>
              <w:rFonts w:asciiTheme="minorHAnsi" w:eastAsiaTheme="minorEastAsia" w:hAnsiTheme="minorHAnsi" w:cstheme="minorBidi"/>
            </w:rPr>
          </w:pPr>
          <w:hyperlink w:anchor="_Toc502832938" w:history="1">
            <w:r w:rsidR="002B3915" w:rsidRPr="00E878C3">
              <w:rPr>
                <w:rStyle w:val="Hyperlink"/>
              </w:rPr>
              <w:t>B3.9</w:t>
            </w:r>
            <w:r w:rsidR="002B3915">
              <w:rPr>
                <w:rFonts w:asciiTheme="minorHAnsi" w:eastAsiaTheme="minorEastAsia" w:hAnsiTheme="minorHAnsi" w:cstheme="minorBidi"/>
              </w:rPr>
              <w:tab/>
            </w:r>
            <w:r w:rsidR="002B3915" w:rsidRPr="00E878C3">
              <w:rPr>
                <w:rStyle w:val="Hyperlink"/>
              </w:rPr>
              <w:t>Concordance analysis</w:t>
            </w:r>
            <w:r w:rsidR="002B3915">
              <w:rPr>
                <w:webHidden/>
              </w:rPr>
              <w:tab/>
            </w:r>
            <w:r w:rsidR="002B3915">
              <w:rPr>
                <w:webHidden/>
              </w:rPr>
              <w:fldChar w:fldCharType="begin"/>
            </w:r>
            <w:r w:rsidR="002B3915">
              <w:rPr>
                <w:webHidden/>
              </w:rPr>
              <w:instrText xml:space="preserve"> PAGEREF _Toc502832938 \h </w:instrText>
            </w:r>
            <w:r w:rsidR="002B3915">
              <w:rPr>
                <w:webHidden/>
              </w:rPr>
            </w:r>
            <w:r w:rsidR="002B3915">
              <w:rPr>
                <w:webHidden/>
              </w:rPr>
              <w:fldChar w:fldCharType="separate"/>
            </w:r>
            <w:r>
              <w:rPr>
                <w:webHidden/>
              </w:rPr>
              <w:t>56</w:t>
            </w:r>
            <w:r w:rsidR="002B3915">
              <w:rPr>
                <w:webHidden/>
              </w:rPr>
              <w:fldChar w:fldCharType="end"/>
            </w:r>
          </w:hyperlink>
        </w:p>
        <w:p w14:paraId="4FF70224" w14:textId="77777777" w:rsidR="002B3915" w:rsidRDefault="00AC4BE5">
          <w:pPr>
            <w:pStyle w:val="TOC3"/>
            <w:rPr>
              <w:rFonts w:asciiTheme="minorHAnsi" w:eastAsiaTheme="minorEastAsia" w:hAnsiTheme="minorHAnsi" w:cstheme="minorBidi"/>
            </w:rPr>
          </w:pPr>
          <w:hyperlink w:anchor="_Toc502832939" w:history="1">
            <w:r w:rsidR="002B3915" w:rsidRPr="00E878C3">
              <w:rPr>
                <w:rStyle w:val="Hyperlink"/>
              </w:rPr>
              <w:t>Overall per cent agreement</w:t>
            </w:r>
            <w:r w:rsidR="002B3915">
              <w:rPr>
                <w:webHidden/>
              </w:rPr>
              <w:tab/>
            </w:r>
            <w:r w:rsidR="002B3915">
              <w:rPr>
                <w:webHidden/>
              </w:rPr>
              <w:fldChar w:fldCharType="begin"/>
            </w:r>
            <w:r w:rsidR="002B3915">
              <w:rPr>
                <w:webHidden/>
              </w:rPr>
              <w:instrText xml:space="preserve"> PAGEREF _Toc502832939 \h </w:instrText>
            </w:r>
            <w:r w:rsidR="002B3915">
              <w:rPr>
                <w:webHidden/>
              </w:rPr>
            </w:r>
            <w:r w:rsidR="002B3915">
              <w:rPr>
                <w:webHidden/>
              </w:rPr>
              <w:fldChar w:fldCharType="separate"/>
            </w:r>
            <w:r>
              <w:rPr>
                <w:webHidden/>
              </w:rPr>
              <w:t>56</w:t>
            </w:r>
            <w:r w:rsidR="002B3915">
              <w:rPr>
                <w:webHidden/>
              </w:rPr>
              <w:fldChar w:fldCharType="end"/>
            </w:r>
          </w:hyperlink>
        </w:p>
        <w:p w14:paraId="521A0461" w14:textId="77777777" w:rsidR="002B3915" w:rsidRDefault="00AC4BE5">
          <w:pPr>
            <w:pStyle w:val="TOC3"/>
            <w:rPr>
              <w:rFonts w:asciiTheme="minorHAnsi" w:eastAsiaTheme="minorEastAsia" w:hAnsiTheme="minorHAnsi" w:cstheme="minorBidi"/>
            </w:rPr>
          </w:pPr>
          <w:hyperlink w:anchor="_Toc502832940" w:history="1">
            <w:r w:rsidR="002B3915" w:rsidRPr="00E878C3">
              <w:rPr>
                <w:rStyle w:val="Hyperlink"/>
              </w:rPr>
              <w:t>Correlation between tests</w:t>
            </w:r>
            <w:r w:rsidR="002B3915">
              <w:rPr>
                <w:webHidden/>
              </w:rPr>
              <w:tab/>
            </w:r>
            <w:r w:rsidR="002B3915">
              <w:rPr>
                <w:webHidden/>
              </w:rPr>
              <w:fldChar w:fldCharType="begin"/>
            </w:r>
            <w:r w:rsidR="002B3915">
              <w:rPr>
                <w:webHidden/>
              </w:rPr>
              <w:instrText xml:space="preserve"> PAGEREF _Toc502832940 \h </w:instrText>
            </w:r>
            <w:r w:rsidR="002B3915">
              <w:rPr>
                <w:webHidden/>
              </w:rPr>
            </w:r>
            <w:r w:rsidR="002B3915">
              <w:rPr>
                <w:webHidden/>
              </w:rPr>
              <w:fldChar w:fldCharType="separate"/>
            </w:r>
            <w:r>
              <w:rPr>
                <w:webHidden/>
              </w:rPr>
              <w:t>57</w:t>
            </w:r>
            <w:r w:rsidR="002B3915">
              <w:rPr>
                <w:webHidden/>
              </w:rPr>
              <w:fldChar w:fldCharType="end"/>
            </w:r>
          </w:hyperlink>
        </w:p>
        <w:p w14:paraId="4B26ED41" w14:textId="77777777" w:rsidR="002B3915" w:rsidRDefault="00AC4BE5">
          <w:pPr>
            <w:pStyle w:val="TOC2"/>
            <w:tabs>
              <w:tab w:val="left" w:pos="1760"/>
            </w:tabs>
            <w:rPr>
              <w:rFonts w:asciiTheme="minorHAnsi" w:eastAsiaTheme="minorEastAsia" w:hAnsiTheme="minorHAnsi" w:cstheme="minorBidi"/>
            </w:rPr>
          </w:pPr>
          <w:hyperlink w:anchor="_Toc502832941" w:history="1">
            <w:r w:rsidR="002B3915" w:rsidRPr="00E878C3">
              <w:rPr>
                <w:rStyle w:val="Hyperlink"/>
              </w:rPr>
              <w:t>B3.10</w:t>
            </w:r>
            <w:r w:rsidR="002B3915">
              <w:rPr>
                <w:rFonts w:asciiTheme="minorHAnsi" w:eastAsiaTheme="minorEastAsia" w:hAnsiTheme="minorHAnsi" w:cstheme="minorBidi"/>
              </w:rPr>
              <w:tab/>
            </w:r>
            <w:r w:rsidR="002B3915" w:rsidRPr="00E878C3">
              <w:rPr>
                <w:rStyle w:val="Hyperlink"/>
              </w:rPr>
              <w:t>Interpretation of evidence on analytical validity</w:t>
            </w:r>
            <w:r w:rsidR="002B3915">
              <w:rPr>
                <w:webHidden/>
              </w:rPr>
              <w:tab/>
            </w:r>
            <w:r w:rsidR="002B3915">
              <w:rPr>
                <w:webHidden/>
              </w:rPr>
              <w:fldChar w:fldCharType="begin"/>
            </w:r>
            <w:r w:rsidR="002B3915">
              <w:rPr>
                <w:webHidden/>
              </w:rPr>
              <w:instrText xml:space="preserve"> PAGEREF _Toc502832941 \h </w:instrText>
            </w:r>
            <w:r w:rsidR="002B3915">
              <w:rPr>
                <w:webHidden/>
              </w:rPr>
            </w:r>
            <w:r w:rsidR="002B3915">
              <w:rPr>
                <w:webHidden/>
              </w:rPr>
              <w:fldChar w:fldCharType="separate"/>
            </w:r>
            <w:r>
              <w:rPr>
                <w:webHidden/>
              </w:rPr>
              <w:t>58</w:t>
            </w:r>
            <w:r w:rsidR="002B3915">
              <w:rPr>
                <w:webHidden/>
              </w:rPr>
              <w:fldChar w:fldCharType="end"/>
            </w:r>
          </w:hyperlink>
        </w:p>
        <w:p w14:paraId="2F68C5A9" w14:textId="77777777" w:rsidR="002B3915" w:rsidRDefault="00AC4BE5">
          <w:pPr>
            <w:pStyle w:val="TOC3"/>
            <w:rPr>
              <w:rFonts w:asciiTheme="minorHAnsi" w:eastAsiaTheme="minorEastAsia" w:hAnsiTheme="minorHAnsi" w:cstheme="minorBidi"/>
            </w:rPr>
          </w:pPr>
          <w:hyperlink w:anchor="_Toc502832942" w:history="1">
            <w:r w:rsidR="002B3915" w:rsidRPr="00E878C3">
              <w:rPr>
                <w:rStyle w:val="Hyperlink"/>
              </w:rPr>
              <w:t>Analytical validity of AMH testing compared with a clinical reference standard</w:t>
            </w:r>
            <w:r w:rsidR="002B3915">
              <w:rPr>
                <w:webHidden/>
              </w:rPr>
              <w:tab/>
            </w:r>
            <w:r w:rsidR="002B3915">
              <w:rPr>
                <w:webHidden/>
              </w:rPr>
              <w:fldChar w:fldCharType="begin"/>
            </w:r>
            <w:r w:rsidR="002B3915">
              <w:rPr>
                <w:webHidden/>
              </w:rPr>
              <w:instrText xml:space="preserve"> PAGEREF _Toc502832942 \h </w:instrText>
            </w:r>
            <w:r w:rsidR="002B3915">
              <w:rPr>
                <w:webHidden/>
              </w:rPr>
            </w:r>
            <w:r w:rsidR="002B3915">
              <w:rPr>
                <w:webHidden/>
              </w:rPr>
              <w:fldChar w:fldCharType="separate"/>
            </w:r>
            <w:r>
              <w:rPr>
                <w:webHidden/>
              </w:rPr>
              <w:t>58</w:t>
            </w:r>
            <w:r w:rsidR="002B3915">
              <w:rPr>
                <w:webHidden/>
              </w:rPr>
              <w:fldChar w:fldCharType="end"/>
            </w:r>
          </w:hyperlink>
        </w:p>
        <w:p w14:paraId="61739F36" w14:textId="77777777" w:rsidR="002B3915" w:rsidRDefault="00AC4BE5">
          <w:pPr>
            <w:pStyle w:val="TOC3"/>
            <w:rPr>
              <w:rFonts w:asciiTheme="minorHAnsi" w:eastAsiaTheme="minorEastAsia" w:hAnsiTheme="minorHAnsi" w:cstheme="minorBidi"/>
            </w:rPr>
          </w:pPr>
          <w:hyperlink w:anchor="_Toc502832943" w:history="1">
            <w:r w:rsidR="002B3915" w:rsidRPr="00E878C3">
              <w:rPr>
                <w:rStyle w:val="Hyperlink"/>
              </w:rPr>
              <w:t>Comparing the accuracy of different AMH tests</w:t>
            </w:r>
            <w:r w:rsidR="002B3915">
              <w:rPr>
                <w:webHidden/>
              </w:rPr>
              <w:tab/>
            </w:r>
            <w:r w:rsidR="002B3915">
              <w:rPr>
                <w:webHidden/>
              </w:rPr>
              <w:fldChar w:fldCharType="begin"/>
            </w:r>
            <w:r w:rsidR="002B3915">
              <w:rPr>
                <w:webHidden/>
              </w:rPr>
              <w:instrText xml:space="preserve"> PAGEREF _Toc502832943 \h </w:instrText>
            </w:r>
            <w:r w:rsidR="002B3915">
              <w:rPr>
                <w:webHidden/>
              </w:rPr>
            </w:r>
            <w:r w:rsidR="002B3915">
              <w:rPr>
                <w:webHidden/>
              </w:rPr>
              <w:fldChar w:fldCharType="separate"/>
            </w:r>
            <w:r>
              <w:rPr>
                <w:webHidden/>
              </w:rPr>
              <w:t>59</w:t>
            </w:r>
            <w:r w:rsidR="002B3915">
              <w:rPr>
                <w:webHidden/>
              </w:rPr>
              <w:fldChar w:fldCharType="end"/>
            </w:r>
          </w:hyperlink>
        </w:p>
        <w:p w14:paraId="2BAFCB03" w14:textId="77777777" w:rsidR="002B3915" w:rsidRDefault="00AC4BE5">
          <w:pPr>
            <w:pStyle w:val="TOC3"/>
            <w:rPr>
              <w:rFonts w:asciiTheme="minorHAnsi" w:eastAsiaTheme="minorEastAsia" w:hAnsiTheme="minorHAnsi" w:cstheme="minorBidi"/>
            </w:rPr>
          </w:pPr>
          <w:hyperlink w:anchor="_Toc502832944" w:history="1">
            <w:r w:rsidR="002B3915" w:rsidRPr="00E878C3">
              <w:rPr>
                <w:rStyle w:val="Hyperlink"/>
              </w:rPr>
              <w:t>Accuracy of AMH testing compared with AFC</w:t>
            </w:r>
            <w:r w:rsidR="002B3915">
              <w:rPr>
                <w:webHidden/>
              </w:rPr>
              <w:tab/>
            </w:r>
            <w:r w:rsidR="002B3915">
              <w:rPr>
                <w:webHidden/>
              </w:rPr>
              <w:fldChar w:fldCharType="begin"/>
            </w:r>
            <w:r w:rsidR="002B3915">
              <w:rPr>
                <w:webHidden/>
              </w:rPr>
              <w:instrText xml:space="preserve"> PAGEREF _Toc502832944 \h </w:instrText>
            </w:r>
            <w:r w:rsidR="002B3915">
              <w:rPr>
                <w:webHidden/>
              </w:rPr>
            </w:r>
            <w:r w:rsidR="002B3915">
              <w:rPr>
                <w:webHidden/>
              </w:rPr>
              <w:fldChar w:fldCharType="separate"/>
            </w:r>
            <w:r>
              <w:rPr>
                <w:webHidden/>
              </w:rPr>
              <w:t>60</w:t>
            </w:r>
            <w:r w:rsidR="002B3915">
              <w:rPr>
                <w:webHidden/>
              </w:rPr>
              <w:fldChar w:fldCharType="end"/>
            </w:r>
          </w:hyperlink>
        </w:p>
        <w:p w14:paraId="120BF740" w14:textId="77777777" w:rsidR="002B3915" w:rsidRDefault="00AC4BE5">
          <w:pPr>
            <w:pStyle w:val="TOC3"/>
            <w:rPr>
              <w:rFonts w:asciiTheme="minorHAnsi" w:eastAsiaTheme="minorEastAsia" w:hAnsiTheme="minorHAnsi" w:cstheme="minorBidi"/>
            </w:rPr>
          </w:pPr>
          <w:hyperlink w:anchor="_Toc502832945" w:history="1">
            <w:r w:rsidR="002B3915" w:rsidRPr="00E878C3">
              <w:rPr>
                <w:rStyle w:val="Hyperlink"/>
              </w:rPr>
              <w:t>Accuracy of AMH testing compared with FSH testing</w:t>
            </w:r>
            <w:r w:rsidR="002B3915">
              <w:rPr>
                <w:webHidden/>
              </w:rPr>
              <w:tab/>
            </w:r>
            <w:r w:rsidR="002B3915">
              <w:rPr>
                <w:webHidden/>
              </w:rPr>
              <w:fldChar w:fldCharType="begin"/>
            </w:r>
            <w:r w:rsidR="002B3915">
              <w:rPr>
                <w:webHidden/>
              </w:rPr>
              <w:instrText xml:space="preserve"> PAGEREF _Toc502832945 \h </w:instrText>
            </w:r>
            <w:r w:rsidR="002B3915">
              <w:rPr>
                <w:webHidden/>
              </w:rPr>
            </w:r>
            <w:r w:rsidR="002B3915">
              <w:rPr>
                <w:webHidden/>
              </w:rPr>
              <w:fldChar w:fldCharType="separate"/>
            </w:r>
            <w:r>
              <w:rPr>
                <w:webHidden/>
              </w:rPr>
              <w:t>60</w:t>
            </w:r>
            <w:r w:rsidR="002B3915">
              <w:rPr>
                <w:webHidden/>
              </w:rPr>
              <w:fldChar w:fldCharType="end"/>
            </w:r>
          </w:hyperlink>
        </w:p>
        <w:p w14:paraId="70191ED3" w14:textId="77777777" w:rsidR="002B3915" w:rsidRDefault="00AC4BE5">
          <w:pPr>
            <w:pStyle w:val="TOC3"/>
            <w:rPr>
              <w:rFonts w:asciiTheme="minorHAnsi" w:eastAsiaTheme="minorEastAsia" w:hAnsiTheme="minorHAnsi" w:cstheme="minorBidi"/>
            </w:rPr>
          </w:pPr>
          <w:hyperlink w:anchor="_Toc502832946" w:history="1">
            <w:r w:rsidR="002B3915" w:rsidRPr="00E878C3">
              <w:rPr>
                <w:rStyle w:val="Hyperlink"/>
              </w:rPr>
              <w:t>Accuracy of AMH testing compared with E2 testing</w:t>
            </w:r>
            <w:r w:rsidR="002B3915">
              <w:rPr>
                <w:webHidden/>
              </w:rPr>
              <w:tab/>
            </w:r>
            <w:r w:rsidR="002B3915">
              <w:rPr>
                <w:webHidden/>
              </w:rPr>
              <w:fldChar w:fldCharType="begin"/>
            </w:r>
            <w:r w:rsidR="002B3915">
              <w:rPr>
                <w:webHidden/>
              </w:rPr>
              <w:instrText xml:space="preserve"> PAGEREF _Toc502832946 \h </w:instrText>
            </w:r>
            <w:r w:rsidR="002B3915">
              <w:rPr>
                <w:webHidden/>
              </w:rPr>
            </w:r>
            <w:r w:rsidR="002B3915">
              <w:rPr>
                <w:webHidden/>
              </w:rPr>
              <w:fldChar w:fldCharType="separate"/>
            </w:r>
            <w:r>
              <w:rPr>
                <w:webHidden/>
              </w:rPr>
              <w:t>61</w:t>
            </w:r>
            <w:r w:rsidR="002B3915">
              <w:rPr>
                <w:webHidden/>
              </w:rPr>
              <w:fldChar w:fldCharType="end"/>
            </w:r>
          </w:hyperlink>
        </w:p>
        <w:p w14:paraId="0EC076EC" w14:textId="77777777" w:rsidR="002B3915" w:rsidRDefault="00AC4BE5">
          <w:pPr>
            <w:pStyle w:val="TOC3"/>
            <w:rPr>
              <w:rFonts w:asciiTheme="minorHAnsi" w:eastAsiaTheme="minorEastAsia" w:hAnsiTheme="minorHAnsi" w:cstheme="minorBidi"/>
            </w:rPr>
          </w:pPr>
          <w:hyperlink w:anchor="_Toc502832947" w:history="1">
            <w:r w:rsidR="002B3915" w:rsidRPr="00E878C3">
              <w:rPr>
                <w:rStyle w:val="Hyperlink"/>
              </w:rPr>
              <w:t>Accuracy of AMH testing compared with inhibin B testing</w:t>
            </w:r>
            <w:r w:rsidR="002B3915">
              <w:rPr>
                <w:webHidden/>
              </w:rPr>
              <w:tab/>
            </w:r>
            <w:r w:rsidR="002B3915">
              <w:rPr>
                <w:webHidden/>
              </w:rPr>
              <w:fldChar w:fldCharType="begin"/>
            </w:r>
            <w:r w:rsidR="002B3915">
              <w:rPr>
                <w:webHidden/>
              </w:rPr>
              <w:instrText xml:space="preserve"> PAGEREF _Toc502832947 \h </w:instrText>
            </w:r>
            <w:r w:rsidR="002B3915">
              <w:rPr>
                <w:webHidden/>
              </w:rPr>
            </w:r>
            <w:r w:rsidR="002B3915">
              <w:rPr>
                <w:webHidden/>
              </w:rPr>
              <w:fldChar w:fldCharType="separate"/>
            </w:r>
            <w:r>
              <w:rPr>
                <w:webHidden/>
              </w:rPr>
              <w:t>61</w:t>
            </w:r>
            <w:r w:rsidR="002B3915">
              <w:rPr>
                <w:webHidden/>
              </w:rPr>
              <w:fldChar w:fldCharType="end"/>
            </w:r>
          </w:hyperlink>
        </w:p>
        <w:p w14:paraId="089EEF5D" w14:textId="77777777" w:rsidR="002B3915" w:rsidRDefault="00AC4BE5">
          <w:pPr>
            <w:pStyle w:val="TOC1"/>
            <w:rPr>
              <w:rFonts w:asciiTheme="minorHAnsi" w:eastAsiaTheme="minorEastAsia" w:hAnsiTheme="minorHAnsi" w:cstheme="minorBidi"/>
              <w:b w:val="0"/>
            </w:rPr>
          </w:pPr>
          <w:hyperlink w:anchor="_Toc502832948" w:history="1">
            <w:r w:rsidR="002B3915" w:rsidRPr="00E878C3">
              <w:rPr>
                <w:rStyle w:val="Hyperlink"/>
              </w:rPr>
              <w:t>B4</w:t>
            </w:r>
            <w:r w:rsidR="002B3915">
              <w:rPr>
                <w:rFonts w:asciiTheme="minorHAnsi" w:eastAsiaTheme="minorEastAsia" w:hAnsiTheme="minorHAnsi" w:cstheme="minorBidi"/>
                <w:b w:val="0"/>
              </w:rPr>
              <w:tab/>
            </w:r>
            <w:r w:rsidR="002B3915" w:rsidRPr="00E878C3">
              <w:rPr>
                <w:rStyle w:val="Hyperlink"/>
              </w:rPr>
              <w:t>Clinical validity</w:t>
            </w:r>
            <w:r w:rsidR="002B3915">
              <w:rPr>
                <w:webHidden/>
              </w:rPr>
              <w:tab/>
            </w:r>
            <w:r w:rsidR="002B3915">
              <w:rPr>
                <w:webHidden/>
              </w:rPr>
              <w:fldChar w:fldCharType="begin"/>
            </w:r>
            <w:r w:rsidR="002B3915">
              <w:rPr>
                <w:webHidden/>
              </w:rPr>
              <w:instrText xml:space="preserve"> PAGEREF _Toc502832948 \h </w:instrText>
            </w:r>
            <w:r w:rsidR="002B3915">
              <w:rPr>
                <w:webHidden/>
              </w:rPr>
            </w:r>
            <w:r w:rsidR="002B3915">
              <w:rPr>
                <w:webHidden/>
              </w:rPr>
              <w:fldChar w:fldCharType="separate"/>
            </w:r>
            <w:r>
              <w:rPr>
                <w:webHidden/>
              </w:rPr>
              <w:t>62</w:t>
            </w:r>
            <w:r w:rsidR="002B3915">
              <w:rPr>
                <w:webHidden/>
              </w:rPr>
              <w:fldChar w:fldCharType="end"/>
            </w:r>
          </w:hyperlink>
        </w:p>
        <w:p w14:paraId="54517C08" w14:textId="77777777" w:rsidR="002B3915" w:rsidRDefault="00AC4BE5">
          <w:pPr>
            <w:pStyle w:val="TOC2"/>
            <w:tabs>
              <w:tab w:val="left" w:pos="1540"/>
            </w:tabs>
            <w:rPr>
              <w:rFonts w:asciiTheme="minorHAnsi" w:eastAsiaTheme="minorEastAsia" w:hAnsiTheme="minorHAnsi" w:cstheme="minorBidi"/>
            </w:rPr>
          </w:pPr>
          <w:hyperlink w:anchor="_Toc502832949" w:history="1">
            <w:r w:rsidR="002B3915" w:rsidRPr="00E878C3">
              <w:rPr>
                <w:rStyle w:val="Hyperlink"/>
              </w:rPr>
              <w:t>B4.1</w:t>
            </w:r>
            <w:r w:rsidR="002B3915">
              <w:rPr>
                <w:rFonts w:asciiTheme="minorHAnsi" w:eastAsiaTheme="minorEastAsia" w:hAnsiTheme="minorHAnsi" w:cstheme="minorBidi"/>
              </w:rPr>
              <w:tab/>
            </w:r>
            <w:r w:rsidR="002B3915" w:rsidRPr="00E878C3">
              <w:rPr>
                <w:rStyle w:val="Hyperlink"/>
              </w:rPr>
              <w:t>Measures of clinical validity</w:t>
            </w:r>
            <w:r w:rsidR="002B3915">
              <w:rPr>
                <w:webHidden/>
              </w:rPr>
              <w:tab/>
            </w:r>
            <w:r w:rsidR="002B3915">
              <w:rPr>
                <w:webHidden/>
              </w:rPr>
              <w:fldChar w:fldCharType="begin"/>
            </w:r>
            <w:r w:rsidR="002B3915">
              <w:rPr>
                <w:webHidden/>
              </w:rPr>
              <w:instrText xml:space="preserve"> PAGEREF _Toc502832949 \h </w:instrText>
            </w:r>
            <w:r w:rsidR="002B3915">
              <w:rPr>
                <w:webHidden/>
              </w:rPr>
            </w:r>
            <w:r w:rsidR="002B3915">
              <w:rPr>
                <w:webHidden/>
              </w:rPr>
              <w:fldChar w:fldCharType="separate"/>
            </w:r>
            <w:r>
              <w:rPr>
                <w:webHidden/>
              </w:rPr>
              <w:t>62</w:t>
            </w:r>
            <w:r w:rsidR="002B3915">
              <w:rPr>
                <w:webHidden/>
              </w:rPr>
              <w:fldChar w:fldCharType="end"/>
            </w:r>
          </w:hyperlink>
        </w:p>
        <w:p w14:paraId="5510100D" w14:textId="77777777" w:rsidR="002B3915" w:rsidRDefault="00AC4BE5">
          <w:pPr>
            <w:pStyle w:val="TOC2"/>
            <w:tabs>
              <w:tab w:val="left" w:pos="1760"/>
            </w:tabs>
            <w:rPr>
              <w:rFonts w:asciiTheme="minorHAnsi" w:eastAsiaTheme="minorEastAsia" w:hAnsiTheme="minorHAnsi" w:cstheme="minorBidi"/>
            </w:rPr>
          </w:pPr>
          <w:hyperlink w:anchor="_Toc502832950" w:history="1">
            <w:r w:rsidR="002B3915" w:rsidRPr="00E878C3">
              <w:rPr>
                <w:rStyle w:val="Hyperlink"/>
              </w:rPr>
              <w:t>B4.1.1</w:t>
            </w:r>
            <w:r w:rsidR="002B3915">
              <w:rPr>
                <w:rFonts w:asciiTheme="minorHAnsi" w:eastAsiaTheme="minorEastAsia" w:hAnsiTheme="minorHAnsi" w:cstheme="minorBidi"/>
              </w:rPr>
              <w:tab/>
            </w:r>
            <w:r w:rsidR="002B3915" w:rsidRPr="00E878C3">
              <w:rPr>
                <w:rStyle w:val="Hyperlink"/>
              </w:rPr>
              <w:t>Reference standard</w:t>
            </w:r>
            <w:r w:rsidR="002B3915">
              <w:rPr>
                <w:webHidden/>
              </w:rPr>
              <w:tab/>
            </w:r>
            <w:r w:rsidR="002B3915">
              <w:rPr>
                <w:webHidden/>
              </w:rPr>
              <w:fldChar w:fldCharType="begin"/>
            </w:r>
            <w:r w:rsidR="002B3915">
              <w:rPr>
                <w:webHidden/>
              </w:rPr>
              <w:instrText xml:space="preserve"> PAGEREF _Toc502832950 \h </w:instrText>
            </w:r>
            <w:r w:rsidR="002B3915">
              <w:rPr>
                <w:webHidden/>
              </w:rPr>
            </w:r>
            <w:r w:rsidR="002B3915">
              <w:rPr>
                <w:webHidden/>
              </w:rPr>
              <w:fldChar w:fldCharType="separate"/>
            </w:r>
            <w:r>
              <w:rPr>
                <w:webHidden/>
              </w:rPr>
              <w:t>62</w:t>
            </w:r>
            <w:r w:rsidR="002B3915">
              <w:rPr>
                <w:webHidden/>
              </w:rPr>
              <w:fldChar w:fldCharType="end"/>
            </w:r>
          </w:hyperlink>
        </w:p>
        <w:p w14:paraId="6444B80F" w14:textId="77777777" w:rsidR="002B3915" w:rsidRDefault="00AC4BE5">
          <w:pPr>
            <w:pStyle w:val="TOC2"/>
            <w:tabs>
              <w:tab w:val="left" w:pos="1760"/>
            </w:tabs>
            <w:rPr>
              <w:rFonts w:asciiTheme="minorHAnsi" w:eastAsiaTheme="minorEastAsia" w:hAnsiTheme="minorHAnsi" w:cstheme="minorBidi"/>
            </w:rPr>
          </w:pPr>
          <w:hyperlink w:anchor="_Toc502832951" w:history="1">
            <w:r w:rsidR="002B3915" w:rsidRPr="00E878C3">
              <w:rPr>
                <w:rStyle w:val="Hyperlink"/>
              </w:rPr>
              <w:t>B4.1.2</w:t>
            </w:r>
            <w:r w:rsidR="002B3915">
              <w:rPr>
                <w:rFonts w:asciiTheme="minorHAnsi" w:eastAsiaTheme="minorEastAsia" w:hAnsiTheme="minorHAnsi" w:cstheme="minorBidi"/>
              </w:rPr>
              <w:tab/>
            </w:r>
            <w:r w:rsidR="002B3915" w:rsidRPr="00E878C3">
              <w:rPr>
                <w:rStyle w:val="Hyperlink"/>
              </w:rPr>
              <w:t>Risk of bias assessment</w:t>
            </w:r>
            <w:r w:rsidR="002B3915">
              <w:rPr>
                <w:webHidden/>
              </w:rPr>
              <w:tab/>
            </w:r>
            <w:r w:rsidR="002B3915">
              <w:rPr>
                <w:webHidden/>
              </w:rPr>
              <w:fldChar w:fldCharType="begin"/>
            </w:r>
            <w:r w:rsidR="002B3915">
              <w:rPr>
                <w:webHidden/>
              </w:rPr>
              <w:instrText xml:space="preserve"> PAGEREF _Toc502832951 \h </w:instrText>
            </w:r>
            <w:r w:rsidR="002B3915">
              <w:rPr>
                <w:webHidden/>
              </w:rPr>
            </w:r>
            <w:r w:rsidR="002B3915">
              <w:rPr>
                <w:webHidden/>
              </w:rPr>
              <w:fldChar w:fldCharType="separate"/>
            </w:r>
            <w:r>
              <w:rPr>
                <w:webHidden/>
              </w:rPr>
              <w:t>62</w:t>
            </w:r>
            <w:r w:rsidR="002B3915">
              <w:rPr>
                <w:webHidden/>
              </w:rPr>
              <w:fldChar w:fldCharType="end"/>
            </w:r>
          </w:hyperlink>
        </w:p>
        <w:p w14:paraId="3B560286" w14:textId="77777777" w:rsidR="002B3915" w:rsidRDefault="00AC4BE5">
          <w:pPr>
            <w:pStyle w:val="TOC2"/>
            <w:tabs>
              <w:tab w:val="left" w:pos="1760"/>
            </w:tabs>
            <w:rPr>
              <w:rFonts w:asciiTheme="minorHAnsi" w:eastAsiaTheme="minorEastAsia" w:hAnsiTheme="minorHAnsi" w:cstheme="minorBidi"/>
            </w:rPr>
          </w:pPr>
          <w:hyperlink w:anchor="_Toc502832952" w:history="1">
            <w:r w:rsidR="002B3915" w:rsidRPr="00E878C3">
              <w:rPr>
                <w:rStyle w:val="Hyperlink"/>
              </w:rPr>
              <w:t>B4.1.3</w:t>
            </w:r>
            <w:r w:rsidR="002B3915">
              <w:rPr>
                <w:rFonts w:asciiTheme="minorHAnsi" w:eastAsiaTheme="minorEastAsia" w:hAnsiTheme="minorHAnsi" w:cstheme="minorBidi"/>
              </w:rPr>
              <w:tab/>
            </w:r>
            <w:r w:rsidR="002B3915" w:rsidRPr="00E878C3">
              <w:rPr>
                <w:rStyle w:val="Hyperlink"/>
              </w:rPr>
              <w:t>Characteristics of the evidence base</w:t>
            </w:r>
            <w:r w:rsidR="002B3915">
              <w:rPr>
                <w:webHidden/>
              </w:rPr>
              <w:tab/>
            </w:r>
            <w:r w:rsidR="002B3915">
              <w:rPr>
                <w:webHidden/>
              </w:rPr>
              <w:fldChar w:fldCharType="begin"/>
            </w:r>
            <w:r w:rsidR="002B3915">
              <w:rPr>
                <w:webHidden/>
              </w:rPr>
              <w:instrText xml:space="preserve"> PAGEREF _Toc502832952 \h </w:instrText>
            </w:r>
            <w:r w:rsidR="002B3915">
              <w:rPr>
                <w:webHidden/>
              </w:rPr>
            </w:r>
            <w:r w:rsidR="002B3915">
              <w:rPr>
                <w:webHidden/>
              </w:rPr>
              <w:fldChar w:fldCharType="separate"/>
            </w:r>
            <w:r>
              <w:rPr>
                <w:webHidden/>
              </w:rPr>
              <w:t>63</w:t>
            </w:r>
            <w:r w:rsidR="002B3915">
              <w:rPr>
                <w:webHidden/>
              </w:rPr>
              <w:fldChar w:fldCharType="end"/>
            </w:r>
          </w:hyperlink>
        </w:p>
        <w:p w14:paraId="6DAB97CF" w14:textId="77777777" w:rsidR="002B3915" w:rsidRDefault="00AC4BE5">
          <w:pPr>
            <w:pStyle w:val="TOC2"/>
            <w:tabs>
              <w:tab w:val="left" w:pos="1760"/>
            </w:tabs>
            <w:rPr>
              <w:rFonts w:asciiTheme="minorHAnsi" w:eastAsiaTheme="minorEastAsia" w:hAnsiTheme="minorHAnsi" w:cstheme="minorBidi"/>
            </w:rPr>
          </w:pPr>
          <w:hyperlink w:anchor="_Toc502832953" w:history="1">
            <w:r w:rsidR="002B3915" w:rsidRPr="00E878C3">
              <w:rPr>
                <w:rStyle w:val="Hyperlink"/>
              </w:rPr>
              <w:t>B4.1.4</w:t>
            </w:r>
            <w:r w:rsidR="002B3915">
              <w:rPr>
                <w:rFonts w:asciiTheme="minorHAnsi" w:eastAsiaTheme="minorEastAsia" w:hAnsiTheme="minorHAnsi" w:cstheme="minorBidi"/>
              </w:rPr>
              <w:tab/>
            </w:r>
            <w:r w:rsidR="002B3915" w:rsidRPr="00E878C3">
              <w:rPr>
                <w:rStyle w:val="Hyperlink"/>
              </w:rPr>
              <w:t>Outcome measures and analysis</w:t>
            </w:r>
            <w:r w:rsidR="002B3915">
              <w:rPr>
                <w:webHidden/>
              </w:rPr>
              <w:tab/>
            </w:r>
            <w:r w:rsidR="002B3915">
              <w:rPr>
                <w:webHidden/>
              </w:rPr>
              <w:fldChar w:fldCharType="begin"/>
            </w:r>
            <w:r w:rsidR="002B3915">
              <w:rPr>
                <w:webHidden/>
              </w:rPr>
              <w:instrText xml:space="preserve"> PAGEREF _Toc502832953 \h </w:instrText>
            </w:r>
            <w:r w:rsidR="002B3915">
              <w:rPr>
                <w:webHidden/>
              </w:rPr>
            </w:r>
            <w:r w:rsidR="002B3915">
              <w:rPr>
                <w:webHidden/>
              </w:rPr>
              <w:fldChar w:fldCharType="separate"/>
            </w:r>
            <w:r>
              <w:rPr>
                <w:webHidden/>
              </w:rPr>
              <w:t>67</w:t>
            </w:r>
            <w:r w:rsidR="002B3915">
              <w:rPr>
                <w:webHidden/>
              </w:rPr>
              <w:fldChar w:fldCharType="end"/>
            </w:r>
          </w:hyperlink>
        </w:p>
        <w:p w14:paraId="6AEBC4D3" w14:textId="77777777" w:rsidR="002B3915" w:rsidRDefault="00AC4BE5">
          <w:pPr>
            <w:pStyle w:val="TOC2"/>
            <w:tabs>
              <w:tab w:val="left" w:pos="1760"/>
            </w:tabs>
            <w:rPr>
              <w:rFonts w:asciiTheme="minorHAnsi" w:eastAsiaTheme="minorEastAsia" w:hAnsiTheme="minorHAnsi" w:cstheme="minorBidi"/>
            </w:rPr>
          </w:pPr>
          <w:hyperlink w:anchor="_Toc502832954" w:history="1">
            <w:r w:rsidR="002B3915" w:rsidRPr="00E878C3">
              <w:rPr>
                <w:rStyle w:val="Hyperlink"/>
              </w:rPr>
              <w:t>B4.1.5</w:t>
            </w:r>
            <w:r w:rsidR="002B3915">
              <w:rPr>
                <w:rFonts w:asciiTheme="minorHAnsi" w:eastAsiaTheme="minorEastAsia" w:hAnsiTheme="minorHAnsi" w:cstheme="minorBidi"/>
              </w:rPr>
              <w:tab/>
            </w:r>
            <w:r w:rsidR="002B3915" w:rsidRPr="00E878C3">
              <w:rPr>
                <w:rStyle w:val="Hyperlink"/>
              </w:rPr>
              <w:t>Results of the systematic literature review</w:t>
            </w:r>
            <w:r w:rsidR="002B3915">
              <w:rPr>
                <w:webHidden/>
              </w:rPr>
              <w:tab/>
            </w:r>
            <w:r w:rsidR="002B3915">
              <w:rPr>
                <w:webHidden/>
              </w:rPr>
              <w:fldChar w:fldCharType="begin"/>
            </w:r>
            <w:r w:rsidR="002B3915">
              <w:rPr>
                <w:webHidden/>
              </w:rPr>
              <w:instrText xml:space="preserve"> PAGEREF _Toc502832954 \h </w:instrText>
            </w:r>
            <w:r w:rsidR="002B3915">
              <w:rPr>
                <w:webHidden/>
              </w:rPr>
            </w:r>
            <w:r w:rsidR="002B3915">
              <w:rPr>
                <w:webHidden/>
              </w:rPr>
              <w:fldChar w:fldCharType="separate"/>
            </w:r>
            <w:r>
              <w:rPr>
                <w:webHidden/>
              </w:rPr>
              <w:t>68</w:t>
            </w:r>
            <w:r w:rsidR="002B3915">
              <w:rPr>
                <w:webHidden/>
              </w:rPr>
              <w:fldChar w:fldCharType="end"/>
            </w:r>
          </w:hyperlink>
        </w:p>
        <w:p w14:paraId="71EAD0C1" w14:textId="77777777" w:rsidR="002B3915" w:rsidRDefault="00AC4BE5">
          <w:pPr>
            <w:pStyle w:val="TOC3"/>
            <w:rPr>
              <w:rFonts w:asciiTheme="minorHAnsi" w:eastAsiaTheme="minorEastAsia" w:hAnsiTheme="minorHAnsi" w:cstheme="minorBidi"/>
            </w:rPr>
          </w:pPr>
          <w:hyperlink w:anchor="_Toc502832955" w:history="1">
            <w:r w:rsidR="002B3915" w:rsidRPr="00E878C3">
              <w:rPr>
                <w:rStyle w:val="Hyperlink"/>
              </w:rPr>
              <w:t>Prognostic and predictive value of AMH testing</w:t>
            </w:r>
            <w:r w:rsidR="002B3915">
              <w:rPr>
                <w:webHidden/>
              </w:rPr>
              <w:tab/>
            </w:r>
            <w:r w:rsidR="002B3915">
              <w:rPr>
                <w:webHidden/>
              </w:rPr>
              <w:fldChar w:fldCharType="begin"/>
            </w:r>
            <w:r w:rsidR="002B3915">
              <w:rPr>
                <w:webHidden/>
              </w:rPr>
              <w:instrText xml:space="preserve"> PAGEREF _Toc502832955 \h </w:instrText>
            </w:r>
            <w:r w:rsidR="002B3915">
              <w:rPr>
                <w:webHidden/>
              </w:rPr>
            </w:r>
            <w:r w:rsidR="002B3915">
              <w:rPr>
                <w:webHidden/>
              </w:rPr>
              <w:fldChar w:fldCharType="separate"/>
            </w:r>
            <w:r>
              <w:rPr>
                <w:webHidden/>
              </w:rPr>
              <w:t>68</w:t>
            </w:r>
            <w:r w:rsidR="002B3915">
              <w:rPr>
                <w:webHidden/>
              </w:rPr>
              <w:fldChar w:fldCharType="end"/>
            </w:r>
          </w:hyperlink>
        </w:p>
        <w:p w14:paraId="585770ED" w14:textId="77777777" w:rsidR="002B3915" w:rsidRDefault="00AC4BE5">
          <w:pPr>
            <w:pStyle w:val="TOC3"/>
            <w:rPr>
              <w:rFonts w:asciiTheme="minorHAnsi" w:eastAsiaTheme="minorEastAsia" w:hAnsiTheme="minorHAnsi" w:cstheme="minorBidi"/>
            </w:rPr>
          </w:pPr>
          <w:hyperlink w:anchor="_Toc502832956" w:history="1">
            <w:r w:rsidR="002B3915" w:rsidRPr="00E878C3">
              <w:rPr>
                <w:rStyle w:val="Hyperlink"/>
              </w:rPr>
              <w:t>Is it accurate? - Usefulness of AMH at varying risks of ovarian failure (clinical validity)</w:t>
            </w:r>
            <w:r w:rsidR="002B3915">
              <w:rPr>
                <w:webHidden/>
              </w:rPr>
              <w:tab/>
            </w:r>
            <w:r w:rsidR="002B3915">
              <w:rPr>
                <w:webHidden/>
              </w:rPr>
              <w:fldChar w:fldCharType="begin"/>
            </w:r>
            <w:r w:rsidR="002B3915">
              <w:rPr>
                <w:webHidden/>
              </w:rPr>
              <w:instrText xml:space="preserve"> PAGEREF _Toc502832956 \h </w:instrText>
            </w:r>
            <w:r w:rsidR="002B3915">
              <w:rPr>
                <w:webHidden/>
              </w:rPr>
            </w:r>
            <w:r w:rsidR="002B3915">
              <w:rPr>
                <w:webHidden/>
              </w:rPr>
              <w:fldChar w:fldCharType="separate"/>
            </w:r>
            <w:r>
              <w:rPr>
                <w:webHidden/>
              </w:rPr>
              <w:t>85</w:t>
            </w:r>
            <w:r w:rsidR="002B3915">
              <w:rPr>
                <w:webHidden/>
              </w:rPr>
              <w:fldChar w:fldCharType="end"/>
            </w:r>
          </w:hyperlink>
        </w:p>
        <w:p w14:paraId="2D9414D5" w14:textId="77777777" w:rsidR="002B3915" w:rsidRDefault="00AC4BE5">
          <w:pPr>
            <w:pStyle w:val="TOC1"/>
            <w:rPr>
              <w:rFonts w:asciiTheme="minorHAnsi" w:eastAsiaTheme="minorEastAsia" w:hAnsiTheme="minorHAnsi" w:cstheme="minorBidi"/>
              <w:b w:val="0"/>
            </w:rPr>
          </w:pPr>
          <w:hyperlink w:anchor="_Toc502832957" w:history="1">
            <w:r w:rsidR="002B3915" w:rsidRPr="00E878C3">
              <w:rPr>
                <w:rStyle w:val="Hyperlink"/>
              </w:rPr>
              <w:t>B5</w:t>
            </w:r>
            <w:r w:rsidR="002B3915">
              <w:rPr>
                <w:rFonts w:asciiTheme="minorHAnsi" w:eastAsiaTheme="minorEastAsia" w:hAnsiTheme="minorHAnsi" w:cstheme="minorBidi"/>
                <w:b w:val="0"/>
              </w:rPr>
              <w:tab/>
            </w:r>
            <w:r w:rsidR="002B3915" w:rsidRPr="00E878C3">
              <w:rPr>
                <w:rStyle w:val="Hyperlink"/>
              </w:rPr>
              <w:t>Clinical utility</w:t>
            </w:r>
            <w:r w:rsidR="002B3915">
              <w:rPr>
                <w:webHidden/>
              </w:rPr>
              <w:tab/>
            </w:r>
            <w:r w:rsidR="002B3915">
              <w:rPr>
                <w:webHidden/>
              </w:rPr>
              <w:fldChar w:fldCharType="begin"/>
            </w:r>
            <w:r w:rsidR="002B3915">
              <w:rPr>
                <w:webHidden/>
              </w:rPr>
              <w:instrText xml:space="preserve"> PAGEREF _Toc502832957 \h </w:instrText>
            </w:r>
            <w:r w:rsidR="002B3915">
              <w:rPr>
                <w:webHidden/>
              </w:rPr>
            </w:r>
            <w:r w:rsidR="002B3915">
              <w:rPr>
                <w:webHidden/>
              </w:rPr>
              <w:fldChar w:fldCharType="separate"/>
            </w:r>
            <w:r>
              <w:rPr>
                <w:webHidden/>
              </w:rPr>
              <w:t>94</w:t>
            </w:r>
            <w:r w:rsidR="002B3915">
              <w:rPr>
                <w:webHidden/>
              </w:rPr>
              <w:fldChar w:fldCharType="end"/>
            </w:r>
          </w:hyperlink>
        </w:p>
        <w:p w14:paraId="24EFF5F7" w14:textId="77777777" w:rsidR="002B3915" w:rsidRDefault="00AC4BE5">
          <w:pPr>
            <w:pStyle w:val="TOC2"/>
            <w:tabs>
              <w:tab w:val="left" w:pos="1540"/>
            </w:tabs>
            <w:rPr>
              <w:rFonts w:asciiTheme="minorHAnsi" w:eastAsiaTheme="minorEastAsia" w:hAnsiTheme="minorHAnsi" w:cstheme="minorBidi"/>
            </w:rPr>
          </w:pPr>
          <w:hyperlink w:anchor="_Toc502832958" w:history="1">
            <w:r w:rsidR="002B3915" w:rsidRPr="00E878C3">
              <w:rPr>
                <w:rStyle w:val="Hyperlink"/>
              </w:rPr>
              <w:t>B5.1</w:t>
            </w:r>
            <w:r w:rsidR="002B3915">
              <w:rPr>
                <w:rFonts w:asciiTheme="minorHAnsi" w:eastAsiaTheme="minorEastAsia" w:hAnsiTheme="minorHAnsi" w:cstheme="minorBidi"/>
              </w:rPr>
              <w:tab/>
            </w:r>
            <w:r w:rsidR="002B3915" w:rsidRPr="00E878C3">
              <w:rPr>
                <w:rStyle w:val="Hyperlink"/>
              </w:rPr>
              <w:t>Impact of AMH testing on clinical management (therapeutic efficacy)</w:t>
            </w:r>
            <w:r w:rsidR="002B3915">
              <w:rPr>
                <w:webHidden/>
              </w:rPr>
              <w:tab/>
            </w:r>
            <w:r w:rsidR="002B3915">
              <w:rPr>
                <w:webHidden/>
              </w:rPr>
              <w:fldChar w:fldCharType="begin"/>
            </w:r>
            <w:r w:rsidR="002B3915">
              <w:rPr>
                <w:webHidden/>
              </w:rPr>
              <w:instrText xml:space="preserve"> PAGEREF _Toc502832958 \h </w:instrText>
            </w:r>
            <w:r w:rsidR="002B3915">
              <w:rPr>
                <w:webHidden/>
              </w:rPr>
            </w:r>
            <w:r w:rsidR="002B3915">
              <w:rPr>
                <w:webHidden/>
              </w:rPr>
              <w:fldChar w:fldCharType="separate"/>
            </w:r>
            <w:r>
              <w:rPr>
                <w:webHidden/>
              </w:rPr>
              <w:t>94</w:t>
            </w:r>
            <w:r w:rsidR="002B3915">
              <w:rPr>
                <w:webHidden/>
              </w:rPr>
              <w:fldChar w:fldCharType="end"/>
            </w:r>
          </w:hyperlink>
        </w:p>
        <w:p w14:paraId="24BBBC41" w14:textId="77777777" w:rsidR="002B3915" w:rsidRDefault="00AC4BE5">
          <w:pPr>
            <w:pStyle w:val="TOC2"/>
            <w:tabs>
              <w:tab w:val="left" w:pos="1760"/>
            </w:tabs>
            <w:rPr>
              <w:rFonts w:asciiTheme="minorHAnsi" w:eastAsiaTheme="minorEastAsia" w:hAnsiTheme="minorHAnsi" w:cstheme="minorBidi"/>
            </w:rPr>
          </w:pPr>
          <w:hyperlink w:anchor="_Toc502832959" w:history="1">
            <w:r w:rsidR="002B3915" w:rsidRPr="00E878C3">
              <w:rPr>
                <w:rStyle w:val="Hyperlink"/>
              </w:rPr>
              <w:t>B5.1.1</w:t>
            </w:r>
            <w:r w:rsidR="002B3915">
              <w:rPr>
                <w:rFonts w:asciiTheme="minorHAnsi" w:eastAsiaTheme="minorEastAsia" w:hAnsiTheme="minorHAnsi" w:cstheme="minorBidi"/>
              </w:rPr>
              <w:tab/>
            </w:r>
            <w:r w:rsidR="002B3915" w:rsidRPr="00E878C3">
              <w:rPr>
                <w:rStyle w:val="Hyperlink"/>
              </w:rPr>
              <w:t>Risk of bias assessment</w:t>
            </w:r>
            <w:r w:rsidR="002B3915">
              <w:rPr>
                <w:webHidden/>
              </w:rPr>
              <w:tab/>
            </w:r>
            <w:r w:rsidR="002B3915">
              <w:rPr>
                <w:webHidden/>
              </w:rPr>
              <w:fldChar w:fldCharType="begin"/>
            </w:r>
            <w:r w:rsidR="002B3915">
              <w:rPr>
                <w:webHidden/>
              </w:rPr>
              <w:instrText xml:space="preserve"> PAGEREF _Toc502832959 \h </w:instrText>
            </w:r>
            <w:r w:rsidR="002B3915">
              <w:rPr>
                <w:webHidden/>
              </w:rPr>
            </w:r>
            <w:r w:rsidR="002B3915">
              <w:rPr>
                <w:webHidden/>
              </w:rPr>
              <w:fldChar w:fldCharType="separate"/>
            </w:r>
            <w:r>
              <w:rPr>
                <w:webHidden/>
              </w:rPr>
              <w:t>94</w:t>
            </w:r>
            <w:r w:rsidR="002B3915">
              <w:rPr>
                <w:webHidden/>
              </w:rPr>
              <w:fldChar w:fldCharType="end"/>
            </w:r>
          </w:hyperlink>
        </w:p>
        <w:p w14:paraId="5131D3F1" w14:textId="77777777" w:rsidR="002B3915" w:rsidRDefault="00AC4BE5">
          <w:pPr>
            <w:pStyle w:val="TOC2"/>
            <w:tabs>
              <w:tab w:val="left" w:pos="1760"/>
            </w:tabs>
            <w:rPr>
              <w:rFonts w:asciiTheme="minorHAnsi" w:eastAsiaTheme="minorEastAsia" w:hAnsiTheme="minorHAnsi" w:cstheme="minorBidi"/>
            </w:rPr>
          </w:pPr>
          <w:hyperlink w:anchor="_Toc502832960" w:history="1">
            <w:r w:rsidR="002B3915" w:rsidRPr="00E878C3">
              <w:rPr>
                <w:rStyle w:val="Hyperlink"/>
              </w:rPr>
              <w:t>B5.1.2</w:t>
            </w:r>
            <w:r w:rsidR="002B3915">
              <w:rPr>
                <w:rFonts w:asciiTheme="minorHAnsi" w:eastAsiaTheme="minorEastAsia" w:hAnsiTheme="minorHAnsi" w:cstheme="minorBidi"/>
              </w:rPr>
              <w:tab/>
            </w:r>
            <w:r w:rsidR="002B3915" w:rsidRPr="00E878C3">
              <w:rPr>
                <w:rStyle w:val="Hyperlink"/>
              </w:rPr>
              <w:t>Characteristics of the evidence base</w:t>
            </w:r>
            <w:r w:rsidR="002B3915">
              <w:rPr>
                <w:webHidden/>
              </w:rPr>
              <w:tab/>
            </w:r>
            <w:r w:rsidR="002B3915">
              <w:rPr>
                <w:webHidden/>
              </w:rPr>
              <w:fldChar w:fldCharType="begin"/>
            </w:r>
            <w:r w:rsidR="002B3915">
              <w:rPr>
                <w:webHidden/>
              </w:rPr>
              <w:instrText xml:space="preserve"> PAGEREF _Toc502832960 \h </w:instrText>
            </w:r>
            <w:r w:rsidR="002B3915">
              <w:rPr>
                <w:webHidden/>
              </w:rPr>
            </w:r>
            <w:r w:rsidR="002B3915">
              <w:rPr>
                <w:webHidden/>
              </w:rPr>
              <w:fldChar w:fldCharType="separate"/>
            </w:r>
            <w:r>
              <w:rPr>
                <w:webHidden/>
              </w:rPr>
              <w:t>94</w:t>
            </w:r>
            <w:r w:rsidR="002B3915">
              <w:rPr>
                <w:webHidden/>
              </w:rPr>
              <w:fldChar w:fldCharType="end"/>
            </w:r>
          </w:hyperlink>
        </w:p>
        <w:p w14:paraId="7F9CA594" w14:textId="77777777" w:rsidR="002B3915" w:rsidRDefault="00AC4BE5">
          <w:pPr>
            <w:pStyle w:val="TOC2"/>
            <w:tabs>
              <w:tab w:val="left" w:pos="1760"/>
            </w:tabs>
            <w:rPr>
              <w:rFonts w:asciiTheme="minorHAnsi" w:eastAsiaTheme="minorEastAsia" w:hAnsiTheme="minorHAnsi" w:cstheme="minorBidi"/>
            </w:rPr>
          </w:pPr>
          <w:hyperlink w:anchor="_Toc502832961" w:history="1">
            <w:r w:rsidR="002B3915" w:rsidRPr="00E878C3">
              <w:rPr>
                <w:rStyle w:val="Hyperlink"/>
              </w:rPr>
              <w:t>B5.1.3</w:t>
            </w:r>
            <w:r w:rsidR="002B3915">
              <w:rPr>
                <w:rFonts w:asciiTheme="minorHAnsi" w:eastAsiaTheme="minorEastAsia" w:hAnsiTheme="minorHAnsi" w:cstheme="minorBidi"/>
              </w:rPr>
              <w:tab/>
            </w:r>
            <w:r w:rsidR="002B3915" w:rsidRPr="00E878C3">
              <w:rPr>
                <w:rStyle w:val="Hyperlink"/>
              </w:rPr>
              <w:t>Outcome measures and analysis</w:t>
            </w:r>
            <w:r w:rsidR="002B3915">
              <w:rPr>
                <w:webHidden/>
              </w:rPr>
              <w:tab/>
            </w:r>
            <w:r w:rsidR="002B3915">
              <w:rPr>
                <w:webHidden/>
              </w:rPr>
              <w:fldChar w:fldCharType="begin"/>
            </w:r>
            <w:r w:rsidR="002B3915">
              <w:rPr>
                <w:webHidden/>
              </w:rPr>
              <w:instrText xml:space="preserve"> PAGEREF _Toc502832961 \h </w:instrText>
            </w:r>
            <w:r w:rsidR="002B3915">
              <w:rPr>
                <w:webHidden/>
              </w:rPr>
            </w:r>
            <w:r w:rsidR="002B3915">
              <w:rPr>
                <w:webHidden/>
              </w:rPr>
              <w:fldChar w:fldCharType="separate"/>
            </w:r>
            <w:r>
              <w:rPr>
                <w:webHidden/>
              </w:rPr>
              <w:t>94</w:t>
            </w:r>
            <w:r w:rsidR="002B3915">
              <w:rPr>
                <w:webHidden/>
              </w:rPr>
              <w:fldChar w:fldCharType="end"/>
            </w:r>
          </w:hyperlink>
        </w:p>
        <w:p w14:paraId="37892796" w14:textId="77777777" w:rsidR="002B3915" w:rsidRDefault="00AC4BE5">
          <w:pPr>
            <w:pStyle w:val="TOC2"/>
            <w:tabs>
              <w:tab w:val="left" w:pos="1760"/>
            </w:tabs>
            <w:rPr>
              <w:rFonts w:asciiTheme="minorHAnsi" w:eastAsiaTheme="minorEastAsia" w:hAnsiTheme="minorHAnsi" w:cstheme="minorBidi"/>
            </w:rPr>
          </w:pPr>
          <w:hyperlink w:anchor="_Toc502832962" w:history="1">
            <w:r w:rsidR="002B3915" w:rsidRPr="00E878C3">
              <w:rPr>
                <w:rStyle w:val="Hyperlink"/>
              </w:rPr>
              <w:t>B5.1.4</w:t>
            </w:r>
            <w:r w:rsidR="002B3915">
              <w:rPr>
                <w:rFonts w:asciiTheme="minorHAnsi" w:eastAsiaTheme="minorEastAsia" w:hAnsiTheme="minorHAnsi" w:cstheme="minorBidi"/>
              </w:rPr>
              <w:tab/>
            </w:r>
            <w:r w:rsidR="002B3915" w:rsidRPr="00E878C3">
              <w:rPr>
                <w:rStyle w:val="Hyperlink"/>
              </w:rPr>
              <w:t>Results of the systematic literature review</w:t>
            </w:r>
            <w:r w:rsidR="002B3915">
              <w:rPr>
                <w:webHidden/>
              </w:rPr>
              <w:tab/>
            </w:r>
            <w:r w:rsidR="002B3915">
              <w:rPr>
                <w:webHidden/>
              </w:rPr>
              <w:fldChar w:fldCharType="begin"/>
            </w:r>
            <w:r w:rsidR="002B3915">
              <w:rPr>
                <w:webHidden/>
              </w:rPr>
              <w:instrText xml:space="preserve"> PAGEREF _Toc502832962 \h </w:instrText>
            </w:r>
            <w:r w:rsidR="002B3915">
              <w:rPr>
                <w:webHidden/>
              </w:rPr>
            </w:r>
            <w:r w:rsidR="002B3915">
              <w:rPr>
                <w:webHidden/>
              </w:rPr>
              <w:fldChar w:fldCharType="separate"/>
            </w:r>
            <w:r>
              <w:rPr>
                <w:webHidden/>
              </w:rPr>
              <w:t>95</w:t>
            </w:r>
            <w:r w:rsidR="002B3915">
              <w:rPr>
                <w:webHidden/>
              </w:rPr>
              <w:fldChar w:fldCharType="end"/>
            </w:r>
          </w:hyperlink>
        </w:p>
        <w:p w14:paraId="23C0730C" w14:textId="77777777" w:rsidR="002B3915" w:rsidRDefault="00AC4BE5">
          <w:pPr>
            <w:pStyle w:val="TOC3"/>
            <w:rPr>
              <w:rFonts w:asciiTheme="minorHAnsi" w:eastAsiaTheme="minorEastAsia" w:hAnsiTheme="minorHAnsi" w:cstheme="minorBidi"/>
            </w:rPr>
          </w:pPr>
          <w:hyperlink w:anchor="_Toc502832963" w:history="1">
            <w:r w:rsidR="002B3915" w:rsidRPr="00E878C3">
              <w:rPr>
                <w:rStyle w:val="Hyperlink"/>
              </w:rPr>
              <w:t>Does AMH testing impact clinical management?</w:t>
            </w:r>
            <w:r w:rsidR="002B3915">
              <w:rPr>
                <w:webHidden/>
              </w:rPr>
              <w:tab/>
            </w:r>
            <w:r w:rsidR="002B3915">
              <w:rPr>
                <w:webHidden/>
              </w:rPr>
              <w:fldChar w:fldCharType="begin"/>
            </w:r>
            <w:r w:rsidR="002B3915">
              <w:rPr>
                <w:webHidden/>
              </w:rPr>
              <w:instrText xml:space="preserve"> PAGEREF _Toc502832963 \h </w:instrText>
            </w:r>
            <w:r w:rsidR="002B3915">
              <w:rPr>
                <w:webHidden/>
              </w:rPr>
            </w:r>
            <w:r w:rsidR="002B3915">
              <w:rPr>
                <w:webHidden/>
              </w:rPr>
              <w:fldChar w:fldCharType="separate"/>
            </w:r>
            <w:r>
              <w:rPr>
                <w:webHidden/>
              </w:rPr>
              <w:t>95</w:t>
            </w:r>
            <w:r w:rsidR="002B3915">
              <w:rPr>
                <w:webHidden/>
              </w:rPr>
              <w:fldChar w:fldCharType="end"/>
            </w:r>
          </w:hyperlink>
        </w:p>
        <w:p w14:paraId="290A46C3" w14:textId="77777777" w:rsidR="002B3915" w:rsidRDefault="00AC4BE5">
          <w:pPr>
            <w:pStyle w:val="TOC2"/>
            <w:tabs>
              <w:tab w:val="left" w:pos="1540"/>
            </w:tabs>
            <w:rPr>
              <w:rFonts w:asciiTheme="minorHAnsi" w:eastAsiaTheme="minorEastAsia" w:hAnsiTheme="minorHAnsi" w:cstheme="minorBidi"/>
            </w:rPr>
          </w:pPr>
          <w:hyperlink w:anchor="_Toc502832964" w:history="1">
            <w:r w:rsidR="002B3915" w:rsidRPr="00E878C3">
              <w:rPr>
                <w:rStyle w:val="Hyperlink"/>
              </w:rPr>
              <w:t>B5.2</w:t>
            </w:r>
            <w:r w:rsidR="002B3915">
              <w:rPr>
                <w:rFonts w:asciiTheme="minorHAnsi" w:eastAsiaTheme="minorEastAsia" w:hAnsiTheme="minorHAnsi" w:cstheme="minorBidi"/>
              </w:rPr>
              <w:tab/>
            </w:r>
            <w:r w:rsidR="002B3915" w:rsidRPr="00E878C3">
              <w:rPr>
                <w:rStyle w:val="Hyperlink"/>
              </w:rPr>
              <w:t>Therapeutic effectiveness</w:t>
            </w:r>
            <w:r w:rsidR="002B3915">
              <w:rPr>
                <w:webHidden/>
              </w:rPr>
              <w:tab/>
            </w:r>
            <w:r w:rsidR="002B3915">
              <w:rPr>
                <w:webHidden/>
              </w:rPr>
              <w:fldChar w:fldCharType="begin"/>
            </w:r>
            <w:r w:rsidR="002B3915">
              <w:rPr>
                <w:webHidden/>
              </w:rPr>
              <w:instrText xml:space="preserve"> PAGEREF _Toc502832964 \h </w:instrText>
            </w:r>
            <w:r w:rsidR="002B3915">
              <w:rPr>
                <w:webHidden/>
              </w:rPr>
            </w:r>
            <w:r w:rsidR="002B3915">
              <w:rPr>
                <w:webHidden/>
              </w:rPr>
              <w:fldChar w:fldCharType="separate"/>
            </w:r>
            <w:r>
              <w:rPr>
                <w:webHidden/>
              </w:rPr>
              <w:t>97</w:t>
            </w:r>
            <w:r w:rsidR="002B3915">
              <w:rPr>
                <w:webHidden/>
              </w:rPr>
              <w:fldChar w:fldCharType="end"/>
            </w:r>
          </w:hyperlink>
        </w:p>
        <w:p w14:paraId="0A49718C" w14:textId="77777777" w:rsidR="002B3915" w:rsidRDefault="00AC4BE5">
          <w:pPr>
            <w:pStyle w:val="TOC2"/>
            <w:tabs>
              <w:tab w:val="left" w:pos="1760"/>
            </w:tabs>
            <w:rPr>
              <w:rFonts w:asciiTheme="minorHAnsi" w:eastAsiaTheme="minorEastAsia" w:hAnsiTheme="minorHAnsi" w:cstheme="minorBidi"/>
            </w:rPr>
          </w:pPr>
          <w:hyperlink w:anchor="_Toc502832965" w:history="1">
            <w:r w:rsidR="002B3915" w:rsidRPr="00E878C3">
              <w:rPr>
                <w:rStyle w:val="Hyperlink"/>
              </w:rPr>
              <w:t>B5.2.1</w:t>
            </w:r>
            <w:r w:rsidR="002B3915">
              <w:rPr>
                <w:rFonts w:asciiTheme="minorHAnsi" w:eastAsiaTheme="minorEastAsia" w:hAnsiTheme="minorHAnsi" w:cstheme="minorBidi"/>
              </w:rPr>
              <w:tab/>
            </w:r>
            <w:r w:rsidR="002B3915" w:rsidRPr="00E878C3">
              <w:rPr>
                <w:rStyle w:val="Hyperlink"/>
              </w:rPr>
              <w:t>Risk of bias assessment</w:t>
            </w:r>
            <w:r w:rsidR="002B3915">
              <w:rPr>
                <w:webHidden/>
              </w:rPr>
              <w:tab/>
            </w:r>
            <w:r w:rsidR="002B3915">
              <w:rPr>
                <w:webHidden/>
              </w:rPr>
              <w:fldChar w:fldCharType="begin"/>
            </w:r>
            <w:r w:rsidR="002B3915">
              <w:rPr>
                <w:webHidden/>
              </w:rPr>
              <w:instrText xml:space="preserve"> PAGEREF _Toc502832965 \h </w:instrText>
            </w:r>
            <w:r w:rsidR="002B3915">
              <w:rPr>
                <w:webHidden/>
              </w:rPr>
            </w:r>
            <w:r w:rsidR="002B3915">
              <w:rPr>
                <w:webHidden/>
              </w:rPr>
              <w:fldChar w:fldCharType="separate"/>
            </w:r>
            <w:r>
              <w:rPr>
                <w:webHidden/>
              </w:rPr>
              <w:t>97</w:t>
            </w:r>
            <w:r w:rsidR="002B3915">
              <w:rPr>
                <w:webHidden/>
              </w:rPr>
              <w:fldChar w:fldCharType="end"/>
            </w:r>
          </w:hyperlink>
        </w:p>
        <w:p w14:paraId="3E95BF02" w14:textId="77777777" w:rsidR="002B3915" w:rsidRDefault="00AC4BE5">
          <w:pPr>
            <w:pStyle w:val="TOC2"/>
            <w:tabs>
              <w:tab w:val="left" w:pos="1760"/>
            </w:tabs>
            <w:rPr>
              <w:rFonts w:asciiTheme="minorHAnsi" w:eastAsiaTheme="minorEastAsia" w:hAnsiTheme="minorHAnsi" w:cstheme="minorBidi"/>
            </w:rPr>
          </w:pPr>
          <w:hyperlink w:anchor="_Toc502832966" w:history="1">
            <w:r w:rsidR="002B3915" w:rsidRPr="00E878C3">
              <w:rPr>
                <w:rStyle w:val="Hyperlink"/>
              </w:rPr>
              <w:t>B5.2.2</w:t>
            </w:r>
            <w:r w:rsidR="002B3915">
              <w:rPr>
                <w:rFonts w:asciiTheme="minorHAnsi" w:eastAsiaTheme="minorEastAsia" w:hAnsiTheme="minorHAnsi" w:cstheme="minorBidi"/>
              </w:rPr>
              <w:tab/>
            </w:r>
            <w:r w:rsidR="002B3915" w:rsidRPr="00E878C3">
              <w:rPr>
                <w:rStyle w:val="Hyperlink"/>
              </w:rPr>
              <w:t>Characteristics of the evidence base</w:t>
            </w:r>
            <w:r w:rsidR="002B3915">
              <w:rPr>
                <w:webHidden/>
              </w:rPr>
              <w:tab/>
            </w:r>
            <w:r w:rsidR="002B3915">
              <w:rPr>
                <w:webHidden/>
              </w:rPr>
              <w:fldChar w:fldCharType="begin"/>
            </w:r>
            <w:r w:rsidR="002B3915">
              <w:rPr>
                <w:webHidden/>
              </w:rPr>
              <w:instrText xml:space="preserve"> PAGEREF _Toc502832966 \h </w:instrText>
            </w:r>
            <w:r w:rsidR="002B3915">
              <w:rPr>
                <w:webHidden/>
              </w:rPr>
            </w:r>
            <w:r w:rsidR="002B3915">
              <w:rPr>
                <w:webHidden/>
              </w:rPr>
              <w:fldChar w:fldCharType="separate"/>
            </w:r>
            <w:r>
              <w:rPr>
                <w:webHidden/>
              </w:rPr>
              <w:t>98</w:t>
            </w:r>
            <w:r w:rsidR="002B3915">
              <w:rPr>
                <w:webHidden/>
              </w:rPr>
              <w:fldChar w:fldCharType="end"/>
            </w:r>
          </w:hyperlink>
        </w:p>
        <w:p w14:paraId="11CD7D95" w14:textId="77777777" w:rsidR="002B3915" w:rsidRDefault="00AC4BE5">
          <w:pPr>
            <w:pStyle w:val="TOC2"/>
            <w:tabs>
              <w:tab w:val="left" w:pos="1760"/>
            </w:tabs>
            <w:rPr>
              <w:rFonts w:asciiTheme="minorHAnsi" w:eastAsiaTheme="minorEastAsia" w:hAnsiTheme="minorHAnsi" w:cstheme="minorBidi"/>
            </w:rPr>
          </w:pPr>
          <w:hyperlink w:anchor="_Toc502832967" w:history="1">
            <w:r w:rsidR="002B3915" w:rsidRPr="00E878C3">
              <w:rPr>
                <w:rStyle w:val="Hyperlink"/>
              </w:rPr>
              <w:t>B5.2.3</w:t>
            </w:r>
            <w:r w:rsidR="002B3915">
              <w:rPr>
                <w:rFonts w:asciiTheme="minorHAnsi" w:eastAsiaTheme="minorEastAsia" w:hAnsiTheme="minorHAnsi" w:cstheme="minorBidi"/>
              </w:rPr>
              <w:tab/>
            </w:r>
            <w:r w:rsidR="002B3915" w:rsidRPr="00E878C3">
              <w:rPr>
                <w:rStyle w:val="Hyperlink"/>
              </w:rPr>
              <w:t>Outcome measures and analysis</w:t>
            </w:r>
            <w:r w:rsidR="002B3915">
              <w:rPr>
                <w:webHidden/>
              </w:rPr>
              <w:tab/>
            </w:r>
            <w:r w:rsidR="002B3915">
              <w:rPr>
                <w:webHidden/>
              </w:rPr>
              <w:fldChar w:fldCharType="begin"/>
            </w:r>
            <w:r w:rsidR="002B3915">
              <w:rPr>
                <w:webHidden/>
              </w:rPr>
              <w:instrText xml:space="preserve"> PAGEREF _Toc502832967 \h </w:instrText>
            </w:r>
            <w:r w:rsidR="002B3915">
              <w:rPr>
                <w:webHidden/>
              </w:rPr>
            </w:r>
            <w:r w:rsidR="002B3915">
              <w:rPr>
                <w:webHidden/>
              </w:rPr>
              <w:fldChar w:fldCharType="separate"/>
            </w:r>
            <w:r>
              <w:rPr>
                <w:webHidden/>
              </w:rPr>
              <w:t>98</w:t>
            </w:r>
            <w:r w:rsidR="002B3915">
              <w:rPr>
                <w:webHidden/>
              </w:rPr>
              <w:fldChar w:fldCharType="end"/>
            </w:r>
          </w:hyperlink>
        </w:p>
        <w:p w14:paraId="1357660B" w14:textId="77777777" w:rsidR="002B3915" w:rsidRDefault="00AC4BE5">
          <w:pPr>
            <w:pStyle w:val="TOC2"/>
            <w:tabs>
              <w:tab w:val="left" w:pos="1760"/>
            </w:tabs>
            <w:rPr>
              <w:rFonts w:asciiTheme="minorHAnsi" w:eastAsiaTheme="minorEastAsia" w:hAnsiTheme="minorHAnsi" w:cstheme="minorBidi"/>
            </w:rPr>
          </w:pPr>
          <w:hyperlink w:anchor="_Toc502832968" w:history="1">
            <w:r w:rsidR="002B3915" w:rsidRPr="00E878C3">
              <w:rPr>
                <w:rStyle w:val="Hyperlink"/>
              </w:rPr>
              <w:t>B5.2.4</w:t>
            </w:r>
            <w:r w:rsidR="002B3915">
              <w:rPr>
                <w:rFonts w:asciiTheme="minorHAnsi" w:eastAsiaTheme="minorEastAsia" w:hAnsiTheme="minorHAnsi" w:cstheme="minorBidi"/>
              </w:rPr>
              <w:tab/>
            </w:r>
            <w:r w:rsidR="002B3915" w:rsidRPr="00E878C3">
              <w:rPr>
                <w:rStyle w:val="Hyperlink"/>
              </w:rPr>
              <w:t>Results of the systematic literature review</w:t>
            </w:r>
            <w:r w:rsidR="002B3915">
              <w:rPr>
                <w:webHidden/>
              </w:rPr>
              <w:tab/>
            </w:r>
            <w:r w:rsidR="002B3915">
              <w:rPr>
                <w:webHidden/>
              </w:rPr>
              <w:fldChar w:fldCharType="begin"/>
            </w:r>
            <w:r w:rsidR="002B3915">
              <w:rPr>
                <w:webHidden/>
              </w:rPr>
              <w:instrText xml:space="preserve"> PAGEREF _Toc502832968 \h </w:instrText>
            </w:r>
            <w:r w:rsidR="002B3915">
              <w:rPr>
                <w:webHidden/>
              </w:rPr>
            </w:r>
            <w:r w:rsidR="002B3915">
              <w:rPr>
                <w:webHidden/>
              </w:rPr>
              <w:fldChar w:fldCharType="separate"/>
            </w:r>
            <w:r>
              <w:rPr>
                <w:webHidden/>
              </w:rPr>
              <w:t>98</w:t>
            </w:r>
            <w:r w:rsidR="002B3915">
              <w:rPr>
                <w:webHidden/>
              </w:rPr>
              <w:fldChar w:fldCharType="end"/>
            </w:r>
          </w:hyperlink>
        </w:p>
        <w:p w14:paraId="1AF26E38" w14:textId="77777777" w:rsidR="002B3915" w:rsidRDefault="00AC4BE5">
          <w:pPr>
            <w:pStyle w:val="TOC3"/>
            <w:rPr>
              <w:rFonts w:asciiTheme="minorHAnsi" w:eastAsiaTheme="minorEastAsia" w:hAnsiTheme="minorHAnsi" w:cstheme="minorBidi"/>
            </w:rPr>
          </w:pPr>
          <w:hyperlink w:anchor="_Toc502832969" w:history="1">
            <w:r w:rsidR="002B3915" w:rsidRPr="00E878C3">
              <w:rPr>
                <w:rStyle w:val="Hyperlink"/>
              </w:rPr>
              <w:t>Does the change in management improve health outcomes?</w:t>
            </w:r>
            <w:r w:rsidR="002B3915">
              <w:rPr>
                <w:webHidden/>
              </w:rPr>
              <w:tab/>
            </w:r>
            <w:r w:rsidR="002B3915">
              <w:rPr>
                <w:webHidden/>
              </w:rPr>
              <w:fldChar w:fldCharType="begin"/>
            </w:r>
            <w:r w:rsidR="002B3915">
              <w:rPr>
                <w:webHidden/>
              </w:rPr>
              <w:instrText xml:space="preserve"> PAGEREF _Toc502832969 \h </w:instrText>
            </w:r>
            <w:r w:rsidR="002B3915">
              <w:rPr>
                <w:webHidden/>
              </w:rPr>
            </w:r>
            <w:r w:rsidR="002B3915">
              <w:rPr>
                <w:webHidden/>
              </w:rPr>
              <w:fldChar w:fldCharType="separate"/>
            </w:r>
            <w:r>
              <w:rPr>
                <w:webHidden/>
              </w:rPr>
              <w:t>98</w:t>
            </w:r>
            <w:r w:rsidR="002B3915">
              <w:rPr>
                <w:webHidden/>
              </w:rPr>
              <w:fldChar w:fldCharType="end"/>
            </w:r>
          </w:hyperlink>
        </w:p>
        <w:p w14:paraId="617B12FD" w14:textId="77777777" w:rsidR="002B3915" w:rsidRDefault="00AC4BE5">
          <w:pPr>
            <w:pStyle w:val="TOC1"/>
            <w:rPr>
              <w:rFonts w:asciiTheme="minorHAnsi" w:eastAsiaTheme="minorEastAsia" w:hAnsiTheme="minorHAnsi" w:cstheme="minorBidi"/>
              <w:b w:val="0"/>
            </w:rPr>
          </w:pPr>
          <w:hyperlink w:anchor="_Toc502832970" w:history="1">
            <w:r w:rsidR="002B3915" w:rsidRPr="00E878C3">
              <w:rPr>
                <w:rStyle w:val="Hyperlink"/>
              </w:rPr>
              <w:t>B6</w:t>
            </w:r>
            <w:r w:rsidR="002B3915">
              <w:rPr>
                <w:rFonts w:asciiTheme="minorHAnsi" w:eastAsiaTheme="minorEastAsia" w:hAnsiTheme="minorHAnsi" w:cstheme="minorBidi"/>
                <w:b w:val="0"/>
              </w:rPr>
              <w:tab/>
            </w:r>
            <w:r w:rsidR="002B3915" w:rsidRPr="00E878C3">
              <w:rPr>
                <w:rStyle w:val="Hyperlink"/>
              </w:rPr>
              <w:t>Impact of repeat testing / monitoring</w:t>
            </w:r>
            <w:r w:rsidR="002B3915">
              <w:rPr>
                <w:webHidden/>
              </w:rPr>
              <w:tab/>
            </w:r>
            <w:r w:rsidR="002B3915">
              <w:rPr>
                <w:webHidden/>
              </w:rPr>
              <w:fldChar w:fldCharType="begin"/>
            </w:r>
            <w:r w:rsidR="002B3915">
              <w:rPr>
                <w:webHidden/>
              </w:rPr>
              <w:instrText xml:space="preserve"> PAGEREF _Toc502832970 \h </w:instrText>
            </w:r>
            <w:r w:rsidR="002B3915">
              <w:rPr>
                <w:webHidden/>
              </w:rPr>
            </w:r>
            <w:r w:rsidR="002B3915">
              <w:rPr>
                <w:webHidden/>
              </w:rPr>
              <w:fldChar w:fldCharType="separate"/>
            </w:r>
            <w:r>
              <w:rPr>
                <w:webHidden/>
              </w:rPr>
              <w:t>103</w:t>
            </w:r>
            <w:r w:rsidR="002B3915">
              <w:rPr>
                <w:webHidden/>
              </w:rPr>
              <w:fldChar w:fldCharType="end"/>
            </w:r>
          </w:hyperlink>
        </w:p>
        <w:p w14:paraId="49945A0A" w14:textId="77777777" w:rsidR="002B3915" w:rsidRDefault="00AC4BE5">
          <w:pPr>
            <w:pStyle w:val="TOC1"/>
            <w:rPr>
              <w:rFonts w:asciiTheme="minorHAnsi" w:eastAsiaTheme="minorEastAsia" w:hAnsiTheme="minorHAnsi" w:cstheme="minorBidi"/>
              <w:b w:val="0"/>
            </w:rPr>
          </w:pPr>
          <w:hyperlink w:anchor="_Toc502832971" w:history="1">
            <w:r w:rsidR="002B3915" w:rsidRPr="00E878C3">
              <w:rPr>
                <w:rStyle w:val="Hyperlink"/>
              </w:rPr>
              <w:t>B7</w:t>
            </w:r>
            <w:r w:rsidR="002B3915">
              <w:rPr>
                <w:rFonts w:asciiTheme="minorHAnsi" w:eastAsiaTheme="minorEastAsia" w:hAnsiTheme="minorHAnsi" w:cstheme="minorBidi"/>
                <w:b w:val="0"/>
              </w:rPr>
              <w:tab/>
            </w:r>
            <w:r w:rsidR="002B3915" w:rsidRPr="00E878C3">
              <w:rPr>
                <w:rStyle w:val="Hyperlink"/>
              </w:rPr>
              <w:t>Extended assessment of comparative harms</w:t>
            </w:r>
            <w:r w:rsidR="002B3915">
              <w:rPr>
                <w:webHidden/>
              </w:rPr>
              <w:tab/>
            </w:r>
            <w:r w:rsidR="002B3915">
              <w:rPr>
                <w:webHidden/>
              </w:rPr>
              <w:fldChar w:fldCharType="begin"/>
            </w:r>
            <w:r w:rsidR="002B3915">
              <w:rPr>
                <w:webHidden/>
              </w:rPr>
              <w:instrText xml:space="preserve"> PAGEREF _Toc502832971 \h </w:instrText>
            </w:r>
            <w:r w:rsidR="002B3915">
              <w:rPr>
                <w:webHidden/>
              </w:rPr>
            </w:r>
            <w:r w:rsidR="002B3915">
              <w:rPr>
                <w:webHidden/>
              </w:rPr>
              <w:fldChar w:fldCharType="separate"/>
            </w:r>
            <w:r>
              <w:rPr>
                <w:webHidden/>
              </w:rPr>
              <w:t>105</w:t>
            </w:r>
            <w:r w:rsidR="002B3915">
              <w:rPr>
                <w:webHidden/>
              </w:rPr>
              <w:fldChar w:fldCharType="end"/>
            </w:r>
          </w:hyperlink>
        </w:p>
        <w:p w14:paraId="5B4EFB36" w14:textId="77777777" w:rsidR="002B3915" w:rsidRDefault="00AC4BE5">
          <w:pPr>
            <w:pStyle w:val="TOC1"/>
            <w:rPr>
              <w:rFonts w:asciiTheme="minorHAnsi" w:eastAsiaTheme="minorEastAsia" w:hAnsiTheme="minorHAnsi" w:cstheme="minorBidi"/>
              <w:b w:val="0"/>
            </w:rPr>
          </w:pPr>
          <w:hyperlink w:anchor="_Toc502832972" w:history="1">
            <w:r w:rsidR="002B3915" w:rsidRPr="00E878C3">
              <w:rPr>
                <w:rStyle w:val="Hyperlink"/>
              </w:rPr>
              <w:t>B8</w:t>
            </w:r>
            <w:r w:rsidR="002B3915">
              <w:rPr>
                <w:rFonts w:asciiTheme="minorHAnsi" w:eastAsiaTheme="minorEastAsia" w:hAnsiTheme="minorHAnsi" w:cstheme="minorBidi"/>
                <w:b w:val="0"/>
              </w:rPr>
              <w:tab/>
            </w:r>
            <w:r w:rsidR="002B3915" w:rsidRPr="00E878C3">
              <w:rPr>
                <w:rStyle w:val="Hyperlink"/>
              </w:rPr>
              <w:t>Interpretation of the clinical evidence</w:t>
            </w:r>
            <w:r w:rsidR="002B3915">
              <w:rPr>
                <w:webHidden/>
              </w:rPr>
              <w:tab/>
            </w:r>
            <w:r w:rsidR="002B3915">
              <w:rPr>
                <w:webHidden/>
              </w:rPr>
              <w:fldChar w:fldCharType="begin"/>
            </w:r>
            <w:r w:rsidR="002B3915">
              <w:rPr>
                <w:webHidden/>
              </w:rPr>
              <w:instrText xml:space="preserve"> PAGEREF _Toc502832972 \h </w:instrText>
            </w:r>
            <w:r w:rsidR="002B3915">
              <w:rPr>
                <w:webHidden/>
              </w:rPr>
            </w:r>
            <w:r w:rsidR="002B3915">
              <w:rPr>
                <w:webHidden/>
              </w:rPr>
              <w:fldChar w:fldCharType="separate"/>
            </w:r>
            <w:r>
              <w:rPr>
                <w:webHidden/>
              </w:rPr>
              <w:t>106</w:t>
            </w:r>
            <w:r w:rsidR="002B3915">
              <w:rPr>
                <w:webHidden/>
              </w:rPr>
              <w:fldChar w:fldCharType="end"/>
            </w:r>
          </w:hyperlink>
        </w:p>
        <w:p w14:paraId="00082EB2" w14:textId="77777777" w:rsidR="002B3915" w:rsidRDefault="00AC4BE5">
          <w:pPr>
            <w:pStyle w:val="TOC1"/>
            <w:rPr>
              <w:rFonts w:asciiTheme="minorHAnsi" w:eastAsiaTheme="minorEastAsia" w:hAnsiTheme="minorHAnsi" w:cstheme="minorBidi"/>
              <w:b w:val="0"/>
            </w:rPr>
          </w:pPr>
          <w:hyperlink w:anchor="_Toc502832973" w:history="1">
            <w:r w:rsidR="002B3915" w:rsidRPr="00E878C3">
              <w:rPr>
                <w:rStyle w:val="Hyperlink"/>
              </w:rPr>
              <w:t>Section C</w:t>
            </w:r>
            <w:r w:rsidR="002B3915">
              <w:rPr>
                <w:rFonts w:asciiTheme="minorHAnsi" w:eastAsiaTheme="minorEastAsia" w:hAnsiTheme="minorHAnsi" w:cstheme="minorBidi"/>
                <w:b w:val="0"/>
              </w:rPr>
              <w:tab/>
            </w:r>
            <w:r w:rsidR="002B3915" w:rsidRPr="00E878C3">
              <w:rPr>
                <w:rStyle w:val="Hyperlink"/>
              </w:rPr>
              <w:t>Translation issues</w:t>
            </w:r>
            <w:r w:rsidR="002B3915">
              <w:rPr>
                <w:webHidden/>
              </w:rPr>
              <w:tab/>
            </w:r>
            <w:r w:rsidR="002B3915">
              <w:rPr>
                <w:webHidden/>
              </w:rPr>
              <w:fldChar w:fldCharType="begin"/>
            </w:r>
            <w:r w:rsidR="002B3915">
              <w:rPr>
                <w:webHidden/>
              </w:rPr>
              <w:instrText xml:space="preserve"> PAGEREF _Toc502832973 \h </w:instrText>
            </w:r>
            <w:r w:rsidR="002B3915">
              <w:rPr>
                <w:webHidden/>
              </w:rPr>
            </w:r>
            <w:r w:rsidR="002B3915">
              <w:rPr>
                <w:webHidden/>
              </w:rPr>
              <w:fldChar w:fldCharType="separate"/>
            </w:r>
            <w:r>
              <w:rPr>
                <w:webHidden/>
              </w:rPr>
              <w:t>110</w:t>
            </w:r>
            <w:r w:rsidR="002B3915">
              <w:rPr>
                <w:webHidden/>
              </w:rPr>
              <w:fldChar w:fldCharType="end"/>
            </w:r>
          </w:hyperlink>
        </w:p>
        <w:p w14:paraId="54F4219A" w14:textId="77777777" w:rsidR="002B3915" w:rsidRDefault="00AC4BE5">
          <w:pPr>
            <w:pStyle w:val="TOC1"/>
            <w:rPr>
              <w:rFonts w:asciiTheme="minorHAnsi" w:eastAsiaTheme="minorEastAsia" w:hAnsiTheme="minorHAnsi" w:cstheme="minorBidi"/>
              <w:b w:val="0"/>
            </w:rPr>
          </w:pPr>
          <w:hyperlink w:anchor="_Toc502832974" w:history="1">
            <w:r w:rsidR="002B3915" w:rsidRPr="00E878C3">
              <w:rPr>
                <w:rStyle w:val="Hyperlink"/>
              </w:rPr>
              <w:t>Section D</w:t>
            </w:r>
            <w:r w:rsidR="002B3915">
              <w:rPr>
                <w:rFonts w:asciiTheme="minorHAnsi" w:eastAsiaTheme="minorEastAsia" w:hAnsiTheme="minorHAnsi" w:cstheme="minorBidi"/>
                <w:b w:val="0"/>
              </w:rPr>
              <w:tab/>
            </w:r>
            <w:r w:rsidR="002B3915" w:rsidRPr="00E878C3">
              <w:rPr>
                <w:rStyle w:val="Hyperlink"/>
              </w:rPr>
              <w:t>Economic evaluation</w:t>
            </w:r>
            <w:r w:rsidR="002B3915">
              <w:rPr>
                <w:webHidden/>
              </w:rPr>
              <w:tab/>
            </w:r>
            <w:r w:rsidR="002B3915">
              <w:rPr>
                <w:webHidden/>
              </w:rPr>
              <w:fldChar w:fldCharType="begin"/>
            </w:r>
            <w:r w:rsidR="002B3915">
              <w:rPr>
                <w:webHidden/>
              </w:rPr>
              <w:instrText xml:space="preserve"> PAGEREF _Toc502832974 \h </w:instrText>
            </w:r>
            <w:r w:rsidR="002B3915">
              <w:rPr>
                <w:webHidden/>
              </w:rPr>
            </w:r>
            <w:r w:rsidR="002B3915">
              <w:rPr>
                <w:webHidden/>
              </w:rPr>
              <w:fldChar w:fldCharType="separate"/>
            </w:r>
            <w:r>
              <w:rPr>
                <w:webHidden/>
              </w:rPr>
              <w:t>111</w:t>
            </w:r>
            <w:r w:rsidR="002B3915">
              <w:rPr>
                <w:webHidden/>
              </w:rPr>
              <w:fldChar w:fldCharType="end"/>
            </w:r>
          </w:hyperlink>
        </w:p>
        <w:p w14:paraId="34BA00F7" w14:textId="77777777" w:rsidR="002B3915" w:rsidRDefault="00AC4BE5">
          <w:pPr>
            <w:pStyle w:val="TOC2"/>
            <w:tabs>
              <w:tab w:val="left" w:pos="1540"/>
            </w:tabs>
            <w:rPr>
              <w:rFonts w:asciiTheme="minorHAnsi" w:eastAsiaTheme="minorEastAsia" w:hAnsiTheme="minorHAnsi" w:cstheme="minorBidi"/>
            </w:rPr>
          </w:pPr>
          <w:hyperlink w:anchor="_Toc502832975" w:history="1">
            <w:r w:rsidR="002B3915" w:rsidRPr="00E878C3">
              <w:rPr>
                <w:rStyle w:val="Hyperlink"/>
              </w:rPr>
              <w:t>D.1.</w:t>
            </w:r>
            <w:r w:rsidR="002B3915">
              <w:rPr>
                <w:rFonts w:asciiTheme="minorHAnsi" w:eastAsiaTheme="minorEastAsia" w:hAnsiTheme="minorHAnsi" w:cstheme="minorBidi"/>
              </w:rPr>
              <w:tab/>
            </w:r>
            <w:r w:rsidR="002B3915" w:rsidRPr="00E878C3">
              <w:rPr>
                <w:rStyle w:val="Hyperlink"/>
              </w:rPr>
              <w:t>Overview</w:t>
            </w:r>
            <w:r w:rsidR="002B3915">
              <w:rPr>
                <w:webHidden/>
              </w:rPr>
              <w:tab/>
            </w:r>
            <w:r w:rsidR="002B3915">
              <w:rPr>
                <w:webHidden/>
              </w:rPr>
              <w:fldChar w:fldCharType="begin"/>
            </w:r>
            <w:r w:rsidR="002B3915">
              <w:rPr>
                <w:webHidden/>
              </w:rPr>
              <w:instrText xml:space="preserve"> PAGEREF _Toc502832975 \h </w:instrText>
            </w:r>
            <w:r w:rsidR="002B3915">
              <w:rPr>
                <w:webHidden/>
              </w:rPr>
            </w:r>
            <w:r w:rsidR="002B3915">
              <w:rPr>
                <w:webHidden/>
              </w:rPr>
              <w:fldChar w:fldCharType="separate"/>
            </w:r>
            <w:r>
              <w:rPr>
                <w:webHidden/>
              </w:rPr>
              <w:t>111</w:t>
            </w:r>
            <w:r w:rsidR="002B3915">
              <w:rPr>
                <w:webHidden/>
              </w:rPr>
              <w:fldChar w:fldCharType="end"/>
            </w:r>
          </w:hyperlink>
        </w:p>
        <w:p w14:paraId="5EC3DA0C" w14:textId="77777777" w:rsidR="002B3915" w:rsidRDefault="00AC4BE5">
          <w:pPr>
            <w:pStyle w:val="TOC2"/>
            <w:tabs>
              <w:tab w:val="left" w:pos="1540"/>
            </w:tabs>
            <w:rPr>
              <w:rFonts w:asciiTheme="minorHAnsi" w:eastAsiaTheme="minorEastAsia" w:hAnsiTheme="minorHAnsi" w:cstheme="minorBidi"/>
            </w:rPr>
          </w:pPr>
          <w:hyperlink w:anchor="_Toc502832976" w:history="1">
            <w:r w:rsidR="002B3915" w:rsidRPr="00E878C3">
              <w:rPr>
                <w:rStyle w:val="Hyperlink"/>
              </w:rPr>
              <w:t>D.2.</w:t>
            </w:r>
            <w:r w:rsidR="002B3915">
              <w:rPr>
                <w:rFonts w:asciiTheme="minorHAnsi" w:eastAsiaTheme="minorEastAsia" w:hAnsiTheme="minorHAnsi" w:cstheme="minorBidi"/>
              </w:rPr>
              <w:tab/>
            </w:r>
            <w:r w:rsidR="002B3915" w:rsidRPr="00E878C3">
              <w:rPr>
                <w:rStyle w:val="Hyperlink"/>
              </w:rPr>
              <w:t>Populations and settings</w:t>
            </w:r>
            <w:r w:rsidR="002B3915">
              <w:rPr>
                <w:webHidden/>
              </w:rPr>
              <w:tab/>
            </w:r>
            <w:r w:rsidR="002B3915">
              <w:rPr>
                <w:webHidden/>
              </w:rPr>
              <w:fldChar w:fldCharType="begin"/>
            </w:r>
            <w:r w:rsidR="002B3915">
              <w:rPr>
                <w:webHidden/>
              </w:rPr>
              <w:instrText xml:space="preserve"> PAGEREF _Toc502832976 \h </w:instrText>
            </w:r>
            <w:r w:rsidR="002B3915">
              <w:rPr>
                <w:webHidden/>
              </w:rPr>
            </w:r>
            <w:r w:rsidR="002B3915">
              <w:rPr>
                <w:webHidden/>
              </w:rPr>
              <w:fldChar w:fldCharType="separate"/>
            </w:r>
            <w:r>
              <w:rPr>
                <w:webHidden/>
              </w:rPr>
              <w:t>111</w:t>
            </w:r>
            <w:r w:rsidR="002B3915">
              <w:rPr>
                <w:webHidden/>
              </w:rPr>
              <w:fldChar w:fldCharType="end"/>
            </w:r>
          </w:hyperlink>
        </w:p>
        <w:p w14:paraId="1A90E1CB" w14:textId="77777777" w:rsidR="002B3915" w:rsidRDefault="00AC4BE5">
          <w:pPr>
            <w:pStyle w:val="TOC2"/>
            <w:tabs>
              <w:tab w:val="left" w:pos="1540"/>
            </w:tabs>
            <w:rPr>
              <w:rFonts w:asciiTheme="minorHAnsi" w:eastAsiaTheme="minorEastAsia" w:hAnsiTheme="minorHAnsi" w:cstheme="minorBidi"/>
            </w:rPr>
          </w:pPr>
          <w:hyperlink w:anchor="_Toc502832977" w:history="1">
            <w:r w:rsidR="002B3915" w:rsidRPr="00E878C3">
              <w:rPr>
                <w:rStyle w:val="Hyperlink"/>
              </w:rPr>
              <w:t>D.3.</w:t>
            </w:r>
            <w:r w:rsidR="002B3915">
              <w:rPr>
                <w:rFonts w:asciiTheme="minorHAnsi" w:eastAsiaTheme="minorEastAsia" w:hAnsiTheme="minorHAnsi" w:cstheme="minorBidi"/>
              </w:rPr>
              <w:tab/>
            </w:r>
            <w:r w:rsidR="002B3915" w:rsidRPr="00E878C3">
              <w:rPr>
                <w:rStyle w:val="Hyperlink"/>
              </w:rPr>
              <w:t>Structure and rationale of the economic evaluation</w:t>
            </w:r>
            <w:r w:rsidR="002B3915">
              <w:rPr>
                <w:webHidden/>
              </w:rPr>
              <w:tab/>
            </w:r>
            <w:r w:rsidR="002B3915">
              <w:rPr>
                <w:webHidden/>
              </w:rPr>
              <w:fldChar w:fldCharType="begin"/>
            </w:r>
            <w:r w:rsidR="002B3915">
              <w:rPr>
                <w:webHidden/>
              </w:rPr>
              <w:instrText xml:space="preserve"> PAGEREF _Toc502832977 \h </w:instrText>
            </w:r>
            <w:r w:rsidR="002B3915">
              <w:rPr>
                <w:webHidden/>
              </w:rPr>
            </w:r>
            <w:r w:rsidR="002B3915">
              <w:rPr>
                <w:webHidden/>
              </w:rPr>
              <w:fldChar w:fldCharType="separate"/>
            </w:r>
            <w:r>
              <w:rPr>
                <w:webHidden/>
              </w:rPr>
              <w:t>112</w:t>
            </w:r>
            <w:r w:rsidR="002B3915">
              <w:rPr>
                <w:webHidden/>
              </w:rPr>
              <w:fldChar w:fldCharType="end"/>
            </w:r>
          </w:hyperlink>
        </w:p>
        <w:p w14:paraId="4332DDA5" w14:textId="77777777" w:rsidR="002B3915" w:rsidRDefault="00AC4BE5">
          <w:pPr>
            <w:pStyle w:val="TOC3"/>
            <w:rPr>
              <w:rFonts w:asciiTheme="minorHAnsi" w:eastAsiaTheme="minorEastAsia" w:hAnsiTheme="minorHAnsi" w:cstheme="minorBidi"/>
            </w:rPr>
          </w:pPr>
          <w:hyperlink w:anchor="_Toc502832978" w:history="1">
            <w:r w:rsidR="002B3915" w:rsidRPr="00E878C3">
              <w:rPr>
                <w:rStyle w:val="Hyperlink"/>
              </w:rPr>
              <w:t>Literature review</w:t>
            </w:r>
            <w:r w:rsidR="002B3915">
              <w:rPr>
                <w:webHidden/>
              </w:rPr>
              <w:tab/>
            </w:r>
            <w:r w:rsidR="002B3915">
              <w:rPr>
                <w:webHidden/>
              </w:rPr>
              <w:fldChar w:fldCharType="begin"/>
            </w:r>
            <w:r w:rsidR="002B3915">
              <w:rPr>
                <w:webHidden/>
              </w:rPr>
              <w:instrText xml:space="preserve"> PAGEREF _Toc502832978 \h </w:instrText>
            </w:r>
            <w:r w:rsidR="002B3915">
              <w:rPr>
                <w:webHidden/>
              </w:rPr>
            </w:r>
            <w:r w:rsidR="002B3915">
              <w:rPr>
                <w:webHidden/>
              </w:rPr>
              <w:fldChar w:fldCharType="separate"/>
            </w:r>
            <w:r>
              <w:rPr>
                <w:webHidden/>
              </w:rPr>
              <w:t>112</w:t>
            </w:r>
            <w:r w:rsidR="002B3915">
              <w:rPr>
                <w:webHidden/>
              </w:rPr>
              <w:fldChar w:fldCharType="end"/>
            </w:r>
          </w:hyperlink>
        </w:p>
        <w:p w14:paraId="116DE5ED" w14:textId="77777777" w:rsidR="002B3915" w:rsidRDefault="00AC4BE5">
          <w:pPr>
            <w:pStyle w:val="TOC2"/>
            <w:tabs>
              <w:tab w:val="left" w:pos="1540"/>
            </w:tabs>
            <w:rPr>
              <w:rFonts w:asciiTheme="minorHAnsi" w:eastAsiaTheme="minorEastAsia" w:hAnsiTheme="minorHAnsi" w:cstheme="minorBidi"/>
            </w:rPr>
          </w:pPr>
          <w:hyperlink w:anchor="_Toc502832979" w:history="1">
            <w:r w:rsidR="002B3915" w:rsidRPr="00E878C3">
              <w:rPr>
                <w:rStyle w:val="Hyperlink"/>
              </w:rPr>
              <w:t>D.4.</w:t>
            </w:r>
            <w:r w:rsidR="002B3915">
              <w:rPr>
                <w:rFonts w:asciiTheme="minorHAnsi" w:eastAsiaTheme="minorEastAsia" w:hAnsiTheme="minorHAnsi" w:cstheme="minorBidi"/>
              </w:rPr>
              <w:tab/>
            </w:r>
            <w:r w:rsidR="002B3915" w:rsidRPr="00E878C3">
              <w:rPr>
                <w:rStyle w:val="Hyperlink"/>
              </w:rPr>
              <w:t>Inputs to the economic evaluation</w:t>
            </w:r>
            <w:r w:rsidR="002B3915">
              <w:rPr>
                <w:webHidden/>
              </w:rPr>
              <w:tab/>
            </w:r>
            <w:r w:rsidR="002B3915">
              <w:rPr>
                <w:webHidden/>
              </w:rPr>
              <w:fldChar w:fldCharType="begin"/>
            </w:r>
            <w:r w:rsidR="002B3915">
              <w:rPr>
                <w:webHidden/>
              </w:rPr>
              <w:instrText xml:space="preserve"> PAGEREF _Toc502832979 \h </w:instrText>
            </w:r>
            <w:r w:rsidR="002B3915">
              <w:rPr>
                <w:webHidden/>
              </w:rPr>
            </w:r>
            <w:r w:rsidR="002B3915">
              <w:rPr>
                <w:webHidden/>
              </w:rPr>
              <w:fldChar w:fldCharType="separate"/>
            </w:r>
            <w:r>
              <w:rPr>
                <w:webHidden/>
              </w:rPr>
              <w:t>112</w:t>
            </w:r>
            <w:r w:rsidR="002B3915">
              <w:rPr>
                <w:webHidden/>
              </w:rPr>
              <w:fldChar w:fldCharType="end"/>
            </w:r>
          </w:hyperlink>
        </w:p>
        <w:p w14:paraId="401A668D" w14:textId="77777777" w:rsidR="002B3915" w:rsidRDefault="00AC4BE5">
          <w:pPr>
            <w:pStyle w:val="TOC3"/>
            <w:rPr>
              <w:rFonts w:asciiTheme="minorHAnsi" w:eastAsiaTheme="minorEastAsia" w:hAnsiTheme="minorHAnsi" w:cstheme="minorBidi"/>
            </w:rPr>
          </w:pPr>
          <w:hyperlink w:anchor="_Toc502832980" w:history="1">
            <w:r w:rsidR="002B3915" w:rsidRPr="00E878C3">
              <w:rPr>
                <w:rStyle w:val="Hyperlink"/>
              </w:rPr>
              <w:t>Test costs and associated costs</w:t>
            </w:r>
            <w:r w:rsidR="002B3915">
              <w:rPr>
                <w:webHidden/>
              </w:rPr>
              <w:tab/>
            </w:r>
            <w:r w:rsidR="002B3915">
              <w:rPr>
                <w:webHidden/>
              </w:rPr>
              <w:fldChar w:fldCharType="begin"/>
            </w:r>
            <w:r w:rsidR="002B3915">
              <w:rPr>
                <w:webHidden/>
              </w:rPr>
              <w:instrText xml:space="preserve"> PAGEREF _Toc502832980 \h </w:instrText>
            </w:r>
            <w:r w:rsidR="002B3915">
              <w:rPr>
                <w:webHidden/>
              </w:rPr>
            </w:r>
            <w:r w:rsidR="002B3915">
              <w:rPr>
                <w:webHidden/>
              </w:rPr>
              <w:fldChar w:fldCharType="separate"/>
            </w:r>
            <w:r>
              <w:rPr>
                <w:webHidden/>
              </w:rPr>
              <w:t>112</w:t>
            </w:r>
            <w:r w:rsidR="002B3915">
              <w:rPr>
                <w:webHidden/>
              </w:rPr>
              <w:fldChar w:fldCharType="end"/>
            </w:r>
          </w:hyperlink>
        </w:p>
        <w:p w14:paraId="4FDD0491" w14:textId="77777777" w:rsidR="002B3915" w:rsidRDefault="00AC4BE5">
          <w:pPr>
            <w:pStyle w:val="TOC2"/>
            <w:tabs>
              <w:tab w:val="left" w:pos="1540"/>
            </w:tabs>
            <w:rPr>
              <w:rFonts w:asciiTheme="minorHAnsi" w:eastAsiaTheme="minorEastAsia" w:hAnsiTheme="minorHAnsi" w:cstheme="minorBidi"/>
            </w:rPr>
          </w:pPr>
          <w:hyperlink w:anchor="_Toc502832981" w:history="1">
            <w:r w:rsidR="002B3915" w:rsidRPr="00E878C3">
              <w:rPr>
                <w:rStyle w:val="Hyperlink"/>
              </w:rPr>
              <w:t>D.5.</w:t>
            </w:r>
            <w:r w:rsidR="002B3915">
              <w:rPr>
                <w:rFonts w:asciiTheme="minorHAnsi" w:eastAsiaTheme="minorEastAsia" w:hAnsiTheme="minorHAnsi" w:cstheme="minorBidi"/>
              </w:rPr>
              <w:tab/>
            </w:r>
            <w:r w:rsidR="002B3915" w:rsidRPr="00E878C3">
              <w:rPr>
                <w:rStyle w:val="Hyperlink"/>
              </w:rPr>
              <w:t>Results of the economic evaluation</w:t>
            </w:r>
            <w:r w:rsidR="002B3915">
              <w:rPr>
                <w:webHidden/>
              </w:rPr>
              <w:tab/>
            </w:r>
            <w:r w:rsidR="002B3915">
              <w:rPr>
                <w:webHidden/>
              </w:rPr>
              <w:fldChar w:fldCharType="begin"/>
            </w:r>
            <w:r w:rsidR="002B3915">
              <w:rPr>
                <w:webHidden/>
              </w:rPr>
              <w:instrText xml:space="preserve"> PAGEREF _Toc502832981 \h </w:instrText>
            </w:r>
            <w:r w:rsidR="002B3915">
              <w:rPr>
                <w:webHidden/>
              </w:rPr>
            </w:r>
            <w:r w:rsidR="002B3915">
              <w:rPr>
                <w:webHidden/>
              </w:rPr>
              <w:fldChar w:fldCharType="separate"/>
            </w:r>
            <w:r>
              <w:rPr>
                <w:webHidden/>
              </w:rPr>
              <w:t>113</w:t>
            </w:r>
            <w:r w:rsidR="002B3915">
              <w:rPr>
                <w:webHidden/>
              </w:rPr>
              <w:fldChar w:fldCharType="end"/>
            </w:r>
          </w:hyperlink>
        </w:p>
        <w:p w14:paraId="6D05043E" w14:textId="77777777" w:rsidR="002B3915" w:rsidRDefault="00AC4BE5">
          <w:pPr>
            <w:pStyle w:val="TOC2"/>
            <w:tabs>
              <w:tab w:val="left" w:pos="1540"/>
            </w:tabs>
            <w:rPr>
              <w:rFonts w:asciiTheme="minorHAnsi" w:eastAsiaTheme="minorEastAsia" w:hAnsiTheme="minorHAnsi" w:cstheme="minorBidi"/>
            </w:rPr>
          </w:pPr>
          <w:hyperlink w:anchor="_Toc502832982" w:history="1">
            <w:r w:rsidR="002B3915" w:rsidRPr="00E878C3">
              <w:rPr>
                <w:rStyle w:val="Hyperlink"/>
              </w:rPr>
              <w:t>D.6.</w:t>
            </w:r>
            <w:r w:rsidR="002B3915">
              <w:rPr>
                <w:rFonts w:asciiTheme="minorHAnsi" w:eastAsiaTheme="minorEastAsia" w:hAnsiTheme="minorHAnsi" w:cstheme="minorBidi"/>
              </w:rPr>
              <w:tab/>
            </w:r>
            <w:r w:rsidR="002B3915" w:rsidRPr="00E878C3">
              <w:rPr>
                <w:rStyle w:val="Hyperlink"/>
              </w:rPr>
              <w:t>Sensitivity analyses</w:t>
            </w:r>
            <w:r w:rsidR="002B3915">
              <w:rPr>
                <w:webHidden/>
              </w:rPr>
              <w:tab/>
            </w:r>
            <w:r w:rsidR="002B3915">
              <w:rPr>
                <w:webHidden/>
              </w:rPr>
              <w:fldChar w:fldCharType="begin"/>
            </w:r>
            <w:r w:rsidR="002B3915">
              <w:rPr>
                <w:webHidden/>
              </w:rPr>
              <w:instrText xml:space="preserve"> PAGEREF _Toc502832982 \h </w:instrText>
            </w:r>
            <w:r w:rsidR="002B3915">
              <w:rPr>
                <w:webHidden/>
              </w:rPr>
            </w:r>
            <w:r w:rsidR="002B3915">
              <w:rPr>
                <w:webHidden/>
              </w:rPr>
              <w:fldChar w:fldCharType="separate"/>
            </w:r>
            <w:r>
              <w:rPr>
                <w:webHidden/>
              </w:rPr>
              <w:t>113</w:t>
            </w:r>
            <w:r w:rsidR="002B3915">
              <w:rPr>
                <w:webHidden/>
              </w:rPr>
              <w:fldChar w:fldCharType="end"/>
            </w:r>
          </w:hyperlink>
        </w:p>
        <w:p w14:paraId="7480A8FE" w14:textId="77777777" w:rsidR="002B3915" w:rsidRDefault="00AC4BE5">
          <w:pPr>
            <w:pStyle w:val="TOC1"/>
            <w:rPr>
              <w:rFonts w:asciiTheme="minorHAnsi" w:eastAsiaTheme="minorEastAsia" w:hAnsiTheme="minorHAnsi" w:cstheme="minorBidi"/>
              <w:b w:val="0"/>
            </w:rPr>
          </w:pPr>
          <w:hyperlink w:anchor="_Toc502832983" w:history="1">
            <w:r w:rsidR="002B3915" w:rsidRPr="00E878C3">
              <w:rPr>
                <w:rStyle w:val="Hyperlink"/>
              </w:rPr>
              <w:t>Section E</w:t>
            </w:r>
            <w:r w:rsidR="002B3915">
              <w:rPr>
                <w:rFonts w:asciiTheme="minorHAnsi" w:eastAsiaTheme="minorEastAsia" w:hAnsiTheme="minorHAnsi" w:cstheme="minorBidi"/>
                <w:b w:val="0"/>
              </w:rPr>
              <w:tab/>
            </w:r>
            <w:r w:rsidR="002B3915" w:rsidRPr="00E878C3">
              <w:rPr>
                <w:rStyle w:val="Hyperlink"/>
              </w:rPr>
              <w:t>Financial implications</w:t>
            </w:r>
            <w:r w:rsidR="002B3915">
              <w:rPr>
                <w:webHidden/>
              </w:rPr>
              <w:tab/>
            </w:r>
            <w:r w:rsidR="002B3915">
              <w:rPr>
                <w:webHidden/>
              </w:rPr>
              <w:fldChar w:fldCharType="begin"/>
            </w:r>
            <w:r w:rsidR="002B3915">
              <w:rPr>
                <w:webHidden/>
              </w:rPr>
              <w:instrText xml:space="preserve"> PAGEREF _Toc502832983 \h </w:instrText>
            </w:r>
            <w:r w:rsidR="002B3915">
              <w:rPr>
                <w:webHidden/>
              </w:rPr>
            </w:r>
            <w:r w:rsidR="002B3915">
              <w:rPr>
                <w:webHidden/>
              </w:rPr>
              <w:fldChar w:fldCharType="separate"/>
            </w:r>
            <w:r>
              <w:rPr>
                <w:webHidden/>
              </w:rPr>
              <w:t>115</w:t>
            </w:r>
            <w:r w:rsidR="002B3915">
              <w:rPr>
                <w:webHidden/>
              </w:rPr>
              <w:fldChar w:fldCharType="end"/>
            </w:r>
          </w:hyperlink>
        </w:p>
        <w:p w14:paraId="06E01CD3" w14:textId="77777777" w:rsidR="002B3915" w:rsidRDefault="00AC4BE5">
          <w:pPr>
            <w:pStyle w:val="TOC2"/>
            <w:tabs>
              <w:tab w:val="left" w:pos="1418"/>
            </w:tabs>
            <w:rPr>
              <w:rFonts w:asciiTheme="minorHAnsi" w:eastAsiaTheme="minorEastAsia" w:hAnsiTheme="minorHAnsi" w:cstheme="minorBidi"/>
            </w:rPr>
          </w:pPr>
          <w:hyperlink w:anchor="_Toc502832984" w:history="1">
            <w:r w:rsidR="002B3915" w:rsidRPr="00E878C3">
              <w:rPr>
                <w:rStyle w:val="Hyperlink"/>
              </w:rPr>
              <w:t>E.1.</w:t>
            </w:r>
            <w:r w:rsidR="002B3915">
              <w:rPr>
                <w:rFonts w:asciiTheme="minorHAnsi" w:eastAsiaTheme="minorEastAsia" w:hAnsiTheme="minorHAnsi" w:cstheme="minorBidi"/>
              </w:rPr>
              <w:tab/>
            </w:r>
            <w:r w:rsidR="002B3915" w:rsidRPr="00E878C3">
              <w:rPr>
                <w:rStyle w:val="Hyperlink"/>
              </w:rPr>
              <w:t>Justification of the selection of sources of data</w:t>
            </w:r>
            <w:r w:rsidR="002B3915">
              <w:rPr>
                <w:webHidden/>
              </w:rPr>
              <w:tab/>
            </w:r>
            <w:r w:rsidR="002B3915">
              <w:rPr>
                <w:webHidden/>
              </w:rPr>
              <w:fldChar w:fldCharType="begin"/>
            </w:r>
            <w:r w:rsidR="002B3915">
              <w:rPr>
                <w:webHidden/>
              </w:rPr>
              <w:instrText xml:space="preserve"> PAGEREF _Toc502832984 \h </w:instrText>
            </w:r>
            <w:r w:rsidR="002B3915">
              <w:rPr>
                <w:webHidden/>
              </w:rPr>
            </w:r>
            <w:r w:rsidR="002B3915">
              <w:rPr>
                <w:webHidden/>
              </w:rPr>
              <w:fldChar w:fldCharType="separate"/>
            </w:r>
            <w:r>
              <w:rPr>
                <w:webHidden/>
              </w:rPr>
              <w:t>115</w:t>
            </w:r>
            <w:r w:rsidR="002B3915">
              <w:rPr>
                <w:webHidden/>
              </w:rPr>
              <w:fldChar w:fldCharType="end"/>
            </w:r>
          </w:hyperlink>
        </w:p>
        <w:p w14:paraId="5EBE8A91" w14:textId="77777777" w:rsidR="002B3915" w:rsidRDefault="00AC4BE5">
          <w:pPr>
            <w:pStyle w:val="TOC2"/>
            <w:tabs>
              <w:tab w:val="left" w:pos="1418"/>
            </w:tabs>
            <w:rPr>
              <w:rFonts w:asciiTheme="minorHAnsi" w:eastAsiaTheme="minorEastAsia" w:hAnsiTheme="minorHAnsi" w:cstheme="minorBidi"/>
            </w:rPr>
          </w:pPr>
          <w:hyperlink w:anchor="_Toc502832985" w:history="1">
            <w:r w:rsidR="002B3915" w:rsidRPr="00E878C3">
              <w:rPr>
                <w:rStyle w:val="Hyperlink"/>
              </w:rPr>
              <w:t>E.2.</w:t>
            </w:r>
            <w:r w:rsidR="002B3915">
              <w:rPr>
                <w:rFonts w:asciiTheme="minorHAnsi" w:eastAsiaTheme="minorEastAsia" w:hAnsiTheme="minorHAnsi" w:cstheme="minorBidi"/>
              </w:rPr>
              <w:tab/>
            </w:r>
            <w:r w:rsidR="002B3915" w:rsidRPr="00E878C3">
              <w:rPr>
                <w:rStyle w:val="Hyperlink"/>
              </w:rPr>
              <w:t>Use and costs of AMH testing</w:t>
            </w:r>
            <w:r w:rsidR="002B3915">
              <w:rPr>
                <w:webHidden/>
              </w:rPr>
              <w:tab/>
            </w:r>
            <w:r w:rsidR="002B3915">
              <w:rPr>
                <w:webHidden/>
              </w:rPr>
              <w:fldChar w:fldCharType="begin"/>
            </w:r>
            <w:r w:rsidR="002B3915">
              <w:rPr>
                <w:webHidden/>
              </w:rPr>
              <w:instrText xml:space="preserve"> PAGEREF _Toc502832985 \h </w:instrText>
            </w:r>
            <w:r w:rsidR="002B3915">
              <w:rPr>
                <w:webHidden/>
              </w:rPr>
            </w:r>
            <w:r w:rsidR="002B3915">
              <w:rPr>
                <w:webHidden/>
              </w:rPr>
              <w:fldChar w:fldCharType="separate"/>
            </w:r>
            <w:r>
              <w:rPr>
                <w:webHidden/>
              </w:rPr>
              <w:t>115</w:t>
            </w:r>
            <w:r w:rsidR="002B3915">
              <w:rPr>
                <w:webHidden/>
              </w:rPr>
              <w:fldChar w:fldCharType="end"/>
            </w:r>
          </w:hyperlink>
        </w:p>
        <w:p w14:paraId="4ED6B431" w14:textId="77777777" w:rsidR="002B3915" w:rsidRDefault="00AC4BE5">
          <w:pPr>
            <w:pStyle w:val="TOC3"/>
            <w:rPr>
              <w:rFonts w:asciiTheme="minorHAnsi" w:eastAsiaTheme="minorEastAsia" w:hAnsiTheme="minorHAnsi" w:cstheme="minorBidi"/>
            </w:rPr>
          </w:pPr>
          <w:hyperlink w:anchor="_Toc502832986" w:history="1">
            <w:r w:rsidR="002B3915" w:rsidRPr="00E878C3">
              <w:rPr>
                <w:rStyle w:val="Hyperlink"/>
              </w:rPr>
              <w:t>Estimated use of AMH testing</w:t>
            </w:r>
            <w:r w:rsidR="002B3915">
              <w:rPr>
                <w:webHidden/>
              </w:rPr>
              <w:tab/>
            </w:r>
            <w:r w:rsidR="002B3915">
              <w:rPr>
                <w:webHidden/>
              </w:rPr>
              <w:fldChar w:fldCharType="begin"/>
            </w:r>
            <w:r w:rsidR="002B3915">
              <w:rPr>
                <w:webHidden/>
              </w:rPr>
              <w:instrText xml:space="preserve"> PAGEREF _Toc502832986 \h </w:instrText>
            </w:r>
            <w:r w:rsidR="002B3915">
              <w:rPr>
                <w:webHidden/>
              </w:rPr>
            </w:r>
            <w:r w:rsidR="002B3915">
              <w:rPr>
                <w:webHidden/>
              </w:rPr>
              <w:fldChar w:fldCharType="separate"/>
            </w:r>
            <w:r>
              <w:rPr>
                <w:webHidden/>
              </w:rPr>
              <w:t>115</w:t>
            </w:r>
            <w:r w:rsidR="002B3915">
              <w:rPr>
                <w:webHidden/>
              </w:rPr>
              <w:fldChar w:fldCharType="end"/>
            </w:r>
          </w:hyperlink>
        </w:p>
        <w:p w14:paraId="1DCB9BA3" w14:textId="77777777" w:rsidR="002B3915" w:rsidRDefault="00AC4BE5">
          <w:pPr>
            <w:pStyle w:val="TOC3"/>
            <w:rPr>
              <w:rFonts w:asciiTheme="minorHAnsi" w:eastAsiaTheme="minorEastAsia" w:hAnsiTheme="minorHAnsi" w:cstheme="minorBidi"/>
            </w:rPr>
          </w:pPr>
          <w:hyperlink w:anchor="_Toc502832987" w:history="1">
            <w:r w:rsidR="002B3915" w:rsidRPr="00E878C3">
              <w:rPr>
                <w:rStyle w:val="Hyperlink"/>
              </w:rPr>
              <w:t>Estimated costs of AMH testing</w:t>
            </w:r>
            <w:r w:rsidR="002B3915">
              <w:rPr>
                <w:webHidden/>
              </w:rPr>
              <w:tab/>
            </w:r>
            <w:r w:rsidR="002B3915">
              <w:rPr>
                <w:webHidden/>
              </w:rPr>
              <w:fldChar w:fldCharType="begin"/>
            </w:r>
            <w:r w:rsidR="002B3915">
              <w:rPr>
                <w:webHidden/>
              </w:rPr>
              <w:instrText xml:space="preserve"> PAGEREF _Toc502832987 \h </w:instrText>
            </w:r>
            <w:r w:rsidR="002B3915">
              <w:rPr>
                <w:webHidden/>
              </w:rPr>
            </w:r>
            <w:r w:rsidR="002B3915">
              <w:rPr>
                <w:webHidden/>
              </w:rPr>
              <w:fldChar w:fldCharType="separate"/>
            </w:r>
            <w:r>
              <w:rPr>
                <w:webHidden/>
              </w:rPr>
              <w:t>119</w:t>
            </w:r>
            <w:r w:rsidR="002B3915">
              <w:rPr>
                <w:webHidden/>
              </w:rPr>
              <w:fldChar w:fldCharType="end"/>
            </w:r>
          </w:hyperlink>
        </w:p>
        <w:p w14:paraId="271E7BE8" w14:textId="77777777" w:rsidR="002B3915" w:rsidRDefault="00AC4BE5">
          <w:pPr>
            <w:pStyle w:val="TOC2"/>
            <w:tabs>
              <w:tab w:val="left" w:pos="1418"/>
            </w:tabs>
            <w:rPr>
              <w:rFonts w:asciiTheme="minorHAnsi" w:eastAsiaTheme="minorEastAsia" w:hAnsiTheme="minorHAnsi" w:cstheme="minorBidi"/>
            </w:rPr>
          </w:pPr>
          <w:hyperlink w:anchor="_Toc502832988" w:history="1">
            <w:r w:rsidR="002B3915" w:rsidRPr="00E878C3">
              <w:rPr>
                <w:rStyle w:val="Hyperlink"/>
              </w:rPr>
              <w:t>E.3.</w:t>
            </w:r>
            <w:r w:rsidR="002B3915">
              <w:rPr>
                <w:rFonts w:asciiTheme="minorHAnsi" w:eastAsiaTheme="minorEastAsia" w:hAnsiTheme="minorHAnsi" w:cstheme="minorBidi"/>
              </w:rPr>
              <w:tab/>
            </w:r>
            <w:r w:rsidR="002B3915" w:rsidRPr="00E878C3">
              <w:rPr>
                <w:rStyle w:val="Hyperlink"/>
              </w:rPr>
              <w:t>Changes in Use and cost of other medical services</w:t>
            </w:r>
            <w:r w:rsidR="002B3915">
              <w:rPr>
                <w:webHidden/>
              </w:rPr>
              <w:tab/>
            </w:r>
            <w:r w:rsidR="002B3915">
              <w:rPr>
                <w:webHidden/>
              </w:rPr>
              <w:fldChar w:fldCharType="begin"/>
            </w:r>
            <w:r w:rsidR="002B3915">
              <w:rPr>
                <w:webHidden/>
              </w:rPr>
              <w:instrText xml:space="preserve"> PAGEREF _Toc502832988 \h </w:instrText>
            </w:r>
            <w:r w:rsidR="002B3915">
              <w:rPr>
                <w:webHidden/>
              </w:rPr>
            </w:r>
            <w:r w:rsidR="002B3915">
              <w:rPr>
                <w:webHidden/>
              </w:rPr>
              <w:fldChar w:fldCharType="separate"/>
            </w:r>
            <w:r>
              <w:rPr>
                <w:webHidden/>
              </w:rPr>
              <w:t>120</w:t>
            </w:r>
            <w:r w:rsidR="002B3915">
              <w:rPr>
                <w:webHidden/>
              </w:rPr>
              <w:fldChar w:fldCharType="end"/>
            </w:r>
          </w:hyperlink>
        </w:p>
        <w:p w14:paraId="578435E4" w14:textId="77777777" w:rsidR="002B3915" w:rsidRDefault="00AC4BE5">
          <w:pPr>
            <w:pStyle w:val="TOC2"/>
            <w:tabs>
              <w:tab w:val="left" w:pos="1418"/>
            </w:tabs>
            <w:rPr>
              <w:rFonts w:asciiTheme="minorHAnsi" w:eastAsiaTheme="minorEastAsia" w:hAnsiTheme="minorHAnsi" w:cstheme="minorBidi"/>
            </w:rPr>
          </w:pPr>
          <w:hyperlink w:anchor="_Toc502832989" w:history="1">
            <w:r w:rsidR="002B3915" w:rsidRPr="00E878C3">
              <w:rPr>
                <w:rStyle w:val="Hyperlink"/>
              </w:rPr>
              <w:t>E.4.</w:t>
            </w:r>
            <w:r w:rsidR="002B3915">
              <w:rPr>
                <w:rFonts w:asciiTheme="minorHAnsi" w:eastAsiaTheme="minorEastAsia" w:hAnsiTheme="minorHAnsi" w:cstheme="minorBidi"/>
              </w:rPr>
              <w:tab/>
            </w:r>
            <w:r w:rsidR="002B3915" w:rsidRPr="00E878C3">
              <w:rPr>
                <w:rStyle w:val="Hyperlink"/>
              </w:rPr>
              <w:t>Financial implications for the MBS</w:t>
            </w:r>
            <w:r w:rsidR="002B3915">
              <w:rPr>
                <w:webHidden/>
              </w:rPr>
              <w:tab/>
            </w:r>
            <w:r w:rsidR="002B3915">
              <w:rPr>
                <w:webHidden/>
              </w:rPr>
              <w:fldChar w:fldCharType="begin"/>
            </w:r>
            <w:r w:rsidR="002B3915">
              <w:rPr>
                <w:webHidden/>
              </w:rPr>
              <w:instrText xml:space="preserve"> PAGEREF _Toc502832989 \h </w:instrText>
            </w:r>
            <w:r w:rsidR="002B3915">
              <w:rPr>
                <w:webHidden/>
              </w:rPr>
            </w:r>
            <w:r w:rsidR="002B3915">
              <w:rPr>
                <w:webHidden/>
              </w:rPr>
              <w:fldChar w:fldCharType="separate"/>
            </w:r>
            <w:r>
              <w:rPr>
                <w:webHidden/>
              </w:rPr>
              <w:t>120</w:t>
            </w:r>
            <w:r w:rsidR="002B3915">
              <w:rPr>
                <w:webHidden/>
              </w:rPr>
              <w:fldChar w:fldCharType="end"/>
            </w:r>
          </w:hyperlink>
        </w:p>
        <w:p w14:paraId="06145807" w14:textId="77777777" w:rsidR="002B3915" w:rsidRDefault="00AC4BE5">
          <w:pPr>
            <w:pStyle w:val="TOC2"/>
            <w:tabs>
              <w:tab w:val="left" w:pos="1418"/>
            </w:tabs>
            <w:rPr>
              <w:rFonts w:asciiTheme="minorHAnsi" w:eastAsiaTheme="minorEastAsia" w:hAnsiTheme="minorHAnsi" w:cstheme="minorBidi"/>
            </w:rPr>
          </w:pPr>
          <w:hyperlink w:anchor="_Toc502832990" w:history="1">
            <w:r w:rsidR="002B3915" w:rsidRPr="00E878C3">
              <w:rPr>
                <w:rStyle w:val="Hyperlink"/>
              </w:rPr>
              <w:t>E.5.</w:t>
            </w:r>
            <w:r w:rsidR="002B3915">
              <w:rPr>
                <w:rFonts w:asciiTheme="minorHAnsi" w:eastAsiaTheme="minorEastAsia" w:hAnsiTheme="minorHAnsi" w:cstheme="minorBidi"/>
              </w:rPr>
              <w:tab/>
            </w:r>
            <w:r w:rsidR="002B3915" w:rsidRPr="00E878C3">
              <w:rPr>
                <w:rStyle w:val="Hyperlink"/>
              </w:rPr>
              <w:t>Financial implications for government health budgets</w:t>
            </w:r>
            <w:r w:rsidR="002B3915">
              <w:rPr>
                <w:webHidden/>
              </w:rPr>
              <w:tab/>
            </w:r>
            <w:r w:rsidR="002B3915">
              <w:rPr>
                <w:webHidden/>
              </w:rPr>
              <w:fldChar w:fldCharType="begin"/>
            </w:r>
            <w:r w:rsidR="002B3915">
              <w:rPr>
                <w:webHidden/>
              </w:rPr>
              <w:instrText xml:space="preserve"> PAGEREF _Toc502832990 \h </w:instrText>
            </w:r>
            <w:r w:rsidR="002B3915">
              <w:rPr>
                <w:webHidden/>
              </w:rPr>
            </w:r>
            <w:r w:rsidR="002B3915">
              <w:rPr>
                <w:webHidden/>
              </w:rPr>
              <w:fldChar w:fldCharType="separate"/>
            </w:r>
            <w:r>
              <w:rPr>
                <w:webHidden/>
              </w:rPr>
              <w:t>120</w:t>
            </w:r>
            <w:r w:rsidR="002B3915">
              <w:rPr>
                <w:webHidden/>
              </w:rPr>
              <w:fldChar w:fldCharType="end"/>
            </w:r>
          </w:hyperlink>
        </w:p>
        <w:p w14:paraId="5581C31B" w14:textId="77777777" w:rsidR="002B3915" w:rsidRDefault="00AC4BE5">
          <w:pPr>
            <w:pStyle w:val="TOC2"/>
            <w:tabs>
              <w:tab w:val="left" w:pos="1418"/>
            </w:tabs>
            <w:rPr>
              <w:rFonts w:asciiTheme="minorHAnsi" w:eastAsiaTheme="minorEastAsia" w:hAnsiTheme="minorHAnsi" w:cstheme="minorBidi"/>
            </w:rPr>
          </w:pPr>
          <w:hyperlink w:anchor="_Toc502832991" w:history="1">
            <w:r w:rsidR="002B3915" w:rsidRPr="00E878C3">
              <w:rPr>
                <w:rStyle w:val="Hyperlink"/>
              </w:rPr>
              <w:t>E.6.</w:t>
            </w:r>
            <w:r w:rsidR="002B3915">
              <w:rPr>
                <w:rFonts w:asciiTheme="minorHAnsi" w:eastAsiaTheme="minorEastAsia" w:hAnsiTheme="minorHAnsi" w:cstheme="minorBidi"/>
              </w:rPr>
              <w:tab/>
            </w:r>
            <w:r w:rsidR="002B3915" w:rsidRPr="00E878C3">
              <w:rPr>
                <w:rStyle w:val="Hyperlink"/>
              </w:rPr>
              <w:t>Identification, estimation and reduction of uncertainty</w:t>
            </w:r>
            <w:r w:rsidR="002B3915">
              <w:rPr>
                <w:webHidden/>
              </w:rPr>
              <w:tab/>
            </w:r>
            <w:r w:rsidR="002B3915">
              <w:rPr>
                <w:webHidden/>
              </w:rPr>
              <w:fldChar w:fldCharType="begin"/>
            </w:r>
            <w:r w:rsidR="002B3915">
              <w:rPr>
                <w:webHidden/>
              </w:rPr>
              <w:instrText xml:space="preserve"> PAGEREF _Toc502832991 \h </w:instrText>
            </w:r>
            <w:r w:rsidR="002B3915">
              <w:rPr>
                <w:webHidden/>
              </w:rPr>
            </w:r>
            <w:r w:rsidR="002B3915">
              <w:rPr>
                <w:webHidden/>
              </w:rPr>
              <w:fldChar w:fldCharType="separate"/>
            </w:r>
            <w:r>
              <w:rPr>
                <w:webHidden/>
              </w:rPr>
              <w:t>120</w:t>
            </w:r>
            <w:r w:rsidR="002B3915">
              <w:rPr>
                <w:webHidden/>
              </w:rPr>
              <w:fldChar w:fldCharType="end"/>
            </w:r>
          </w:hyperlink>
        </w:p>
        <w:p w14:paraId="6E26D658" w14:textId="77777777" w:rsidR="002B3915" w:rsidRDefault="00AC4BE5">
          <w:pPr>
            <w:pStyle w:val="TOC3"/>
            <w:rPr>
              <w:rFonts w:asciiTheme="minorHAnsi" w:eastAsiaTheme="minorEastAsia" w:hAnsiTheme="minorHAnsi" w:cstheme="minorBidi"/>
            </w:rPr>
          </w:pPr>
          <w:hyperlink w:anchor="_Toc502832992" w:history="1">
            <w:r w:rsidR="002B3915" w:rsidRPr="00E878C3">
              <w:rPr>
                <w:rStyle w:val="Hyperlink"/>
              </w:rPr>
              <w:t>Alternative referral and uptake rates</w:t>
            </w:r>
            <w:r w:rsidR="002B3915">
              <w:rPr>
                <w:webHidden/>
              </w:rPr>
              <w:tab/>
            </w:r>
            <w:r w:rsidR="002B3915">
              <w:rPr>
                <w:webHidden/>
              </w:rPr>
              <w:fldChar w:fldCharType="begin"/>
            </w:r>
            <w:r w:rsidR="002B3915">
              <w:rPr>
                <w:webHidden/>
              </w:rPr>
              <w:instrText xml:space="preserve"> PAGEREF _Toc502832992 \h </w:instrText>
            </w:r>
            <w:r w:rsidR="002B3915">
              <w:rPr>
                <w:webHidden/>
              </w:rPr>
            </w:r>
            <w:r w:rsidR="002B3915">
              <w:rPr>
                <w:webHidden/>
              </w:rPr>
              <w:fldChar w:fldCharType="separate"/>
            </w:r>
            <w:r>
              <w:rPr>
                <w:webHidden/>
              </w:rPr>
              <w:t>120</w:t>
            </w:r>
            <w:r w:rsidR="002B3915">
              <w:rPr>
                <w:webHidden/>
              </w:rPr>
              <w:fldChar w:fldCharType="end"/>
            </w:r>
          </w:hyperlink>
        </w:p>
        <w:p w14:paraId="62F9F19E" w14:textId="77777777" w:rsidR="002B3915" w:rsidRDefault="00AC4BE5">
          <w:pPr>
            <w:pStyle w:val="TOC3"/>
            <w:rPr>
              <w:rFonts w:asciiTheme="minorHAnsi" w:eastAsiaTheme="minorEastAsia" w:hAnsiTheme="minorHAnsi" w:cstheme="minorBidi"/>
            </w:rPr>
          </w:pPr>
          <w:hyperlink w:anchor="_Toc502832993" w:history="1">
            <w:r w:rsidR="002B3915" w:rsidRPr="00E878C3">
              <w:rPr>
                <w:rStyle w:val="Hyperlink"/>
              </w:rPr>
              <w:t>Reduced use in younger and older women</w:t>
            </w:r>
            <w:r w:rsidR="002B3915">
              <w:rPr>
                <w:webHidden/>
              </w:rPr>
              <w:tab/>
            </w:r>
            <w:r w:rsidR="002B3915">
              <w:rPr>
                <w:webHidden/>
              </w:rPr>
              <w:fldChar w:fldCharType="begin"/>
            </w:r>
            <w:r w:rsidR="002B3915">
              <w:rPr>
                <w:webHidden/>
              </w:rPr>
              <w:instrText xml:space="preserve"> PAGEREF _Toc502832993 \h </w:instrText>
            </w:r>
            <w:r w:rsidR="002B3915">
              <w:rPr>
                <w:webHidden/>
              </w:rPr>
            </w:r>
            <w:r w:rsidR="002B3915">
              <w:rPr>
                <w:webHidden/>
              </w:rPr>
              <w:fldChar w:fldCharType="separate"/>
            </w:r>
            <w:r>
              <w:rPr>
                <w:webHidden/>
              </w:rPr>
              <w:t>121</w:t>
            </w:r>
            <w:r w:rsidR="002B3915">
              <w:rPr>
                <w:webHidden/>
              </w:rPr>
              <w:fldChar w:fldCharType="end"/>
            </w:r>
          </w:hyperlink>
        </w:p>
        <w:p w14:paraId="29B719C9" w14:textId="77777777" w:rsidR="002B3915" w:rsidRDefault="00AC4BE5">
          <w:pPr>
            <w:pStyle w:val="TOC3"/>
            <w:rPr>
              <w:rFonts w:asciiTheme="minorHAnsi" w:eastAsiaTheme="minorEastAsia" w:hAnsiTheme="minorHAnsi" w:cstheme="minorBidi"/>
            </w:rPr>
          </w:pPr>
          <w:hyperlink w:anchor="_Toc502832994" w:history="1">
            <w:r w:rsidR="002B3915" w:rsidRPr="00E878C3">
              <w:rPr>
                <w:rStyle w:val="Hyperlink"/>
              </w:rPr>
              <w:t>Leakage</w:t>
            </w:r>
            <w:r w:rsidR="002B3915">
              <w:rPr>
                <w:webHidden/>
              </w:rPr>
              <w:tab/>
            </w:r>
            <w:r w:rsidR="002B3915">
              <w:rPr>
                <w:webHidden/>
              </w:rPr>
              <w:fldChar w:fldCharType="begin"/>
            </w:r>
            <w:r w:rsidR="002B3915">
              <w:rPr>
                <w:webHidden/>
              </w:rPr>
              <w:instrText xml:space="preserve"> PAGEREF _Toc502832994 \h </w:instrText>
            </w:r>
            <w:r w:rsidR="002B3915">
              <w:rPr>
                <w:webHidden/>
              </w:rPr>
            </w:r>
            <w:r w:rsidR="002B3915">
              <w:rPr>
                <w:webHidden/>
              </w:rPr>
              <w:fldChar w:fldCharType="separate"/>
            </w:r>
            <w:r>
              <w:rPr>
                <w:webHidden/>
              </w:rPr>
              <w:t>121</w:t>
            </w:r>
            <w:r w:rsidR="002B3915">
              <w:rPr>
                <w:webHidden/>
              </w:rPr>
              <w:fldChar w:fldCharType="end"/>
            </w:r>
          </w:hyperlink>
        </w:p>
        <w:p w14:paraId="7064F042" w14:textId="77777777" w:rsidR="002B3915" w:rsidRDefault="00AC4BE5">
          <w:pPr>
            <w:pStyle w:val="TOC3"/>
            <w:rPr>
              <w:rFonts w:asciiTheme="minorHAnsi" w:eastAsiaTheme="minorEastAsia" w:hAnsiTheme="minorHAnsi" w:cstheme="minorBidi"/>
            </w:rPr>
          </w:pPr>
          <w:hyperlink w:anchor="_Toc502832995" w:history="1">
            <w:r w:rsidR="002B3915" w:rsidRPr="00E878C3">
              <w:rPr>
                <w:rStyle w:val="Hyperlink"/>
              </w:rPr>
              <w:t>AMH as a replacement test</w:t>
            </w:r>
            <w:r w:rsidR="002B3915">
              <w:rPr>
                <w:webHidden/>
              </w:rPr>
              <w:tab/>
            </w:r>
            <w:r w:rsidR="002B3915">
              <w:rPr>
                <w:webHidden/>
              </w:rPr>
              <w:fldChar w:fldCharType="begin"/>
            </w:r>
            <w:r w:rsidR="002B3915">
              <w:rPr>
                <w:webHidden/>
              </w:rPr>
              <w:instrText xml:space="preserve"> PAGEREF _Toc502832995 \h </w:instrText>
            </w:r>
            <w:r w:rsidR="002B3915">
              <w:rPr>
                <w:webHidden/>
              </w:rPr>
            </w:r>
            <w:r w:rsidR="002B3915">
              <w:rPr>
                <w:webHidden/>
              </w:rPr>
              <w:fldChar w:fldCharType="separate"/>
            </w:r>
            <w:r>
              <w:rPr>
                <w:webHidden/>
              </w:rPr>
              <w:t>121</w:t>
            </w:r>
            <w:r w:rsidR="002B3915">
              <w:rPr>
                <w:webHidden/>
              </w:rPr>
              <w:fldChar w:fldCharType="end"/>
            </w:r>
          </w:hyperlink>
        </w:p>
        <w:p w14:paraId="6B6215AD" w14:textId="77777777" w:rsidR="002B3915" w:rsidRDefault="00AC4BE5">
          <w:pPr>
            <w:pStyle w:val="TOC1"/>
            <w:rPr>
              <w:rFonts w:asciiTheme="minorHAnsi" w:eastAsiaTheme="minorEastAsia" w:hAnsiTheme="minorHAnsi" w:cstheme="minorBidi"/>
              <w:b w:val="0"/>
            </w:rPr>
          </w:pPr>
          <w:hyperlink w:anchor="_Toc502832996" w:history="1">
            <w:r w:rsidR="002B3915" w:rsidRPr="00E878C3">
              <w:rPr>
                <w:rStyle w:val="Hyperlink"/>
              </w:rPr>
              <w:t>Section F</w:t>
            </w:r>
            <w:r w:rsidR="002B3915">
              <w:rPr>
                <w:rFonts w:asciiTheme="minorHAnsi" w:eastAsiaTheme="minorEastAsia" w:hAnsiTheme="minorHAnsi" w:cstheme="minorBidi"/>
                <w:b w:val="0"/>
              </w:rPr>
              <w:tab/>
            </w:r>
            <w:r w:rsidR="002B3915" w:rsidRPr="00E878C3">
              <w:rPr>
                <w:rStyle w:val="Hyperlink"/>
              </w:rPr>
              <w:t>Other relevant considerations</w:t>
            </w:r>
            <w:r w:rsidR="002B3915">
              <w:rPr>
                <w:webHidden/>
              </w:rPr>
              <w:tab/>
            </w:r>
            <w:r w:rsidR="002B3915">
              <w:rPr>
                <w:webHidden/>
              </w:rPr>
              <w:fldChar w:fldCharType="begin"/>
            </w:r>
            <w:r w:rsidR="002B3915">
              <w:rPr>
                <w:webHidden/>
              </w:rPr>
              <w:instrText xml:space="preserve"> PAGEREF _Toc502832996 \h </w:instrText>
            </w:r>
            <w:r w:rsidR="002B3915">
              <w:rPr>
                <w:webHidden/>
              </w:rPr>
            </w:r>
            <w:r w:rsidR="002B3915">
              <w:rPr>
                <w:webHidden/>
              </w:rPr>
              <w:fldChar w:fldCharType="separate"/>
            </w:r>
            <w:r>
              <w:rPr>
                <w:webHidden/>
              </w:rPr>
              <w:t>123</w:t>
            </w:r>
            <w:r w:rsidR="002B3915">
              <w:rPr>
                <w:webHidden/>
              </w:rPr>
              <w:fldChar w:fldCharType="end"/>
            </w:r>
          </w:hyperlink>
        </w:p>
        <w:p w14:paraId="2CE677DF" w14:textId="77777777" w:rsidR="002B3915" w:rsidRDefault="00AC4BE5">
          <w:pPr>
            <w:pStyle w:val="TOC1"/>
            <w:rPr>
              <w:rFonts w:asciiTheme="minorHAnsi" w:eastAsiaTheme="minorEastAsia" w:hAnsiTheme="minorHAnsi" w:cstheme="minorBidi"/>
              <w:b w:val="0"/>
            </w:rPr>
          </w:pPr>
          <w:hyperlink w:anchor="_Toc502832997" w:history="1">
            <w:r w:rsidR="002B3915" w:rsidRPr="00E878C3">
              <w:rPr>
                <w:rStyle w:val="Hyperlink"/>
              </w:rPr>
              <w:t>Appendix A</w:t>
            </w:r>
            <w:r w:rsidR="002B3915">
              <w:rPr>
                <w:rFonts w:asciiTheme="minorHAnsi" w:eastAsiaTheme="minorEastAsia" w:hAnsiTheme="minorHAnsi" w:cstheme="minorBidi"/>
                <w:b w:val="0"/>
              </w:rPr>
              <w:tab/>
            </w:r>
            <w:r w:rsidR="002B3915" w:rsidRPr="00E878C3">
              <w:rPr>
                <w:rStyle w:val="Hyperlink"/>
              </w:rPr>
              <w:t>Clinical experts and assessment group</w:t>
            </w:r>
            <w:r w:rsidR="002B3915">
              <w:rPr>
                <w:webHidden/>
              </w:rPr>
              <w:tab/>
            </w:r>
            <w:r w:rsidR="002B3915">
              <w:rPr>
                <w:webHidden/>
              </w:rPr>
              <w:fldChar w:fldCharType="begin"/>
            </w:r>
            <w:r w:rsidR="002B3915">
              <w:rPr>
                <w:webHidden/>
              </w:rPr>
              <w:instrText xml:space="preserve"> PAGEREF _Toc502832997 \h </w:instrText>
            </w:r>
            <w:r w:rsidR="002B3915">
              <w:rPr>
                <w:webHidden/>
              </w:rPr>
            </w:r>
            <w:r w:rsidR="002B3915">
              <w:rPr>
                <w:webHidden/>
              </w:rPr>
              <w:fldChar w:fldCharType="separate"/>
            </w:r>
            <w:r>
              <w:rPr>
                <w:webHidden/>
              </w:rPr>
              <w:t>124</w:t>
            </w:r>
            <w:r w:rsidR="002B3915">
              <w:rPr>
                <w:webHidden/>
              </w:rPr>
              <w:fldChar w:fldCharType="end"/>
            </w:r>
          </w:hyperlink>
        </w:p>
        <w:p w14:paraId="209180C1" w14:textId="77777777" w:rsidR="002B3915" w:rsidRDefault="00AC4BE5">
          <w:pPr>
            <w:pStyle w:val="TOC2"/>
            <w:rPr>
              <w:rFonts w:asciiTheme="minorHAnsi" w:eastAsiaTheme="minorEastAsia" w:hAnsiTheme="minorHAnsi" w:cstheme="minorBidi"/>
            </w:rPr>
          </w:pPr>
          <w:hyperlink w:anchor="_Toc502832998" w:history="1">
            <w:r w:rsidR="002B3915" w:rsidRPr="00E878C3">
              <w:rPr>
                <w:rStyle w:val="Hyperlink"/>
              </w:rPr>
              <w:t>Clinical experts</w:t>
            </w:r>
            <w:r w:rsidR="002B3915">
              <w:rPr>
                <w:webHidden/>
              </w:rPr>
              <w:tab/>
            </w:r>
            <w:r w:rsidR="002B3915">
              <w:rPr>
                <w:webHidden/>
              </w:rPr>
              <w:fldChar w:fldCharType="begin"/>
            </w:r>
            <w:r w:rsidR="002B3915">
              <w:rPr>
                <w:webHidden/>
              </w:rPr>
              <w:instrText xml:space="preserve"> PAGEREF _Toc502832998 \h </w:instrText>
            </w:r>
            <w:r w:rsidR="002B3915">
              <w:rPr>
                <w:webHidden/>
              </w:rPr>
            </w:r>
            <w:r w:rsidR="002B3915">
              <w:rPr>
                <w:webHidden/>
              </w:rPr>
              <w:fldChar w:fldCharType="separate"/>
            </w:r>
            <w:r>
              <w:rPr>
                <w:webHidden/>
              </w:rPr>
              <w:t>124</w:t>
            </w:r>
            <w:r w:rsidR="002B3915">
              <w:rPr>
                <w:webHidden/>
              </w:rPr>
              <w:fldChar w:fldCharType="end"/>
            </w:r>
          </w:hyperlink>
        </w:p>
        <w:p w14:paraId="09051E52" w14:textId="77777777" w:rsidR="002B3915" w:rsidRDefault="00AC4BE5">
          <w:pPr>
            <w:pStyle w:val="TOC2"/>
            <w:rPr>
              <w:rFonts w:asciiTheme="minorHAnsi" w:eastAsiaTheme="minorEastAsia" w:hAnsiTheme="minorHAnsi" w:cstheme="minorBidi"/>
            </w:rPr>
          </w:pPr>
          <w:hyperlink w:anchor="_Toc502832999" w:history="1">
            <w:r w:rsidR="002B3915" w:rsidRPr="00E878C3">
              <w:rPr>
                <w:rStyle w:val="Hyperlink"/>
              </w:rPr>
              <w:t>Assessment group</w:t>
            </w:r>
            <w:r w:rsidR="002B3915">
              <w:rPr>
                <w:webHidden/>
              </w:rPr>
              <w:tab/>
            </w:r>
            <w:r w:rsidR="002B3915">
              <w:rPr>
                <w:webHidden/>
              </w:rPr>
              <w:fldChar w:fldCharType="begin"/>
            </w:r>
            <w:r w:rsidR="002B3915">
              <w:rPr>
                <w:webHidden/>
              </w:rPr>
              <w:instrText xml:space="preserve"> PAGEREF _Toc502832999 \h </w:instrText>
            </w:r>
            <w:r w:rsidR="002B3915">
              <w:rPr>
                <w:webHidden/>
              </w:rPr>
            </w:r>
            <w:r w:rsidR="002B3915">
              <w:rPr>
                <w:webHidden/>
              </w:rPr>
              <w:fldChar w:fldCharType="separate"/>
            </w:r>
            <w:r>
              <w:rPr>
                <w:webHidden/>
              </w:rPr>
              <w:t>124</w:t>
            </w:r>
            <w:r w:rsidR="002B3915">
              <w:rPr>
                <w:webHidden/>
              </w:rPr>
              <w:fldChar w:fldCharType="end"/>
            </w:r>
          </w:hyperlink>
        </w:p>
        <w:p w14:paraId="2468D7BA" w14:textId="77777777" w:rsidR="002B3915" w:rsidRDefault="00AC4BE5">
          <w:pPr>
            <w:pStyle w:val="TOC1"/>
            <w:rPr>
              <w:rFonts w:asciiTheme="minorHAnsi" w:eastAsiaTheme="minorEastAsia" w:hAnsiTheme="minorHAnsi" w:cstheme="minorBidi"/>
              <w:b w:val="0"/>
            </w:rPr>
          </w:pPr>
          <w:hyperlink w:anchor="_Toc502833000" w:history="1">
            <w:r w:rsidR="002B3915" w:rsidRPr="00E878C3">
              <w:rPr>
                <w:rStyle w:val="Hyperlink"/>
              </w:rPr>
              <w:t>Appendix B</w:t>
            </w:r>
            <w:r w:rsidR="002B3915">
              <w:rPr>
                <w:rFonts w:asciiTheme="minorHAnsi" w:eastAsiaTheme="minorEastAsia" w:hAnsiTheme="minorHAnsi" w:cstheme="minorBidi"/>
                <w:b w:val="0"/>
              </w:rPr>
              <w:tab/>
            </w:r>
            <w:r w:rsidR="002B3915" w:rsidRPr="00E878C3">
              <w:rPr>
                <w:rStyle w:val="Hyperlink"/>
              </w:rPr>
              <w:t>Search strategies</w:t>
            </w:r>
            <w:r w:rsidR="002B3915">
              <w:rPr>
                <w:webHidden/>
              </w:rPr>
              <w:tab/>
            </w:r>
            <w:r w:rsidR="002B3915">
              <w:rPr>
                <w:webHidden/>
              </w:rPr>
              <w:fldChar w:fldCharType="begin"/>
            </w:r>
            <w:r w:rsidR="002B3915">
              <w:rPr>
                <w:webHidden/>
              </w:rPr>
              <w:instrText xml:space="preserve"> PAGEREF _Toc502833000 \h </w:instrText>
            </w:r>
            <w:r w:rsidR="002B3915">
              <w:rPr>
                <w:webHidden/>
              </w:rPr>
            </w:r>
            <w:r w:rsidR="002B3915">
              <w:rPr>
                <w:webHidden/>
              </w:rPr>
              <w:fldChar w:fldCharType="separate"/>
            </w:r>
            <w:r>
              <w:rPr>
                <w:webHidden/>
              </w:rPr>
              <w:t>125</w:t>
            </w:r>
            <w:r w:rsidR="002B3915">
              <w:rPr>
                <w:webHidden/>
              </w:rPr>
              <w:fldChar w:fldCharType="end"/>
            </w:r>
          </w:hyperlink>
        </w:p>
        <w:p w14:paraId="6528CD4A" w14:textId="77777777" w:rsidR="002B3915" w:rsidRDefault="00AC4BE5">
          <w:pPr>
            <w:pStyle w:val="TOC2"/>
            <w:rPr>
              <w:rFonts w:asciiTheme="minorHAnsi" w:eastAsiaTheme="minorEastAsia" w:hAnsiTheme="minorHAnsi" w:cstheme="minorBidi"/>
            </w:rPr>
          </w:pPr>
          <w:hyperlink w:anchor="_Toc502833001" w:history="1">
            <w:r w:rsidR="002B3915" w:rsidRPr="00E878C3">
              <w:rPr>
                <w:rStyle w:val="Hyperlink"/>
              </w:rPr>
              <w:t>Bibliographic databases</w:t>
            </w:r>
            <w:r w:rsidR="002B3915">
              <w:rPr>
                <w:webHidden/>
              </w:rPr>
              <w:tab/>
            </w:r>
            <w:r w:rsidR="002B3915">
              <w:rPr>
                <w:webHidden/>
              </w:rPr>
              <w:fldChar w:fldCharType="begin"/>
            </w:r>
            <w:r w:rsidR="002B3915">
              <w:rPr>
                <w:webHidden/>
              </w:rPr>
              <w:instrText xml:space="preserve"> PAGEREF _Toc502833001 \h </w:instrText>
            </w:r>
            <w:r w:rsidR="002B3915">
              <w:rPr>
                <w:webHidden/>
              </w:rPr>
            </w:r>
            <w:r w:rsidR="002B3915">
              <w:rPr>
                <w:webHidden/>
              </w:rPr>
              <w:fldChar w:fldCharType="separate"/>
            </w:r>
            <w:r>
              <w:rPr>
                <w:webHidden/>
              </w:rPr>
              <w:t>125</w:t>
            </w:r>
            <w:r w:rsidR="002B3915">
              <w:rPr>
                <w:webHidden/>
              </w:rPr>
              <w:fldChar w:fldCharType="end"/>
            </w:r>
          </w:hyperlink>
        </w:p>
        <w:p w14:paraId="69587E1A" w14:textId="77777777" w:rsidR="002B3915" w:rsidRDefault="00AC4BE5">
          <w:pPr>
            <w:pStyle w:val="TOC2"/>
            <w:rPr>
              <w:rFonts w:asciiTheme="minorHAnsi" w:eastAsiaTheme="minorEastAsia" w:hAnsiTheme="minorHAnsi" w:cstheme="minorBidi"/>
            </w:rPr>
          </w:pPr>
          <w:hyperlink w:anchor="_Toc502833002" w:history="1">
            <w:r w:rsidR="002B3915" w:rsidRPr="00E878C3">
              <w:rPr>
                <w:rStyle w:val="Hyperlink"/>
              </w:rPr>
              <w:t>Search terms</w:t>
            </w:r>
            <w:r w:rsidR="002B3915">
              <w:rPr>
                <w:webHidden/>
              </w:rPr>
              <w:tab/>
            </w:r>
            <w:r w:rsidR="002B3915">
              <w:rPr>
                <w:webHidden/>
              </w:rPr>
              <w:fldChar w:fldCharType="begin"/>
            </w:r>
            <w:r w:rsidR="002B3915">
              <w:rPr>
                <w:webHidden/>
              </w:rPr>
              <w:instrText xml:space="preserve"> PAGEREF _Toc502833002 \h </w:instrText>
            </w:r>
            <w:r w:rsidR="002B3915">
              <w:rPr>
                <w:webHidden/>
              </w:rPr>
            </w:r>
            <w:r w:rsidR="002B3915">
              <w:rPr>
                <w:webHidden/>
              </w:rPr>
              <w:fldChar w:fldCharType="separate"/>
            </w:r>
            <w:r>
              <w:rPr>
                <w:webHidden/>
              </w:rPr>
              <w:t>128</w:t>
            </w:r>
            <w:r w:rsidR="002B3915">
              <w:rPr>
                <w:webHidden/>
              </w:rPr>
              <w:fldChar w:fldCharType="end"/>
            </w:r>
          </w:hyperlink>
        </w:p>
        <w:p w14:paraId="02EA8CB5" w14:textId="77777777" w:rsidR="002B3915" w:rsidRDefault="00AC4BE5">
          <w:pPr>
            <w:pStyle w:val="TOC1"/>
            <w:rPr>
              <w:rFonts w:asciiTheme="minorHAnsi" w:eastAsiaTheme="minorEastAsia" w:hAnsiTheme="minorHAnsi" w:cstheme="minorBidi"/>
              <w:b w:val="0"/>
            </w:rPr>
          </w:pPr>
          <w:hyperlink w:anchor="_Toc502833003" w:history="1">
            <w:r w:rsidR="002B3915" w:rsidRPr="00E878C3">
              <w:rPr>
                <w:rStyle w:val="Hyperlink"/>
              </w:rPr>
              <w:t>Appendix C</w:t>
            </w:r>
            <w:r w:rsidR="002B3915">
              <w:rPr>
                <w:rFonts w:asciiTheme="minorHAnsi" w:eastAsiaTheme="minorEastAsia" w:hAnsiTheme="minorHAnsi" w:cstheme="minorBidi"/>
                <w:b w:val="0"/>
              </w:rPr>
              <w:tab/>
            </w:r>
            <w:r w:rsidR="002B3915" w:rsidRPr="00E878C3">
              <w:rPr>
                <w:rStyle w:val="Hyperlink"/>
              </w:rPr>
              <w:t>Studies included in the systematic review</w:t>
            </w:r>
            <w:r w:rsidR="002B3915">
              <w:rPr>
                <w:webHidden/>
              </w:rPr>
              <w:tab/>
            </w:r>
            <w:r w:rsidR="002B3915">
              <w:rPr>
                <w:webHidden/>
              </w:rPr>
              <w:fldChar w:fldCharType="begin"/>
            </w:r>
            <w:r w:rsidR="002B3915">
              <w:rPr>
                <w:webHidden/>
              </w:rPr>
              <w:instrText xml:space="preserve"> PAGEREF _Toc502833003 \h </w:instrText>
            </w:r>
            <w:r w:rsidR="002B3915">
              <w:rPr>
                <w:webHidden/>
              </w:rPr>
            </w:r>
            <w:r w:rsidR="002B3915">
              <w:rPr>
                <w:webHidden/>
              </w:rPr>
              <w:fldChar w:fldCharType="separate"/>
            </w:r>
            <w:r>
              <w:rPr>
                <w:webHidden/>
              </w:rPr>
              <w:t>130</w:t>
            </w:r>
            <w:r w:rsidR="002B3915">
              <w:rPr>
                <w:webHidden/>
              </w:rPr>
              <w:fldChar w:fldCharType="end"/>
            </w:r>
          </w:hyperlink>
        </w:p>
        <w:p w14:paraId="7B24A663" w14:textId="77777777" w:rsidR="002B3915" w:rsidRDefault="00AC4BE5">
          <w:pPr>
            <w:pStyle w:val="TOC1"/>
            <w:rPr>
              <w:rFonts w:asciiTheme="minorHAnsi" w:eastAsiaTheme="minorEastAsia" w:hAnsiTheme="minorHAnsi" w:cstheme="minorBidi"/>
              <w:b w:val="0"/>
            </w:rPr>
          </w:pPr>
          <w:hyperlink w:anchor="_Toc502833004" w:history="1">
            <w:r w:rsidR="002B3915" w:rsidRPr="00E878C3">
              <w:rPr>
                <w:rStyle w:val="Hyperlink"/>
              </w:rPr>
              <w:t>Appendix D</w:t>
            </w:r>
            <w:r w:rsidR="002B3915">
              <w:rPr>
                <w:rFonts w:asciiTheme="minorHAnsi" w:eastAsiaTheme="minorEastAsia" w:hAnsiTheme="minorHAnsi" w:cstheme="minorBidi"/>
                <w:b w:val="0"/>
              </w:rPr>
              <w:tab/>
            </w:r>
            <w:r w:rsidR="002B3915" w:rsidRPr="00E878C3">
              <w:rPr>
                <w:rStyle w:val="Hyperlink"/>
              </w:rPr>
              <w:t>Evidence profile tables</w:t>
            </w:r>
            <w:r w:rsidR="002B3915">
              <w:rPr>
                <w:webHidden/>
              </w:rPr>
              <w:tab/>
            </w:r>
            <w:r w:rsidR="002B3915">
              <w:rPr>
                <w:webHidden/>
              </w:rPr>
              <w:fldChar w:fldCharType="begin"/>
            </w:r>
            <w:r w:rsidR="002B3915">
              <w:rPr>
                <w:webHidden/>
              </w:rPr>
              <w:instrText xml:space="preserve"> PAGEREF _Toc502833004 \h </w:instrText>
            </w:r>
            <w:r w:rsidR="002B3915">
              <w:rPr>
                <w:webHidden/>
              </w:rPr>
            </w:r>
            <w:r w:rsidR="002B3915">
              <w:rPr>
                <w:webHidden/>
              </w:rPr>
              <w:fldChar w:fldCharType="separate"/>
            </w:r>
            <w:r>
              <w:rPr>
                <w:webHidden/>
              </w:rPr>
              <w:t>152</w:t>
            </w:r>
            <w:r w:rsidR="002B3915">
              <w:rPr>
                <w:webHidden/>
              </w:rPr>
              <w:fldChar w:fldCharType="end"/>
            </w:r>
          </w:hyperlink>
        </w:p>
        <w:p w14:paraId="48100B5E" w14:textId="77777777" w:rsidR="002B3915" w:rsidRDefault="00AC4BE5">
          <w:pPr>
            <w:pStyle w:val="TOC1"/>
            <w:rPr>
              <w:rFonts w:asciiTheme="minorHAnsi" w:eastAsiaTheme="minorEastAsia" w:hAnsiTheme="minorHAnsi" w:cstheme="minorBidi"/>
              <w:b w:val="0"/>
            </w:rPr>
          </w:pPr>
          <w:hyperlink w:anchor="_Toc502833005" w:history="1">
            <w:r w:rsidR="002B3915" w:rsidRPr="00E878C3">
              <w:rPr>
                <w:rStyle w:val="Hyperlink"/>
              </w:rPr>
              <w:t>Appendix E</w:t>
            </w:r>
            <w:r w:rsidR="002B3915">
              <w:rPr>
                <w:rFonts w:asciiTheme="minorHAnsi" w:eastAsiaTheme="minorEastAsia" w:hAnsiTheme="minorHAnsi" w:cstheme="minorBidi"/>
                <w:b w:val="0"/>
              </w:rPr>
              <w:tab/>
            </w:r>
            <w:r w:rsidR="002B3915" w:rsidRPr="00E878C3">
              <w:rPr>
                <w:rStyle w:val="Hyperlink"/>
              </w:rPr>
              <w:t>Excluded studies</w:t>
            </w:r>
            <w:r w:rsidR="002B3915">
              <w:rPr>
                <w:webHidden/>
              </w:rPr>
              <w:tab/>
            </w:r>
            <w:r w:rsidR="002B3915">
              <w:rPr>
                <w:webHidden/>
              </w:rPr>
              <w:fldChar w:fldCharType="begin"/>
            </w:r>
            <w:r w:rsidR="002B3915">
              <w:rPr>
                <w:webHidden/>
              </w:rPr>
              <w:instrText xml:space="preserve"> PAGEREF _Toc502833005 \h </w:instrText>
            </w:r>
            <w:r w:rsidR="002B3915">
              <w:rPr>
                <w:webHidden/>
              </w:rPr>
            </w:r>
            <w:r w:rsidR="002B3915">
              <w:rPr>
                <w:webHidden/>
              </w:rPr>
              <w:fldChar w:fldCharType="separate"/>
            </w:r>
            <w:r>
              <w:rPr>
                <w:webHidden/>
              </w:rPr>
              <w:t>159</w:t>
            </w:r>
            <w:r w:rsidR="002B3915">
              <w:rPr>
                <w:webHidden/>
              </w:rPr>
              <w:fldChar w:fldCharType="end"/>
            </w:r>
          </w:hyperlink>
        </w:p>
        <w:p w14:paraId="2A90F92E" w14:textId="77777777" w:rsidR="002B3915" w:rsidRDefault="00AC4BE5">
          <w:pPr>
            <w:pStyle w:val="TOC2"/>
            <w:rPr>
              <w:rFonts w:asciiTheme="minorHAnsi" w:eastAsiaTheme="minorEastAsia" w:hAnsiTheme="minorHAnsi" w:cstheme="minorBidi"/>
            </w:rPr>
          </w:pPr>
          <w:hyperlink w:anchor="_Toc502833006" w:history="1">
            <w:r w:rsidR="002B3915" w:rsidRPr="00E878C3">
              <w:rPr>
                <w:rStyle w:val="Hyperlink"/>
              </w:rPr>
              <w:t>Full text could not be retrieved</w:t>
            </w:r>
            <w:r w:rsidR="002B3915">
              <w:rPr>
                <w:webHidden/>
              </w:rPr>
              <w:tab/>
            </w:r>
            <w:r w:rsidR="002B3915">
              <w:rPr>
                <w:webHidden/>
              </w:rPr>
              <w:fldChar w:fldCharType="begin"/>
            </w:r>
            <w:r w:rsidR="002B3915">
              <w:rPr>
                <w:webHidden/>
              </w:rPr>
              <w:instrText xml:space="preserve"> PAGEREF _Toc502833006 \h </w:instrText>
            </w:r>
            <w:r w:rsidR="002B3915">
              <w:rPr>
                <w:webHidden/>
              </w:rPr>
            </w:r>
            <w:r w:rsidR="002B3915">
              <w:rPr>
                <w:webHidden/>
              </w:rPr>
              <w:fldChar w:fldCharType="separate"/>
            </w:r>
            <w:r>
              <w:rPr>
                <w:webHidden/>
              </w:rPr>
              <w:t>159</w:t>
            </w:r>
            <w:r w:rsidR="002B3915">
              <w:rPr>
                <w:webHidden/>
              </w:rPr>
              <w:fldChar w:fldCharType="end"/>
            </w:r>
          </w:hyperlink>
        </w:p>
        <w:p w14:paraId="16B41FFF" w14:textId="77777777" w:rsidR="002B3915" w:rsidRDefault="00AC4BE5">
          <w:pPr>
            <w:pStyle w:val="TOC3"/>
            <w:rPr>
              <w:rFonts w:asciiTheme="minorHAnsi" w:eastAsiaTheme="minorEastAsia" w:hAnsiTheme="minorHAnsi" w:cstheme="minorBidi"/>
            </w:rPr>
          </w:pPr>
          <w:hyperlink w:anchor="_Toc502833007" w:history="1">
            <w:r w:rsidR="002B3915" w:rsidRPr="00E878C3">
              <w:rPr>
                <w:rStyle w:val="Hyperlink"/>
              </w:rPr>
              <w:t>No extractable data for analytical validity section or only predictive/prognostic data</w:t>
            </w:r>
            <w:r w:rsidR="002B3915">
              <w:rPr>
                <w:webHidden/>
              </w:rPr>
              <w:tab/>
            </w:r>
            <w:r w:rsidR="002B3915">
              <w:rPr>
                <w:webHidden/>
              </w:rPr>
              <w:fldChar w:fldCharType="begin"/>
            </w:r>
            <w:r w:rsidR="002B3915">
              <w:rPr>
                <w:webHidden/>
              </w:rPr>
              <w:instrText xml:space="preserve"> PAGEREF _Toc502833007 \h </w:instrText>
            </w:r>
            <w:r w:rsidR="002B3915">
              <w:rPr>
                <w:webHidden/>
              </w:rPr>
            </w:r>
            <w:r w:rsidR="002B3915">
              <w:rPr>
                <w:webHidden/>
              </w:rPr>
              <w:fldChar w:fldCharType="separate"/>
            </w:r>
            <w:r>
              <w:rPr>
                <w:webHidden/>
              </w:rPr>
              <w:t>159</w:t>
            </w:r>
            <w:r w:rsidR="002B3915">
              <w:rPr>
                <w:webHidden/>
              </w:rPr>
              <w:fldChar w:fldCharType="end"/>
            </w:r>
          </w:hyperlink>
        </w:p>
        <w:p w14:paraId="173C3BA7" w14:textId="77777777" w:rsidR="002B3915" w:rsidRDefault="00AC4BE5">
          <w:pPr>
            <w:pStyle w:val="TOC3"/>
            <w:rPr>
              <w:rFonts w:asciiTheme="minorHAnsi" w:eastAsiaTheme="minorEastAsia" w:hAnsiTheme="minorHAnsi" w:cstheme="minorBidi"/>
            </w:rPr>
          </w:pPr>
          <w:hyperlink w:anchor="_Toc502833008" w:history="1">
            <w:r w:rsidR="002B3915" w:rsidRPr="00E878C3">
              <w:rPr>
                <w:rStyle w:val="Hyperlink"/>
              </w:rPr>
              <w:t>Incorrect population</w:t>
            </w:r>
            <w:r w:rsidR="002B3915">
              <w:rPr>
                <w:webHidden/>
              </w:rPr>
              <w:tab/>
            </w:r>
            <w:r w:rsidR="002B3915">
              <w:rPr>
                <w:webHidden/>
              </w:rPr>
              <w:fldChar w:fldCharType="begin"/>
            </w:r>
            <w:r w:rsidR="002B3915">
              <w:rPr>
                <w:webHidden/>
              </w:rPr>
              <w:instrText xml:space="preserve"> PAGEREF _Toc502833008 \h </w:instrText>
            </w:r>
            <w:r w:rsidR="002B3915">
              <w:rPr>
                <w:webHidden/>
              </w:rPr>
            </w:r>
            <w:r w:rsidR="002B3915">
              <w:rPr>
                <w:webHidden/>
              </w:rPr>
              <w:fldChar w:fldCharType="separate"/>
            </w:r>
            <w:r>
              <w:rPr>
                <w:webHidden/>
              </w:rPr>
              <w:t>159</w:t>
            </w:r>
            <w:r w:rsidR="002B3915">
              <w:rPr>
                <w:webHidden/>
              </w:rPr>
              <w:fldChar w:fldCharType="end"/>
            </w:r>
          </w:hyperlink>
        </w:p>
        <w:p w14:paraId="7CC92A1D" w14:textId="77777777" w:rsidR="002B3915" w:rsidRDefault="00AC4BE5">
          <w:pPr>
            <w:pStyle w:val="TOC3"/>
            <w:rPr>
              <w:rFonts w:asciiTheme="minorHAnsi" w:eastAsiaTheme="minorEastAsia" w:hAnsiTheme="minorHAnsi" w:cstheme="minorBidi"/>
            </w:rPr>
          </w:pPr>
          <w:hyperlink w:anchor="_Toc502833009" w:history="1">
            <w:r w:rsidR="002B3915" w:rsidRPr="00E878C3">
              <w:rPr>
                <w:rStyle w:val="Hyperlink"/>
              </w:rPr>
              <w:t>Incorrect intervention</w:t>
            </w:r>
            <w:r w:rsidR="002B3915">
              <w:rPr>
                <w:webHidden/>
              </w:rPr>
              <w:tab/>
            </w:r>
            <w:r w:rsidR="002B3915">
              <w:rPr>
                <w:webHidden/>
              </w:rPr>
              <w:fldChar w:fldCharType="begin"/>
            </w:r>
            <w:r w:rsidR="002B3915">
              <w:rPr>
                <w:webHidden/>
              </w:rPr>
              <w:instrText xml:space="preserve"> PAGEREF _Toc502833009 \h </w:instrText>
            </w:r>
            <w:r w:rsidR="002B3915">
              <w:rPr>
                <w:webHidden/>
              </w:rPr>
            </w:r>
            <w:r w:rsidR="002B3915">
              <w:rPr>
                <w:webHidden/>
              </w:rPr>
              <w:fldChar w:fldCharType="separate"/>
            </w:r>
            <w:r>
              <w:rPr>
                <w:webHidden/>
              </w:rPr>
              <w:t>159</w:t>
            </w:r>
            <w:r w:rsidR="002B3915">
              <w:rPr>
                <w:webHidden/>
              </w:rPr>
              <w:fldChar w:fldCharType="end"/>
            </w:r>
          </w:hyperlink>
        </w:p>
        <w:p w14:paraId="4C61A06E" w14:textId="77777777" w:rsidR="002B3915" w:rsidRDefault="00AC4BE5">
          <w:pPr>
            <w:pStyle w:val="TOC3"/>
            <w:rPr>
              <w:rFonts w:asciiTheme="minorHAnsi" w:eastAsiaTheme="minorEastAsia" w:hAnsiTheme="minorHAnsi" w:cstheme="minorBidi"/>
            </w:rPr>
          </w:pPr>
          <w:hyperlink w:anchor="_Toc502833010" w:history="1">
            <w:r w:rsidR="002B3915" w:rsidRPr="00E878C3">
              <w:rPr>
                <w:rStyle w:val="Hyperlink"/>
              </w:rPr>
              <w:t>No comparator</w:t>
            </w:r>
            <w:r w:rsidR="002B3915">
              <w:rPr>
                <w:webHidden/>
              </w:rPr>
              <w:tab/>
            </w:r>
            <w:r w:rsidR="002B3915">
              <w:rPr>
                <w:webHidden/>
              </w:rPr>
              <w:fldChar w:fldCharType="begin"/>
            </w:r>
            <w:r w:rsidR="002B3915">
              <w:rPr>
                <w:webHidden/>
              </w:rPr>
              <w:instrText xml:space="preserve"> PAGEREF _Toc502833010 \h </w:instrText>
            </w:r>
            <w:r w:rsidR="002B3915">
              <w:rPr>
                <w:webHidden/>
              </w:rPr>
            </w:r>
            <w:r w:rsidR="002B3915">
              <w:rPr>
                <w:webHidden/>
              </w:rPr>
              <w:fldChar w:fldCharType="separate"/>
            </w:r>
            <w:r>
              <w:rPr>
                <w:webHidden/>
              </w:rPr>
              <w:t>160</w:t>
            </w:r>
            <w:r w:rsidR="002B3915">
              <w:rPr>
                <w:webHidden/>
              </w:rPr>
              <w:fldChar w:fldCharType="end"/>
            </w:r>
          </w:hyperlink>
        </w:p>
        <w:p w14:paraId="58548C94" w14:textId="77777777" w:rsidR="002B3915" w:rsidRDefault="00AC4BE5">
          <w:pPr>
            <w:pStyle w:val="TOC3"/>
            <w:rPr>
              <w:rFonts w:asciiTheme="minorHAnsi" w:eastAsiaTheme="minorEastAsia" w:hAnsiTheme="minorHAnsi" w:cstheme="minorBidi"/>
            </w:rPr>
          </w:pPr>
          <w:hyperlink w:anchor="_Toc502833011" w:history="1">
            <w:r w:rsidR="002B3915" w:rsidRPr="00E878C3">
              <w:rPr>
                <w:rStyle w:val="Hyperlink"/>
              </w:rPr>
              <w:t>Incorrect outcomes</w:t>
            </w:r>
            <w:r w:rsidR="002B3915">
              <w:rPr>
                <w:webHidden/>
              </w:rPr>
              <w:tab/>
            </w:r>
            <w:r w:rsidR="002B3915">
              <w:rPr>
                <w:webHidden/>
              </w:rPr>
              <w:fldChar w:fldCharType="begin"/>
            </w:r>
            <w:r w:rsidR="002B3915">
              <w:rPr>
                <w:webHidden/>
              </w:rPr>
              <w:instrText xml:space="preserve"> PAGEREF _Toc502833011 \h </w:instrText>
            </w:r>
            <w:r w:rsidR="002B3915">
              <w:rPr>
                <w:webHidden/>
              </w:rPr>
            </w:r>
            <w:r w:rsidR="002B3915">
              <w:rPr>
                <w:webHidden/>
              </w:rPr>
              <w:fldChar w:fldCharType="separate"/>
            </w:r>
            <w:r>
              <w:rPr>
                <w:webHidden/>
              </w:rPr>
              <w:t>160</w:t>
            </w:r>
            <w:r w:rsidR="002B3915">
              <w:rPr>
                <w:webHidden/>
              </w:rPr>
              <w:fldChar w:fldCharType="end"/>
            </w:r>
          </w:hyperlink>
        </w:p>
        <w:p w14:paraId="3EA1E3D4" w14:textId="77777777" w:rsidR="002B3915" w:rsidRDefault="00AC4BE5">
          <w:pPr>
            <w:pStyle w:val="TOC2"/>
            <w:rPr>
              <w:rFonts w:asciiTheme="minorHAnsi" w:eastAsiaTheme="minorEastAsia" w:hAnsiTheme="minorHAnsi" w:cstheme="minorBidi"/>
            </w:rPr>
          </w:pPr>
          <w:hyperlink w:anchor="_Toc502833012" w:history="1">
            <w:r w:rsidR="002B3915" w:rsidRPr="00E878C3">
              <w:rPr>
                <w:rStyle w:val="Hyperlink"/>
              </w:rPr>
              <w:t>Excluded from predictive/prognostic section</w:t>
            </w:r>
            <w:r w:rsidR="002B3915">
              <w:rPr>
                <w:webHidden/>
              </w:rPr>
              <w:tab/>
            </w:r>
            <w:r w:rsidR="002B3915">
              <w:rPr>
                <w:webHidden/>
              </w:rPr>
              <w:fldChar w:fldCharType="begin"/>
            </w:r>
            <w:r w:rsidR="002B3915">
              <w:rPr>
                <w:webHidden/>
              </w:rPr>
              <w:instrText xml:space="preserve"> PAGEREF _Toc502833012 \h </w:instrText>
            </w:r>
            <w:r w:rsidR="002B3915">
              <w:rPr>
                <w:webHidden/>
              </w:rPr>
            </w:r>
            <w:r w:rsidR="002B3915">
              <w:rPr>
                <w:webHidden/>
              </w:rPr>
              <w:fldChar w:fldCharType="separate"/>
            </w:r>
            <w:r>
              <w:rPr>
                <w:webHidden/>
              </w:rPr>
              <w:t>160</w:t>
            </w:r>
            <w:r w:rsidR="002B3915">
              <w:rPr>
                <w:webHidden/>
              </w:rPr>
              <w:fldChar w:fldCharType="end"/>
            </w:r>
          </w:hyperlink>
        </w:p>
        <w:p w14:paraId="63AE2297" w14:textId="77777777" w:rsidR="002B3915" w:rsidRDefault="00AC4BE5">
          <w:pPr>
            <w:pStyle w:val="TOC3"/>
            <w:rPr>
              <w:rFonts w:asciiTheme="minorHAnsi" w:eastAsiaTheme="minorEastAsia" w:hAnsiTheme="minorHAnsi" w:cstheme="minorBidi"/>
            </w:rPr>
          </w:pPr>
          <w:hyperlink w:anchor="_Toc502833013" w:history="1">
            <w:r w:rsidR="002B3915" w:rsidRPr="00E878C3">
              <w:rPr>
                <w:rStyle w:val="Hyperlink"/>
              </w:rPr>
              <w:t>Not predictive/prognostic</w:t>
            </w:r>
            <w:r w:rsidR="002B3915">
              <w:rPr>
                <w:webHidden/>
              </w:rPr>
              <w:tab/>
            </w:r>
            <w:r w:rsidR="002B3915">
              <w:rPr>
                <w:webHidden/>
              </w:rPr>
              <w:fldChar w:fldCharType="begin"/>
            </w:r>
            <w:r w:rsidR="002B3915">
              <w:rPr>
                <w:webHidden/>
              </w:rPr>
              <w:instrText xml:space="preserve"> PAGEREF _Toc502833013 \h </w:instrText>
            </w:r>
            <w:r w:rsidR="002B3915">
              <w:rPr>
                <w:webHidden/>
              </w:rPr>
            </w:r>
            <w:r w:rsidR="002B3915">
              <w:rPr>
                <w:webHidden/>
              </w:rPr>
              <w:fldChar w:fldCharType="separate"/>
            </w:r>
            <w:r>
              <w:rPr>
                <w:webHidden/>
              </w:rPr>
              <w:t>160</w:t>
            </w:r>
            <w:r w:rsidR="002B3915">
              <w:rPr>
                <w:webHidden/>
              </w:rPr>
              <w:fldChar w:fldCharType="end"/>
            </w:r>
          </w:hyperlink>
        </w:p>
        <w:p w14:paraId="2A71EE3F" w14:textId="77777777" w:rsidR="002B3915" w:rsidRDefault="00AC4BE5">
          <w:pPr>
            <w:pStyle w:val="TOC3"/>
            <w:rPr>
              <w:rFonts w:asciiTheme="minorHAnsi" w:eastAsiaTheme="minorEastAsia" w:hAnsiTheme="minorHAnsi" w:cstheme="minorBidi"/>
            </w:rPr>
          </w:pPr>
          <w:hyperlink w:anchor="_Toc502833014" w:history="1">
            <w:r w:rsidR="002B3915" w:rsidRPr="00E878C3">
              <w:rPr>
                <w:rStyle w:val="Hyperlink"/>
              </w:rPr>
              <w:t>Data not extractable</w:t>
            </w:r>
            <w:r w:rsidR="002B3915">
              <w:rPr>
                <w:webHidden/>
              </w:rPr>
              <w:tab/>
            </w:r>
            <w:r w:rsidR="002B3915">
              <w:rPr>
                <w:webHidden/>
              </w:rPr>
              <w:fldChar w:fldCharType="begin"/>
            </w:r>
            <w:r w:rsidR="002B3915">
              <w:rPr>
                <w:webHidden/>
              </w:rPr>
              <w:instrText xml:space="preserve"> PAGEREF _Toc502833014 \h </w:instrText>
            </w:r>
            <w:r w:rsidR="002B3915">
              <w:rPr>
                <w:webHidden/>
              </w:rPr>
            </w:r>
            <w:r w:rsidR="002B3915">
              <w:rPr>
                <w:webHidden/>
              </w:rPr>
              <w:fldChar w:fldCharType="separate"/>
            </w:r>
            <w:r>
              <w:rPr>
                <w:webHidden/>
              </w:rPr>
              <w:t>161</w:t>
            </w:r>
            <w:r w:rsidR="002B3915">
              <w:rPr>
                <w:webHidden/>
              </w:rPr>
              <w:fldChar w:fldCharType="end"/>
            </w:r>
          </w:hyperlink>
        </w:p>
        <w:p w14:paraId="6FCDB63C" w14:textId="77777777" w:rsidR="002B3915" w:rsidRDefault="00AC4BE5">
          <w:pPr>
            <w:pStyle w:val="TOC3"/>
            <w:rPr>
              <w:rFonts w:asciiTheme="minorHAnsi" w:eastAsiaTheme="minorEastAsia" w:hAnsiTheme="minorHAnsi" w:cstheme="minorBidi"/>
            </w:rPr>
          </w:pPr>
          <w:hyperlink w:anchor="_Toc502833015" w:history="1">
            <w:r w:rsidR="002B3915" w:rsidRPr="00E878C3">
              <w:rPr>
                <w:rStyle w:val="Hyperlink"/>
                <w:rFonts w:eastAsia="Calibri"/>
              </w:rPr>
              <w:t>Incorrect population or study population too small (n&lt;10)</w:t>
            </w:r>
            <w:r w:rsidR="002B3915">
              <w:rPr>
                <w:webHidden/>
              </w:rPr>
              <w:tab/>
            </w:r>
            <w:r w:rsidR="002B3915">
              <w:rPr>
                <w:webHidden/>
              </w:rPr>
              <w:fldChar w:fldCharType="begin"/>
            </w:r>
            <w:r w:rsidR="002B3915">
              <w:rPr>
                <w:webHidden/>
              </w:rPr>
              <w:instrText xml:space="preserve"> PAGEREF _Toc502833015 \h </w:instrText>
            </w:r>
            <w:r w:rsidR="002B3915">
              <w:rPr>
                <w:webHidden/>
              </w:rPr>
            </w:r>
            <w:r w:rsidR="002B3915">
              <w:rPr>
                <w:webHidden/>
              </w:rPr>
              <w:fldChar w:fldCharType="separate"/>
            </w:r>
            <w:r>
              <w:rPr>
                <w:webHidden/>
              </w:rPr>
              <w:t>162</w:t>
            </w:r>
            <w:r w:rsidR="002B3915">
              <w:rPr>
                <w:webHidden/>
              </w:rPr>
              <w:fldChar w:fldCharType="end"/>
            </w:r>
          </w:hyperlink>
        </w:p>
        <w:p w14:paraId="41D50359" w14:textId="77777777" w:rsidR="002B3915" w:rsidRDefault="00AC4BE5">
          <w:pPr>
            <w:pStyle w:val="TOC1"/>
            <w:rPr>
              <w:rFonts w:asciiTheme="minorHAnsi" w:eastAsiaTheme="minorEastAsia" w:hAnsiTheme="minorHAnsi" w:cstheme="minorBidi"/>
              <w:b w:val="0"/>
            </w:rPr>
          </w:pPr>
          <w:hyperlink w:anchor="_Toc502833016" w:history="1">
            <w:r w:rsidR="002B3915" w:rsidRPr="00E878C3">
              <w:rPr>
                <w:rStyle w:val="Hyperlink"/>
              </w:rPr>
              <w:t>Appendix F</w:t>
            </w:r>
            <w:r w:rsidR="002B3915">
              <w:rPr>
                <w:rFonts w:asciiTheme="minorHAnsi" w:eastAsiaTheme="minorEastAsia" w:hAnsiTheme="minorHAnsi" w:cstheme="minorBidi"/>
                <w:b w:val="0"/>
              </w:rPr>
              <w:tab/>
            </w:r>
            <w:r w:rsidR="002B3915" w:rsidRPr="00E878C3">
              <w:rPr>
                <w:rStyle w:val="Hyperlink"/>
              </w:rPr>
              <w:t>Quality appraisal of prognostic evidence</w:t>
            </w:r>
            <w:r w:rsidR="002B3915">
              <w:rPr>
                <w:webHidden/>
              </w:rPr>
              <w:tab/>
            </w:r>
            <w:r w:rsidR="002B3915">
              <w:rPr>
                <w:webHidden/>
              </w:rPr>
              <w:fldChar w:fldCharType="begin"/>
            </w:r>
            <w:r w:rsidR="002B3915">
              <w:rPr>
                <w:webHidden/>
              </w:rPr>
              <w:instrText xml:space="preserve"> PAGEREF _Toc502833016 \h </w:instrText>
            </w:r>
            <w:r w:rsidR="002B3915">
              <w:rPr>
                <w:webHidden/>
              </w:rPr>
            </w:r>
            <w:r w:rsidR="002B3915">
              <w:rPr>
                <w:webHidden/>
              </w:rPr>
              <w:fldChar w:fldCharType="separate"/>
            </w:r>
            <w:r>
              <w:rPr>
                <w:webHidden/>
              </w:rPr>
              <w:t>163</w:t>
            </w:r>
            <w:r w:rsidR="002B3915">
              <w:rPr>
                <w:webHidden/>
              </w:rPr>
              <w:fldChar w:fldCharType="end"/>
            </w:r>
          </w:hyperlink>
        </w:p>
        <w:p w14:paraId="23EE485F" w14:textId="77777777" w:rsidR="002B3915" w:rsidRDefault="00AC4BE5">
          <w:pPr>
            <w:pStyle w:val="TOC1"/>
            <w:rPr>
              <w:rFonts w:asciiTheme="minorHAnsi" w:eastAsiaTheme="minorEastAsia" w:hAnsiTheme="minorHAnsi" w:cstheme="minorBidi"/>
              <w:b w:val="0"/>
            </w:rPr>
          </w:pPr>
          <w:hyperlink w:anchor="_Toc502833017" w:history="1">
            <w:r w:rsidR="002B3915" w:rsidRPr="00E878C3">
              <w:rPr>
                <w:rStyle w:val="Hyperlink"/>
              </w:rPr>
              <w:t>Appendix G</w:t>
            </w:r>
            <w:r w:rsidR="002B3915">
              <w:rPr>
                <w:rFonts w:asciiTheme="minorHAnsi" w:eastAsiaTheme="minorEastAsia" w:hAnsiTheme="minorHAnsi" w:cstheme="minorBidi"/>
                <w:b w:val="0"/>
              </w:rPr>
              <w:tab/>
            </w:r>
            <w:r w:rsidR="002B3915" w:rsidRPr="00E878C3">
              <w:rPr>
                <w:rStyle w:val="Hyperlink"/>
              </w:rPr>
              <w:t>Correlation data</w:t>
            </w:r>
            <w:r w:rsidR="002B3915">
              <w:rPr>
                <w:webHidden/>
              </w:rPr>
              <w:tab/>
            </w:r>
            <w:r w:rsidR="002B3915">
              <w:rPr>
                <w:webHidden/>
              </w:rPr>
              <w:fldChar w:fldCharType="begin"/>
            </w:r>
            <w:r w:rsidR="002B3915">
              <w:rPr>
                <w:webHidden/>
              </w:rPr>
              <w:instrText xml:space="preserve"> PAGEREF _Toc502833017 \h </w:instrText>
            </w:r>
            <w:r w:rsidR="002B3915">
              <w:rPr>
                <w:webHidden/>
              </w:rPr>
            </w:r>
            <w:r w:rsidR="002B3915">
              <w:rPr>
                <w:webHidden/>
              </w:rPr>
              <w:fldChar w:fldCharType="separate"/>
            </w:r>
            <w:r>
              <w:rPr>
                <w:webHidden/>
              </w:rPr>
              <w:t>164</w:t>
            </w:r>
            <w:r w:rsidR="002B3915">
              <w:rPr>
                <w:webHidden/>
              </w:rPr>
              <w:fldChar w:fldCharType="end"/>
            </w:r>
          </w:hyperlink>
        </w:p>
        <w:p w14:paraId="075B3297" w14:textId="04D0A980" w:rsidR="002B3915" w:rsidRDefault="00AC4BE5">
          <w:pPr>
            <w:pStyle w:val="TOC1"/>
            <w:rPr>
              <w:rFonts w:asciiTheme="minorHAnsi" w:eastAsiaTheme="minorEastAsia" w:hAnsiTheme="minorHAnsi" w:cstheme="minorBidi"/>
              <w:b w:val="0"/>
            </w:rPr>
          </w:pPr>
          <w:hyperlink w:anchor="_Toc502833018" w:history="1">
            <w:r w:rsidR="002B3915" w:rsidRPr="00E878C3">
              <w:rPr>
                <w:rStyle w:val="Hyperlink"/>
              </w:rPr>
              <w:t>References</w:t>
            </w:r>
            <w:r w:rsidR="002B3915">
              <w:rPr>
                <w:webHidden/>
              </w:rPr>
              <w:tab/>
            </w:r>
            <w:r w:rsidR="00E54A6E">
              <w:rPr>
                <w:webHidden/>
              </w:rPr>
              <w:tab/>
            </w:r>
            <w:r w:rsidR="002B3915">
              <w:rPr>
                <w:webHidden/>
              </w:rPr>
              <w:fldChar w:fldCharType="begin"/>
            </w:r>
            <w:r w:rsidR="002B3915">
              <w:rPr>
                <w:webHidden/>
              </w:rPr>
              <w:instrText xml:space="preserve"> PAGEREF _Toc502833018 \h </w:instrText>
            </w:r>
            <w:r w:rsidR="002B3915">
              <w:rPr>
                <w:webHidden/>
              </w:rPr>
            </w:r>
            <w:r w:rsidR="002B3915">
              <w:rPr>
                <w:webHidden/>
              </w:rPr>
              <w:fldChar w:fldCharType="separate"/>
            </w:r>
            <w:r>
              <w:rPr>
                <w:webHidden/>
              </w:rPr>
              <w:t>168</w:t>
            </w:r>
            <w:r w:rsidR="002B3915">
              <w:rPr>
                <w:webHidden/>
              </w:rPr>
              <w:fldChar w:fldCharType="end"/>
            </w:r>
          </w:hyperlink>
        </w:p>
        <w:p w14:paraId="00FA2DEE" w14:textId="77777777" w:rsidR="00F81651" w:rsidRDefault="00F81651">
          <w:r>
            <w:rPr>
              <w:b/>
              <w:bCs/>
              <w:noProof/>
            </w:rPr>
            <w:fldChar w:fldCharType="end"/>
          </w:r>
        </w:p>
      </w:sdtContent>
    </w:sdt>
    <w:p w14:paraId="18C0AED9" w14:textId="77777777" w:rsidR="008F59A8" w:rsidRPr="00183E4D" w:rsidRDefault="008F59A8" w:rsidP="00DF343F">
      <w:pPr>
        <w:pStyle w:val="Heading2"/>
        <w:jc w:val="both"/>
      </w:pPr>
      <w:r w:rsidRPr="00183E4D">
        <w:br w:type="page"/>
      </w:r>
      <w:bookmarkStart w:id="17" w:name="_Toc381796425"/>
      <w:bookmarkStart w:id="18" w:name="_Toc395200736"/>
      <w:bookmarkStart w:id="19" w:name="_Toc399247191"/>
      <w:bookmarkStart w:id="20" w:name="_Toc502832872"/>
      <w:r w:rsidRPr="00183E4D">
        <w:lastRenderedPageBreak/>
        <w:t>Tables</w:t>
      </w:r>
      <w:bookmarkEnd w:id="17"/>
      <w:bookmarkEnd w:id="18"/>
      <w:bookmarkEnd w:id="19"/>
      <w:bookmarkEnd w:id="20"/>
    </w:p>
    <w:bookmarkStart w:id="21" w:name="_Toc381796426"/>
    <w:bookmarkStart w:id="22" w:name="_Toc395200737"/>
    <w:p w14:paraId="290592E2" w14:textId="77777777" w:rsidR="002B3915" w:rsidRDefault="00503C5B">
      <w:pPr>
        <w:pStyle w:val="TableofFigures"/>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502833019" w:history="1">
        <w:r w:rsidR="002B3915" w:rsidRPr="000B2F83">
          <w:rPr>
            <w:rStyle w:val="Hyperlink"/>
          </w:rPr>
          <w:t>Table 1</w:t>
        </w:r>
        <w:r w:rsidR="002B3915">
          <w:rPr>
            <w:rFonts w:asciiTheme="minorHAnsi" w:eastAsiaTheme="minorEastAsia" w:hAnsiTheme="minorHAnsi" w:cstheme="minorBidi"/>
          </w:rPr>
          <w:tab/>
        </w:r>
        <w:r w:rsidR="002B3915" w:rsidRPr="000B2F83">
          <w:rPr>
            <w:rStyle w:val="Hyperlink"/>
          </w:rPr>
          <w:t>Proposed MBS item descriptor</w:t>
        </w:r>
        <w:r w:rsidR="002B3915">
          <w:rPr>
            <w:webHidden/>
          </w:rPr>
          <w:tab/>
        </w:r>
        <w:r w:rsidR="002B3915">
          <w:rPr>
            <w:webHidden/>
          </w:rPr>
          <w:fldChar w:fldCharType="begin"/>
        </w:r>
        <w:r w:rsidR="002B3915">
          <w:rPr>
            <w:webHidden/>
          </w:rPr>
          <w:instrText xml:space="preserve"> PAGEREF _Toc502833019 \h </w:instrText>
        </w:r>
        <w:r w:rsidR="002B3915">
          <w:rPr>
            <w:webHidden/>
          </w:rPr>
        </w:r>
        <w:r w:rsidR="002B3915">
          <w:rPr>
            <w:webHidden/>
          </w:rPr>
          <w:fldChar w:fldCharType="separate"/>
        </w:r>
        <w:r w:rsidR="00AC4BE5">
          <w:rPr>
            <w:webHidden/>
          </w:rPr>
          <w:t>3</w:t>
        </w:r>
        <w:r w:rsidR="002B3915">
          <w:rPr>
            <w:webHidden/>
          </w:rPr>
          <w:fldChar w:fldCharType="end"/>
        </w:r>
      </w:hyperlink>
    </w:p>
    <w:p w14:paraId="55E0B2BB" w14:textId="77777777" w:rsidR="002B3915" w:rsidRDefault="00AC4BE5">
      <w:pPr>
        <w:pStyle w:val="TableofFigures"/>
        <w:rPr>
          <w:rFonts w:asciiTheme="minorHAnsi" w:eastAsiaTheme="minorEastAsia" w:hAnsiTheme="minorHAnsi" w:cstheme="minorBidi"/>
        </w:rPr>
      </w:pPr>
      <w:hyperlink w:anchor="_Toc502833020" w:history="1">
        <w:r w:rsidR="002B3915" w:rsidRPr="000B2F83">
          <w:rPr>
            <w:rStyle w:val="Hyperlink"/>
          </w:rPr>
          <w:t>Table 2</w:t>
        </w:r>
        <w:r w:rsidR="002B3915">
          <w:rPr>
            <w:rFonts w:asciiTheme="minorHAnsi" w:eastAsiaTheme="minorEastAsia" w:hAnsiTheme="minorHAnsi" w:cstheme="minorBidi"/>
          </w:rPr>
          <w:tab/>
        </w:r>
        <w:r w:rsidR="002B3915" w:rsidRPr="000B2F83">
          <w:rPr>
            <w:rStyle w:val="Hyperlink"/>
          </w:rPr>
          <w:t xml:space="preserve"> </w:t>
        </w:r>
        <w:r w:rsidR="002B3915" w:rsidRPr="000B2F83">
          <w:rPr>
            <w:rStyle w:val="Hyperlink"/>
            <w:snapToGrid w:val="0"/>
            <w:lang w:eastAsia="en-US"/>
          </w:rPr>
          <w:t>Key features of the included linked evidence</w:t>
        </w:r>
        <w:r w:rsidR="002B3915">
          <w:rPr>
            <w:webHidden/>
          </w:rPr>
          <w:tab/>
        </w:r>
        <w:r w:rsidR="002B3915">
          <w:rPr>
            <w:webHidden/>
          </w:rPr>
          <w:fldChar w:fldCharType="begin"/>
        </w:r>
        <w:r w:rsidR="002B3915">
          <w:rPr>
            <w:webHidden/>
          </w:rPr>
          <w:instrText xml:space="preserve"> PAGEREF _Toc502833020 \h </w:instrText>
        </w:r>
        <w:r w:rsidR="002B3915">
          <w:rPr>
            <w:webHidden/>
          </w:rPr>
        </w:r>
        <w:r w:rsidR="002B3915">
          <w:rPr>
            <w:webHidden/>
          </w:rPr>
          <w:fldChar w:fldCharType="separate"/>
        </w:r>
        <w:r>
          <w:rPr>
            <w:webHidden/>
          </w:rPr>
          <w:t>5</w:t>
        </w:r>
        <w:r w:rsidR="002B3915">
          <w:rPr>
            <w:webHidden/>
          </w:rPr>
          <w:fldChar w:fldCharType="end"/>
        </w:r>
      </w:hyperlink>
    </w:p>
    <w:p w14:paraId="2835867A" w14:textId="77777777" w:rsidR="002B3915" w:rsidRDefault="00AC4BE5">
      <w:pPr>
        <w:pStyle w:val="TableofFigures"/>
        <w:rPr>
          <w:rFonts w:asciiTheme="minorHAnsi" w:eastAsiaTheme="minorEastAsia" w:hAnsiTheme="minorHAnsi" w:cstheme="minorBidi"/>
        </w:rPr>
      </w:pPr>
      <w:hyperlink w:anchor="_Toc502833021" w:history="1">
        <w:r w:rsidR="002B3915" w:rsidRPr="000B2F83">
          <w:rPr>
            <w:rStyle w:val="Hyperlink"/>
          </w:rPr>
          <w:t>Table 3</w:t>
        </w:r>
        <w:r w:rsidR="002B3915">
          <w:rPr>
            <w:rFonts w:asciiTheme="minorHAnsi" w:eastAsiaTheme="minorEastAsia" w:hAnsiTheme="minorHAnsi" w:cstheme="minorBidi"/>
          </w:rPr>
          <w:tab/>
        </w:r>
        <w:r w:rsidR="002B3915" w:rsidRPr="000B2F83">
          <w:rPr>
            <w:rStyle w:val="Hyperlink"/>
          </w:rPr>
          <w:t>Summary of the economic evaluation</w:t>
        </w:r>
        <w:r w:rsidR="002B3915">
          <w:rPr>
            <w:webHidden/>
          </w:rPr>
          <w:tab/>
        </w:r>
        <w:r w:rsidR="002B3915">
          <w:rPr>
            <w:webHidden/>
          </w:rPr>
          <w:fldChar w:fldCharType="begin"/>
        </w:r>
        <w:r w:rsidR="002B3915">
          <w:rPr>
            <w:webHidden/>
          </w:rPr>
          <w:instrText xml:space="preserve"> PAGEREF _Toc502833021 \h </w:instrText>
        </w:r>
        <w:r w:rsidR="002B3915">
          <w:rPr>
            <w:webHidden/>
          </w:rPr>
        </w:r>
        <w:r w:rsidR="002B3915">
          <w:rPr>
            <w:webHidden/>
          </w:rPr>
          <w:fldChar w:fldCharType="separate"/>
        </w:r>
        <w:r>
          <w:rPr>
            <w:webHidden/>
          </w:rPr>
          <w:t>12</w:t>
        </w:r>
        <w:r w:rsidR="002B3915">
          <w:rPr>
            <w:webHidden/>
          </w:rPr>
          <w:fldChar w:fldCharType="end"/>
        </w:r>
      </w:hyperlink>
    </w:p>
    <w:p w14:paraId="2874C84B" w14:textId="77777777" w:rsidR="002B3915" w:rsidRDefault="00AC4BE5">
      <w:pPr>
        <w:pStyle w:val="TableofFigures"/>
        <w:rPr>
          <w:rFonts w:asciiTheme="minorHAnsi" w:eastAsiaTheme="minorEastAsia" w:hAnsiTheme="minorHAnsi" w:cstheme="minorBidi"/>
        </w:rPr>
      </w:pPr>
      <w:hyperlink w:anchor="_Toc502833022" w:history="1">
        <w:r w:rsidR="002B3915" w:rsidRPr="000B2F83">
          <w:rPr>
            <w:rStyle w:val="Hyperlink"/>
          </w:rPr>
          <w:t>Table 4</w:t>
        </w:r>
        <w:r w:rsidR="002B3915">
          <w:rPr>
            <w:rFonts w:asciiTheme="minorHAnsi" w:eastAsiaTheme="minorEastAsia" w:hAnsiTheme="minorHAnsi" w:cstheme="minorBidi"/>
          </w:rPr>
          <w:tab/>
        </w:r>
        <w:r w:rsidR="002B3915" w:rsidRPr="000B2F83">
          <w:rPr>
            <w:rStyle w:val="Hyperlink"/>
          </w:rPr>
          <w:t xml:space="preserve"> Costs associated with testing ovarian reserve, and incremental cost (per patient)</w:t>
        </w:r>
        <w:r w:rsidR="002B3915">
          <w:rPr>
            <w:webHidden/>
          </w:rPr>
          <w:tab/>
        </w:r>
        <w:r w:rsidR="002B3915">
          <w:rPr>
            <w:webHidden/>
          </w:rPr>
          <w:fldChar w:fldCharType="begin"/>
        </w:r>
        <w:r w:rsidR="002B3915">
          <w:rPr>
            <w:webHidden/>
          </w:rPr>
          <w:instrText xml:space="preserve"> PAGEREF _Toc502833022 \h </w:instrText>
        </w:r>
        <w:r w:rsidR="002B3915">
          <w:rPr>
            <w:webHidden/>
          </w:rPr>
        </w:r>
        <w:r w:rsidR="002B3915">
          <w:rPr>
            <w:webHidden/>
          </w:rPr>
          <w:fldChar w:fldCharType="separate"/>
        </w:r>
        <w:r>
          <w:rPr>
            <w:webHidden/>
          </w:rPr>
          <w:t>12</w:t>
        </w:r>
        <w:r w:rsidR="002B3915">
          <w:rPr>
            <w:webHidden/>
          </w:rPr>
          <w:fldChar w:fldCharType="end"/>
        </w:r>
      </w:hyperlink>
    </w:p>
    <w:p w14:paraId="2334B426" w14:textId="77777777" w:rsidR="002B3915" w:rsidRDefault="00AC4BE5">
      <w:pPr>
        <w:pStyle w:val="TableofFigures"/>
        <w:rPr>
          <w:rFonts w:asciiTheme="minorHAnsi" w:eastAsiaTheme="minorEastAsia" w:hAnsiTheme="minorHAnsi" w:cstheme="minorBidi"/>
        </w:rPr>
      </w:pPr>
      <w:hyperlink w:anchor="_Toc502833023" w:history="1">
        <w:r w:rsidR="002B3915" w:rsidRPr="000B2F83">
          <w:rPr>
            <w:rStyle w:val="Hyperlink"/>
          </w:rPr>
          <w:t>Table 5</w:t>
        </w:r>
        <w:r w:rsidR="002B3915">
          <w:rPr>
            <w:rFonts w:asciiTheme="minorHAnsi" w:eastAsiaTheme="minorEastAsia" w:hAnsiTheme="minorHAnsi" w:cstheme="minorBidi"/>
          </w:rPr>
          <w:tab/>
        </w:r>
        <w:r w:rsidR="002B3915" w:rsidRPr="000B2F83">
          <w:rPr>
            <w:rStyle w:val="Hyperlink"/>
          </w:rPr>
          <w:t xml:space="preserve"> Estimated costs of AMH testing, 2018–19 to 2022–23</w:t>
        </w:r>
        <w:r w:rsidR="002B3915">
          <w:rPr>
            <w:webHidden/>
          </w:rPr>
          <w:tab/>
        </w:r>
        <w:r w:rsidR="002B3915">
          <w:rPr>
            <w:webHidden/>
          </w:rPr>
          <w:fldChar w:fldCharType="begin"/>
        </w:r>
        <w:r w:rsidR="002B3915">
          <w:rPr>
            <w:webHidden/>
          </w:rPr>
          <w:instrText xml:space="preserve"> PAGEREF _Toc502833023 \h </w:instrText>
        </w:r>
        <w:r w:rsidR="002B3915">
          <w:rPr>
            <w:webHidden/>
          </w:rPr>
        </w:r>
        <w:r w:rsidR="002B3915">
          <w:rPr>
            <w:webHidden/>
          </w:rPr>
          <w:fldChar w:fldCharType="separate"/>
        </w:r>
        <w:r>
          <w:rPr>
            <w:webHidden/>
          </w:rPr>
          <w:t>13</w:t>
        </w:r>
        <w:r w:rsidR="002B3915">
          <w:rPr>
            <w:webHidden/>
          </w:rPr>
          <w:fldChar w:fldCharType="end"/>
        </w:r>
      </w:hyperlink>
    </w:p>
    <w:p w14:paraId="37EFD38C" w14:textId="77777777" w:rsidR="002B3915" w:rsidRDefault="00AC4BE5">
      <w:pPr>
        <w:pStyle w:val="TableofFigures"/>
        <w:rPr>
          <w:rFonts w:asciiTheme="minorHAnsi" w:eastAsiaTheme="minorEastAsia" w:hAnsiTheme="minorHAnsi" w:cstheme="minorBidi"/>
        </w:rPr>
      </w:pPr>
      <w:hyperlink w:anchor="_Toc502833024" w:history="1">
        <w:r w:rsidR="002B3915" w:rsidRPr="000B2F83">
          <w:rPr>
            <w:rStyle w:val="Hyperlink"/>
          </w:rPr>
          <w:t>Table 6</w:t>
        </w:r>
        <w:r w:rsidR="002B3915">
          <w:rPr>
            <w:rFonts w:asciiTheme="minorHAnsi" w:eastAsiaTheme="minorEastAsia" w:hAnsiTheme="minorHAnsi" w:cstheme="minorBidi"/>
          </w:rPr>
          <w:tab/>
        </w:r>
        <w:r w:rsidR="002B3915" w:rsidRPr="000B2F83">
          <w:rPr>
            <w:rStyle w:val="Hyperlink"/>
          </w:rPr>
          <w:t>Proposed MBS item descriptor</w:t>
        </w:r>
        <w:r w:rsidR="002B3915">
          <w:rPr>
            <w:webHidden/>
          </w:rPr>
          <w:tab/>
        </w:r>
        <w:r w:rsidR="002B3915">
          <w:rPr>
            <w:webHidden/>
          </w:rPr>
          <w:fldChar w:fldCharType="begin"/>
        </w:r>
        <w:r w:rsidR="002B3915">
          <w:rPr>
            <w:webHidden/>
          </w:rPr>
          <w:instrText xml:space="preserve"> PAGEREF _Toc502833024 \h </w:instrText>
        </w:r>
        <w:r w:rsidR="002B3915">
          <w:rPr>
            <w:webHidden/>
          </w:rPr>
        </w:r>
        <w:r w:rsidR="002B3915">
          <w:rPr>
            <w:webHidden/>
          </w:rPr>
          <w:fldChar w:fldCharType="separate"/>
        </w:r>
        <w:r>
          <w:rPr>
            <w:webHidden/>
          </w:rPr>
          <w:t>21</w:t>
        </w:r>
        <w:r w:rsidR="002B3915">
          <w:rPr>
            <w:webHidden/>
          </w:rPr>
          <w:fldChar w:fldCharType="end"/>
        </w:r>
      </w:hyperlink>
    </w:p>
    <w:p w14:paraId="06936F1D" w14:textId="77777777" w:rsidR="002B3915" w:rsidRDefault="00AC4BE5">
      <w:pPr>
        <w:pStyle w:val="TableofFigures"/>
        <w:rPr>
          <w:rFonts w:asciiTheme="minorHAnsi" w:eastAsiaTheme="minorEastAsia" w:hAnsiTheme="minorHAnsi" w:cstheme="minorBidi"/>
        </w:rPr>
      </w:pPr>
      <w:hyperlink w:anchor="_Toc502833025" w:history="1">
        <w:r w:rsidR="002B3915" w:rsidRPr="000B2F83">
          <w:rPr>
            <w:rStyle w:val="Hyperlink"/>
          </w:rPr>
          <w:t>Table 7</w:t>
        </w:r>
        <w:r w:rsidR="002B3915">
          <w:rPr>
            <w:rFonts w:asciiTheme="minorHAnsi" w:eastAsiaTheme="minorEastAsia" w:hAnsiTheme="minorHAnsi" w:cstheme="minorBidi"/>
          </w:rPr>
          <w:tab/>
        </w:r>
        <w:r w:rsidR="002B3915" w:rsidRPr="000B2F83">
          <w:rPr>
            <w:rStyle w:val="Hyperlink"/>
          </w:rPr>
          <w:t xml:space="preserve"> Risk of amenorrhea in women treated with chemotherapy and radiotherapy, adapted from Loren et al. 2013 (ASCO guidelines)</w:t>
        </w:r>
        <w:r w:rsidR="002B3915">
          <w:rPr>
            <w:webHidden/>
          </w:rPr>
          <w:tab/>
        </w:r>
        <w:r w:rsidR="002B3915">
          <w:rPr>
            <w:webHidden/>
          </w:rPr>
          <w:fldChar w:fldCharType="begin"/>
        </w:r>
        <w:r w:rsidR="002B3915">
          <w:rPr>
            <w:webHidden/>
          </w:rPr>
          <w:instrText xml:space="preserve"> PAGEREF _Toc502833025 \h </w:instrText>
        </w:r>
        <w:r w:rsidR="002B3915">
          <w:rPr>
            <w:webHidden/>
          </w:rPr>
        </w:r>
        <w:r w:rsidR="002B3915">
          <w:rPr>
            <w:webHidden/>
          </w:rPr>
          <w:fldChar w:fldCharType="separate"/>
        </w:r>
        <w:r>
          <w:rPr>
            <w:webHidden/>
          </w:rPr>
          <w:t>22</w:t>
        </w:r>
        <w:r w:rsidR="002B3915">
          <w:rPr>
            <w:webHidden/>
          </w:rPr>
          <w:fldChar w:fldCharType="end"/>
        </w:r>
      </w:hyperlink>
    </w:p>
    <w:p w14:paraId="611A696D" w14:textId="77777777" w:rsidR="002B3915" w:rsidRDefault="00AC4BE5">
      <w:pPr>
        <w:pStyle w:val="TableofFigures"/>
        <w:rPr>
          <w:rFonts w:asciiTheme="minorHAnsi" w:eastAsiaTheme="minorEastAsia" w:hAnsiTheme="minorHAnsi" w:cstheme="minorBidi"/>
        </w:rPr>
      </w:pPr>
      <w:hyperlink w:anchor="_Toc502833026" w:history="1">
        <w:r w:rsidR="002B3915" w:rsidRPr="000B2F83">
          <w:rPr>
            <w:rStyle w:val="Hyperlink"/>
          </w:rPr>
          <w:t>Table 8</w:t>
        </w:r>
        <w:r w:rsidR="002B3915">
          <w:rPr>
            <w:rFonts w:asciiTheme="minorHAnsi" w:eastAsiaTheme="minorEastAsia" w:hAnsiTheme="minorHAnsi" w:cstheme="minorBidi"/>
          </w:rPr>
          <w:tab/>
        </w:r>
        <w:r w:rsidR="002B3915" w:rsidRPr="000B2F83">
          <w:rPr>
            <w:rStyle w:val="Hyperlink"/>
          </w:rPr>
          <w:t xml:space="preserve"> Incidence of cancer in Australian females</w:t>
        </w:r>
        <w:r w:rsidR="002B3915">
          <w:rPr>
            <w:webHidden/>
          </w:rPr>
          <w:tab/>
        </w:r>
        <w:r w:rsidR="002B3915">
          <w:rPr>
            <w:webHidden/>
          </w:rPr>
          <w:fldChar w:fldCharType="begin"/>
        </w:r>
        <w:r w:rsidR="002B3915">
          <w:rPr>
            <w:webHidden/>
          </w:rPr>
          <w:instrText xml:space="preserve"> PAGEREF _Toc502833026 \h </w:instrText>
        </w:r>
        <w:r w:rsidR="002B3915">
          <w:rPr>
            <w:webHidden/>
          </w:rPr>
        </w:r>
        <w:r w:rsidR="002B3915">
          <w:rPr>
            <w:webHidden/>
          </w:rPr>
          <w:fldChar w:fldCharType="separate"/>
        </w:r>
        <w:r>
          <w:rPr>
            <w:webHidden/>
          </w:rPr>
          <w:t>24</w:t>
        </w:r>
        <w:r w:rsidR="002B3915">
          <w:rPr>
            <w:webHidden/>
          </w:rPr>
          <w:fldChar w:fldCharType="end"/>
        </w:r>
      </w:hyperlink>
    </w:p>
    <w:p w14:paraId="4D4B55C9" w14:textId="77777777" w:rsidR="002B3915" w:rsidRDefault="00AC4BE5">
      <w:pPr>
        <w:pStyle w:val="TableofFigures"/>
        <w:rPr>
          <w:rFonts w:asciiTheme="minorHAnsi" w:eastAsiaTheme="minorEastAsia" w:hAnsiTheme="minorHAnsi" w:cstheme="minorBidi"/>
        </w:rPr>
      </w:pPr>
      <w:hyperlink w:anchor="_Toc502833027" w:history="1">
        <w:r w:rsidR="002B3915" w:rsidRPr="000B2F83">
          <w:rPr>
            <w:rStyle w:val="Hyperlink"/>
          </w:rPr>
          <w:t>Table 9</w:t>
        </w:r>
        <w:r w:rsidR="002B3915">
          <w:rPr>
            <w:rFonts w:asciiTheme="minorHAnsi" w:eastAsiaTheme="minorEastAsia" w:hAnsiTheme="minorHAnsi" w:cstheme="minorBidi"/>
          </w:rPr>
          <w:tab/>
        </w:r>
        <w:r w:rsidR="002B3915" w:rsidRPr="000B2F83">
          <w:rPr>
            <w:rStyle w:val="Hyperlink"/>
          </w:rPr>
          <w:t xml:space="preserve"> Estimated number of new cases, by type of cancer most relevant for fertility preservation for 2017, females aged 0 to 44</w:t>
        </w:r>
        <w:r w:rsidR="002B3915">
          <w:rPr>
            <w:webHidden/>
          </w:rPr>
          <w:tab/>
        </w:r>
        <w:r w:rsidR="002B3915">
          <w:rPr>
            <w:webHidden/>
          </w:rPr>
          <w:fldChar w:fldCharType="begin"/>
        </w:r>
        <w:r w:rsidR="002B3915">
          <w:rPr>
            <w:webHidden/>
          </w:rPr>
          <w:instrText xml:space="preserve"> PAGEREF _Toc502833027 \h </w:instrText>
        </w:r>
        <w:r w:rsidR="002B3915">
          <w:rPr>
            <w:webHidden/>
          </w:rPr>
        </w:r>
        <w:r w:rsidR="002B3915">
          <w:rPr>
            <w:webHidden/>
          </w:rPr>
          <w:fldChar w:fldCharType="separate"/>
        </w:r>
        <w:r>
          <w:rPr>
            <w:webHidden/>
          </w:rPr>
          <w:t>24</w:t>
        </w:r>
        <w:r w:rsidR="002B3915">
          <w:rPr>
            <w:webHidden/>
          </w:rPr>
          <w:fldChar w:fldCharType="end"/>
        </w:r>
      </w:hyperlink>
    </w:p>
    <w:p w14:paraId="5E26DC08" w14:textId="77777777" w:rsidR="002B3915" w:rsidRDefault="00AC4BE5">
      <w:pPr>
        <w:pStyle w:val="TableofFigures"/>
        <w:rPr>
          <w:rFonts w:asciiTheme="minorHAnsi" w:eastAsiaTheme="minorEastAsia" w:hAnsiTheme="minorHAnsi" w:cstheme="minorBidi"/>
        </w:rPr>
      </w:pPr>
      <w:hyperlink w:anchor="_Toc502833028" w:history="1">
        <w:r w:rsidR="002B3915" w:rsidRPr="000B2F83">
          <w:rPr>
            <w:rStyle w:val="Hyperlink"/>
          </w:rPr>
          <w:t>Table 10</w:t>
        </w:r>
        <w:r w:rsidR="002B3915">
          <w:rPr>
            <w:rFonts w:asciiTheme="minorHAnsi" w:eastAsiaTheme="minorEastAsia" w:hAnsiTheme="minorHAnsi" w:cstheme="minorBidi"/>
          </w:rPr>
          <w:tab/>
        </w:r>
        <w:r w:rsidR="002B3915" w:rsidRPr="000B2F83">
          <w:rPr>
            <w:rStyle w:val="Hyperlink"/>
          </w:rPr>
          <w:t>Relevant MBS item for comparator tests</w:t>
        </w:r>
        <w:r w:rsidR="002B3915">
          <w:rPr>
            <w:webHidden/>
          </w:rPr>
          <w:tab/>
        </w:r>
        <w:r w:rsidR="002B3915">
          <w:rPr>
            <w:webHidden/>
          </w:rPr>
          <w:fldChar w:fldCharType="begin"/>
        </w:r>
        <w:r w:rsidR="002B3915">
          <w:rPr>
            <w:webHidden/>
          </w:rPr>
          <w:instrText xml:space="preserve"> PAGEREF _Toc502833028 \h </w:instrText>
        </w:r>
        <w:r w:rsidR="002B3915">
          <w:rPr>
            <w:webHidden/>
          </w:rPr>
        </w:r>
        <w:r w:rsidR="002B3915">
          <w:rPr>
            <w:webHidden/>
          </w:rPr>
          <w:fldChar w:fldCharType="separate"/>
        </w:r>
        <w:r>
          <w:rPr>
            <w:webHidden/>
          </w:rPr>
          <w:t>27</w:t>
        </w:r>
        <w:r w:rsidR="002B3915">
          <w:rPr>
            <w:webHidden/>
          </w:rPr>
          <w:fldChar w:fldCharType="end"/>
        </w:r>
      </w:hyperlink>
    </w:p>
    <w:p w14:paraId="13D3FAD9" w14:textId="77777777" w:rsidR="002B3915" w:rsidRDefault="00AC4BE5">
      <w:pPr>
        <w:pStyle w:val="TableofFigures"/>
        <w:rPr>
          <w:rFonts w:asciiTheme="minorHAnsi" w:eastAsiaTheme="minorEastAsia" w:hAnsiTheme="minorHAnsi" w:cstheme="minorBidi"/>
        </w:rPr>
      </w:pPr>
      <w:hyperlink w:anchor="_Toc502833029" w:history="1">
        <w:r w:rsidR="002B3915" w:rsidRPr="000B2F83">
          <w:rPr>
            <w:rStyle w:val="Hyperlink"/>
          </w:rPr>
          <w:t>Table 11</w:t>
        </w:r>
        <w:r w:rsidR="002B3915">
          <w:rPr>
            <w:rFonts w:asciiTheme="minorHAnsi" w:eastAsiaTheme="minorEastAsia" w:hAnsiTheme="minorHAnsi" w:cstheme="minorBidi"/>
          </w:rPr>
          <w:tab/>
        </w:r>
        <w:r w:rsidR="002B3915" w:rsidRPr="000B2F83">
          <w:rPr>
            <w:rStyle w:val="Hyperlink"/>
          </w:rPr>
          <w:t>Explanatory notes for comparator MBS item number</w:t>
        </w:r>
        <w:r w:rsidR="002B3915">
          <w:rPr>
            <w:webHidden/>
          </w:rPr>
          <w:tab/>
        </w:r>
        <w:r w:rsidR="002B3915">
          <w:rPr>
            <w:webHidden/>
          </w:rPr>
          <w:fldChar w:fldCharType="begin"/>
        </w:r>
        <w:r w:rsidR="002B3915">
          <w:rPr>
            <w:webHidden/>
          </w:rPr>
          <w:instrText xml:space="preserve"> PAGEREF _Toc502833029 \h </w:instrText>
        </w:r>
        <w:r w:rsidR="002B3915">
          <w:rPr>
            <w:webHidden/>
          </w:rPr>
        </w:r>
        <w:r w:rsidR="002B3915">
          <w:rPr>
            <w:webHidden/>
          </w:rPr>
          <w:fldChar w:fldCharType="separate"/>
        </w:r>
        <w:r>
          <w:rPr>
            <w:webHidden/>
          </w:rPr>
          <w:t>27</w:t>
        </w:r>
        <w:r w:rsidR="002B3915">
          <w:rPr>
            <w:webHidden/>
          </w:rPr>
          <w:fldChar w:fldCharType="end"/>
        </w:r>
      </w:hyperlink>
    </w:p>
    <w:p w14:paraId="464B0570" w14:textId="77777777" w:rsidR="002B3915" w:rsidRDefault="00AC4BE5">
      <w:pPr>
        <w:pStyle w:val="TableofFigures"/>
        <w:rPr>
          <w:rFonts w:asciiTheme="minorHAnsi" w:eastAsiaTheme="minorEastAsia" w:hAnsiTheme="minorHAnsi" w:cstheme="minorBidi"/>
        </w:rPr>
      </w:pPr>
      <w:hyperlink w:anchor="_Toc502833030" w:history="1">
        <w:r w:rsidR="002B3915" w:rsidRPr="000B2F83">
          <w:rPr>
            <w:rStyle w:val="Hyperlink"/>
          </w:rPr>
          <w:t>Table 12</w:t>
        </w:r>
        <w:r w:rsidR="002B3915">
          <w:rPr>
            <w:rFonts w:asciiTheme="minorHAnsi" w:eastAsiaTheme="minorEastAsia" w:hAnsiTheme="minorHAnsi" w:cstheme="minorBidi"/>
          </w:rPr>
          <w:tab/>
        </w:r>
        <w:r w:rsidR="002B3915" w:rsidRPr="000B2F83">
          <w:rPr>
            <w:rStyle w:val="Hyperlink"/>
          </w:rPr>
          <w:t>Relevant MBS item for ultrasound used for antral follicle count</w:t>
        </w:r>
        <w:r w:rsidR="002B3915">
          <w:rPr>
            <w:webHidden/>
          </w:rPr>
          <w:tab/>
        </w:r>
        <w:r w:rsidR="002B3915">
          <w:rPr>
            <w:webHidden/>
          </w:rPr>
          <w:fldChar w:fldCharType="begin"/>
        </w:r>
        <w:r w:rsidR="002B3915">
          <w:rPr>
            <w:webHidden/>
          </w:rPr>
          <w:instrText xml:space="preserve"> PAGEREF _Toc502833030 \h </w:instrText>
        </w:r>
        <w:r w:rsidR="002B3915">
          <w:rPr>
            <w:webHidden/>
          </w:rPr>
        </w:r>
        <w:r w:rsidR="002B3915">
          <w:rPr>
            <w:webHidden/>
          </w:rPr>
          <w:fldChar w:fldCharType="separate"/>
        </w:r>
        <w:r>
          <w:rPr>
            <w:webHidden/>
          </w:rPr>
          <w:t>28</w:t>
        </w:r>
        <w:r w:rsidR="002B3915">
          <w:rPr>
            <w:webHidden/>
          </w:rPr>
          <w:fldChar w:fldCharType="end"/>
        </w:r>
      </w:hyperlink>
    </w:p>
    <w:p w14:paraId="471C72C7" w14:textId="77777777" w:rsidR="002B3915" w:rsidRDefault="00AC4BE5">
      <w:pPr>
        <w:pStyle w:val="TableofFigures"/>
        <w:rPr>
          <w:rFonts w:asciiTheme="minorHAnsi" w:eastAsiaTheme="minorEastAsia" w:hAnsiTheme="minorHAnsi" w:cstheme="minorBidi"/>
        </w:rPr>
      </w:pPr>
      <w:hyperlink w:anchor="_Toc502833031" w:history="1">
        <w:r w:rsidR="002B3915" w:rsidRPr="000B2F83">
          <w:rPr>
            <w:rStyle w:val="Hyperlink"/>
          </w:rPr>
          <w:t>Table 13</w:t>
        </w:r>
        <w:r w:rsidR="002B3915">
          <w:rPr>
            <w:rFonts w:asciiTheme="minorHAnsi" w:eastAsiaTheme="minorEastAsia" w:hAnsiTheme="minorHAnsi" w:cstheme="minorBidi"/>
          </w:rPr>
          <w:tab/>
        </w:r>
        <w:r w:rsidR="002B3915" w:rsidRPr="000B2F83">
          <w:rPr>
            <w:rStyle w:val="Hyperlink"/>
          </w:rPr>
          <w:t>PICO criteria and research questions for direct evidence in populations 1, 2 and 3</w:t>
        </w:r>
        <w:r w:rsidR="002B3915">
          <w:rPr>
            <w:webHidden/>
          </w:rPr>
          <w:tab/>
        </w:r>
        <w:r w:rsidR="002B3915">
          <w:rPr>
            <w:webHidden/>
          </w:rPr>
          <w:fldChar w:fldCharType="begin"/>
        </w:r>
        <w:r w:rsidR="002B3915">
          <w:rPr>
            <w:webHidden/>
          </w:rPr>
          <w:instrText xml:space="preserve"> PAGEREF _Toc502833031 \h </w:instrText>
        </w:r>
        <w:r w:rsidR="002B3915">
          <w:rPr>
            <w:webHidden/>
          </w:rPr>
        </w:r>
        <w:r w:rsidR="002B3915">
          <w:rPr>
            <w:webHidden/>
          </w:rPr>
          <w:fldChar w:fldCharType="separate"/>
        </w:r>
        <w:r>
          <w:rPr>
            <w:webHidden/>
          </w:rPr>
          <w:t>33</w:t>
        </w:r>
        <w:r w:rsidR="002B3915">
          <w:rPr>
            <w:webHidden/>
          </w:rPr>
          <w:fldChar w:fldCharType="end"/>
        </w:r>
      </w:hyperlink>
    </w:p>
    <w:p w14:paraId="296C1503" w14:textId="77777777" w:rsidR="002B3915" w:rsidRDefault="00AC4BE5">
      <w:pPr>
        <w:pStyle w:val="TableofFigures"/>
        <w:rPr>
          <w:rFonts w:asciiTheme="minorHAnsi" w:eastAsiaTheme="minorEastAsia" w:hAnsiTheme="minorHAnsi" w:cstheme="minorBidi"/>
        </w:rPr>
      </w:pPr>
      <w:hyperlink w:anchor="_Toc502833032" w:history="1">
        <w:r w:rsidR="002B3915" w:rsidRPr="000B2F83">
          <w:rPr>
            <w:rStyle w:val="Hyperlink"/>
          </w:rPr>
          <w:t>Table 14</w:t>
        </w:r>
        <w:r w:rsidR="002B3915">
          <w:rPr>
            <w:rFonts w:asciiTheme="minorHAnsi" w:eastAsiaTheme="minorEastAsia" w:hAnsiTheme="minorHAnsi" w:cstheme="minorBidi"/>
          </w:rPr>
          <w:tab/>
        </w:r>
        <w:r w:rsidR="002B3915" w:rsidRPr="000B2F83">
          <w:rPr>
            <w:rStyle w:val="Hyperlink"/>
          </w:rPr>
          <w:t>PICO criteria and research questions for direct evidence in populations 4, 5 and 6</w:t>
        </w:r>
        <w:r w:rsidR="002B3915">
          <w:rPr>
            <w:webHidden/>
          </w:rPr>
          <w:tab/>
        </w:r>
        <w:r w:rsidR="002B3915">
          <w:rPr>
            <w:webHidden/>
          </w:rPr>
          <w:fldChar w:fldCharType="begin"/>
        </w:r>
        <w:r w:rsidR="002B3915">
          <w:rPr>
            <w:webHidden/>
          </w:rPr>
          <w:instrText xml:space="preserve"> PAGEREF _Toc502833032 \h </w:instrText>
        </w:r>
        <w:r w:rsidR="002B3915">
          <w:rPr>
            <w:webHidden/>
          </w:rPr>
        </w:r>
        <w:r w:rsidR="002B3915">
          <w:rPr>
            <w:webHidden/>
          </w:rPr>
          <w:fldChar w:fldCharType="separate"/>
        </w:r>
        <w:r>
          <w:rPr>
            <w:webHidden/>
          </w:rPr>
          <w:t>34</w:t>
        </w:r>
        <w:r w:rsidR="002B3915">
          <w:rPr>
            <w:webHidden/>
          </w:rPr>
          <w:fldChar w:fldCharType="end"/>
        </w:r>
      </w:hyperlink>
    </w:p>
    <w:p w14:paraId="326EC9F7" w14:textId="77777777" w:rsidR="002B3915" w:rsidRDefault="00AC4BE5">
      <w:pPr>
        <w:pStyle w:val="TableofFigures"/>
        <w:rPr>
          <w:rFonts w:asciiTheme="minorHAnsi" w:eastAsiaTheme="minorEastAsia" w:hAnsiTheme="minorHAnsi" w:cstheme="minorBidi"/>
        </w:rPr>
      </w:pPr>
      <w:hyperlink w:anchor="_Toc502833033" w:history="1">
        <w:r w:rsidR="002B3915" w:rsidRPr="000B2F83">
          <w:rPr>
            <w:rStyle w:val="Hyperlink"/>
          </w:rPr>
          <w:t>Table 15</w:t>
        </w:r>
        <w:r w:rsidR="002B3915">
          <w:rPr>
            <w:rFonts w:asciiTheme="minorHAnsi" w:eastAsiaTheme="minorEastAsia" w:hAnsiTheme="minorHAnsi" w:cstheme="minorBidi"/>
          </w:rPr>
          <w:tab/>
        </w:r>
        <w:r w:rsidR="002B3915" w:rsidRPr="000B2F83">
          <w:rPr>
            <w:rStyle w:val="Hyperlink"/>
          </w:rPr>
          <w:t>PICO criteria and research question for the analytical validity of AMH testing in populations 1 to 3</w:t>
        </w:r>
        <w:r w:rsidR="002B3915">
          <w:rPr>
            <w:webHidden/>
          </w:rPr>
          <w:tab/>
        </w:r>
        <w:r w:rsidR="002B3915">
          <w:rPr>
            <w:webHidden/>
          </w:rPr>
          <w:fldChar w:fldCharType="begin"/>
        </w:r>
        <w:r w:rsidR="002B3915">
          <w:rPr>
            <w:webHidden/>
          </w:rPr>
          <w:instrText xml:space="preserve"> PAGEREF _Toc502833033 \h </w:instrText>
        </w:r>
        <w:r w:rsidR="002B3915">
          <w:rPr>
            <w:webHidden/>
          </w:rPr>
        </w:r>
        <w:r w:rsidR="002B3915">
          <w:rPr>
            <w:webHidden/>
          </w:rPr>
          <w:fldChar w:fldCharType="separate"/>
        </w:r>
        <w:r>
          <w:rPr>
            <w:webHidden/>
          </w:rPr>
          <w:t>35</w:t>
        </w:r>
        <w:r w:rsidR="002B3915">
          <w:rPr>
            <w:webHidden/>
          </w:rPr>
          <w:fldChar w:fldCharType="end"/>
        </w:r>
      </w:hyperlink>
    </w:p>
    <w:p w14:paraId="5F46D335" w14:textId="77777777" w:rsidR="002B3915" w:rsidRDefault="00AC4BE5">
      <w:pPr>
        <w:pStyle w:val="TableofFigures"/>
        <w:rPr>
          <w:rFonts w:asciiTheme="minorHAnsi" w:eastAsiaTheme="minorEastAsia" w:hAnsiTheme="minorHAnsi" w:cstheme="minorBidi"/>
        </w:rPr>
      </w:pPr>
      <w:hyperlink w:anchor="_Toc502833034" w:history="1">
        <w:r w:rsidR="002B3915" w:rsidRPr="000B2F83">
          <w:rPr>
            <w:rStyle w:val="Hyperlink"/>
          </w:rPr>
          <w:t>Table 16</w:t>
        </w:r>
        <w:r w:rsidR="002B3915">
          <w:rPr>
            <w:rFonts w:asciiTheme="minorHAnsi" w:eastAsiaTheme="minorEastAsia" w:hAnsiTheme="minorHAnsi" w:cstheme="minorBidi"/>
          </w:rPr>
          <w:tab/>
        </w:r>
        <w:r w:rsidR="002B3915" w:rsidRPr="000B2F83">
          <w:rPr>
            <w:rStyle w:val="Hyperlink"/>
          </w:rPr>
          <w:t>PICO criteria and research question for determining prognostic value of AMH in population 1, 2 and 3</w:t>
        </w:r>
        <w:r w:rsidR="002B3915">
          <w:rPr>
            <w:webHidden/>
          </w:rPr>
          <w:tab/>
        </w:r>
        <w:r w:rsidR="002B3915">
          <w:rPr>
            <w:webHidden/>
          </w:rPr>
          <w:fldChar w:fldCharType="begin"/>
        </w:r>
        <w:r w:rsidR="002B3915">
          <w:rPr>
            <w:webHidden/>
          </w:rPr>
          <w:instrText xml:space="preserve"> PAGEREF _Toc502833034 \h </w:instrText>
        </w:r>
        <w:r w:rsidR="002B3915">
          <w:rPr>
            <w:webHidden/>
          </w:rPr>
        </w:r>
        <w:r w:rsidR="002B3915">
          <w:rPr>
            <w:webHidden/>
          </w:rPr>
          <w:fldChar w:fldCharType="separate"/>
        </w:r>
        <w:r>
          <w:rPr>
            <w:webHidden/>
          </w:rPr>
          <w:t>35</w:t>
        </w:r>
        <w:r w:rsidR="002B3915">
          <w:rPr>
            <w:webHidden/>
          </w:rPr>
          <w:fldChar w:fldCharType="end"/>
        </w:r>
      </w:hyperlink>
    </w:p>
    <w:p w14:paraId="3B218739" w14:textId="77777777" w:rsidR="002B3915" w:rsidRDefault="00AC4BE5">
      <w:pPr>
        <w:pStyle w:val="TableofFigures"/>
        <w:rPr>
          <w:rFonts w:asciiTheme="minorHAnsi" w:eastAsiaTheme="minorEastAsia" w:hAnsiTheme="minorHAnsi" w:cstheme="minorBidi"/>
        </w:rPr>
      </w:pPr>
      <w:hyperlink w:anchor="_Toc502833035" w:history="1">
        <w:r w:rsidR="002B3915" w:rsidRPr="000B2F83">
          <w:rPr>
            <w:rStyle w:val="Hyperlink"/>
          </w:rPr>
          <w:t>Table 17</w:t>
        </w:r>
        <w:r w:rsidR="002B3915">
          <w:rPr>
            <w:rFonts w:asciiTheme="minorHAnsi" w:eastAsiaTheme="minorEastAsia" w:hAnsiTheme="minorHAnsi" w:cstheme="minorBidi"/>
          </w:rPr>
          <w:tab/>
        </w:r>
        <w:r w:rsidR="002B3915" w:rsidRPr="000B2F83">
          <w:rPr>
            <w:rStyle w:val="Hyperlink"/>
          </w:rPr>
          <w:t>PICO criteria and research question for determining predictive value of AMH in population 1, 2 and 3</w:t>
        </w:r>
        <w:r w:rsidR="002B3915">
          <w:rPr>
            <w:webHidden/>
          </w:rPr>
          <w:tab/>
        </w:r>
        <w:r w:rsidR="002B3915">
          <w:rPr>
            <w:webHidden/>
          </w:rPr>
          <w:fldChar w:fldCharType="begin"/>
        </w:r>
        <w:r w:rsidR="002B3915">
          <w:rPr>
            <w:webHidden/>
          </w:rPr>
          <w:instrText xml:space="preserve"> PAGEREF _Toc502833035 \h </w:instrText>
        </w:r>
        <w:r w:rsidR="002B3915">
          <w:rPr>
            <w:webHidden/>
          </w:rPr>
        </w:r>
        <w:r w:rsidR="002B3915">
          <w:rPr>
            <w:webHidden/>
          </w:rPr>
          <w:fldChar w:fldCharType="separate"/>
        </w:r>
        <w:r>
          <w:rPr>
            <w:webHidden/>
          </w:rPr>
          <w:t>36</w:t>
        </w:r>
        <w:r w:rsidR="002B3915">
          <w:rPr>
            <w:webHidden/>
          </w:rPr>
          <w:fldChar w:fldCharType="end"/>
        </w:r>
      </w:hyperlink>
    </w:p>
    <w:p w14:paraId="104D6FED" w14:textId="77777777" w:rsidR="002B3915" w:rsidRDefault="00AC4BE5">
      <w:pPr>
        <w:pStyle w:val="TableofFigures"/>
        <w:rPr>
          <w:rFonts w:asciiTheme="minorHAnsi" w:eastAsiaTheme="minorEastAsia" w:hAnsiTheme="minorHAnsi" w:cstheme="minorBidi"/>
        </w:rPr>
      </w:pPr>
      <w:hyperlink w:anchor="_Toc502833036" w:history="1">
        <w:r w:rsidR="002B3915" w:rsidRPr="000B2F83">
          <w:rPr>
            <w:rStyle w:val="Hyperlink"/>
          </w:rPr>
          <w:t>Table 18</w:t>
        </w:r>
        <w:r w:rsidR="002B3915">
          <w:rPr>
            <w:rFonts w:asciiTheme="minorHAnsi" w:eastAsiaTheme="minorEastAsia" w:hAnsiTheme="minorHAnsi" w:cstheme="minorBidi"/>
          </w:rPr>
          <w:tab/>
        </w:r>
        <w:r w:rsidR="002B3915" w:rsidRPr="000B2F83">
          <w:rPr>
            <w:rStyle w:val="Hyperlink"/>
          </w:rPr>
          <w:t>PICO criteria and research question to determine the impact of the AMH test on patient management in population 1, 2 and 3</w:t>
        </w:r>
        <w:r w:rsidR="002B3915">
          <w:rPr>
            <w:webHidden/>
          </w:rPr>
          <w:tab/>
        </w:r>
        <w:r w:rsidR="002B3915">
          <w:rPr>
            <w:webHidden/>
          </w:rPr>
          <w:fldChar w:fldCharType="begin"/>
        </w:r>
        <w:r w:rsidR="002B3915">
          <w:rPr>
            <w:webHidden/>
          </w:rPr>
          <w:instrText xml:space="preserve"> PAGEREF _Toc502833036 \h </w:instrText>
        </w:r>
        <w:r w:rsidR="002B3915">
          <w:rPr>
            <w:webHidden/>
          </w:rPr>
        </w:r>
        <w:r w:rsidR="002B3915">
          <w:rPr>
            <w:webHidden/>
          </w:rPr>
          <w:fldChar w:fldCharType="separate"/>
        </w:r>
        <w:r>
          <w:rPr>
            <w:webHidden/>
          </w:rPr>
          <w:t>36</w:t>
        </w:r>
        <w:r w:rsidR="002B3915">
          <w:rPr>
            <w:webHidden/>
          </w:rPr>
          <w:fldChar w:fldCharType="end"/>
        </w:r>
      </w:hyperlink>
    </w:p>
    <w:p w14:paraId="05CB7EE3" w14:textId="77777777" w:rsidR="002B3915" w:rsidRDefault="00AC4BE5">
      <w:pPr>
        <w:pStyle w:val="TableofFigures"/>
        <w:rPr>
          <w:rFonts w:asciiTheme="minorHAnsi" w:eastAsiaTheme="minorEastAsia" w:hAnsiTheme="minorHAnsi" w:cstheme="minorBidi"/>
        </w:rPr>
      </w:pPr>
      <w:hyperlink w:anchor="_Toc502833037" w:history="1">
        <w:r w:rsidR="002B3915" w:rsidRPr="000B2F83">
          <w:rPr>
            <w:rStyle w:val="Hyperlink"/>
          </w:rPr>
          <w:t>Table 19</w:t>
        </w:r>
        <w:r w:rsidR="002B3915">
          <w:rPr>
            <w:rFonts w:asciiTheme="minorHAnsi" w:eastAsiaTheme="minorEastAsia" w:hAnsiTheme="minorHAnsi" w:cstheme="minorBidi"/>
          </w:rPr>
          <w:tab/>
        </w:r>
        <w:r w:rsidR="002B3915" w:rsidRPr="000B2F83">
          <w:rPr>
            <w:rStyle w:val="Hyperlink"/>
          </w:rPr>
          <w:t xml:space="preserve"> PICO criteria and research question to determine the effectiveness of change in management in population 1, 2 and 3</w:t>
        </w:r>
        <w:r w:rsidR="002B3915">
          <w:rPr>
            <w:webHidden/>
          </w:rPr>
          <w:tab/>
        </w:r>
        <w:r w:rsidR="002B3915">
          <w:rPr>
            <w:webHidden/>
          </w:rPr>
          <w:fldChar w:fldCharType="begin"/>
        </w:r>
        <w:r w:rsidR="002B3915">
          <w:rPr>
            <w:webHidden/>
          </w:rPr>
          <w:instrText xml:space="preserve"> PAGEREF _Toc502833037 \h </w:instrText>
        </w:r>
        <w:r w:rsidR="002B3915">
          <w:rPr>
            <w:webHidden/>
          </w:rPr>
        </w:r>
        <w:r w:rsidR="002B3915">
          <w:rPr>
            <w:webHidden/>
          </w:rPr>
          <w:fldChar w:fldCharType="separate"/>
        </w:r>
        <w:r>
          <w:rPr>
            <w:webHidden/>
          </w:rPr>
          <w:t>37</w:t>
        </w:r>
        <w:r w:rsidR="002B3915">
          <w:rPr>
            <w:webHidden/>
          </w:rPr>
          <w:fldChar w:fldCharType="end"/>
        </w:r>
      </w:hyperlink>
    </w:p>
    <w:p w14:paraId="6ACF8F3F" w14:textId="77777777" w:rsidR="002B3915" w:rsidRDefault="00AC4BE5">
      <w:pPr>
        <w:pStyle w:val="TableofFigures"/>
        <w:rPr>
          <w:rFonts w:asciiTheme="minorHAnsi" w:eastAsiaTheme="minorEastAsia" w:hAnsiTheme="minorHAnsi" w:cstheme="minorBidi"/>
        </w:rPr>
      </w:pPr>
      <w:hyperlink w:anchor="_Toc502833038" w:history="1">
        <w:r w:rsidR="002B3915" w:rsidRPr="000B2F83">
          <w:rPr>
            <w:rStyle w:val="Hyperlink"/>
          </w:rPr>
          <w:t>Table 20</w:t>
        </w:r>
        <w:r w:rsidR="002B3915">
          <w:rPr>
            <w:rFonts w:asciiTheme="minorHAnsi" w:eastAsiaTheme="minorEastAsia" w:hAnsiTheme="minorHAnsi" w:cstheme="minorBidi"/>
          </w:rPr>
          <w:tab/>
        </w:r>
        <w:r w:rsidR="002B3915" w:rsidRPr="000B2F83">
          <w:rPr>
            <w:rStyle w:val="Hyperlink"/>
          </w:rPr>
          <w:t>PICO criteria and research question for analytical validity of AMH testing in populations 4, 5 and 6</w:t>
        </w:r>
        <w:r w:rsidR="002B3915">
          <w:rPr>
            <w:webHidden/>
          </w:rPr>
          <w:tab/>
        </w:r>
        <w:r w:rsidR="002B3915">
          <w:rPr>
            <w:webHidden/>
          </w:rPr>
          <w:fldChar w:fldCharType="begin"/>
        </w:r>
        <w:r w:rsidR="002B3915">
          <w:rPr>
            <w:webHidden/>
          </w:rPr>
          <w:instrText xml:space="preserve"> PAGEREF _Toc502833038 \h </w:instrText>
        </w:r>
        <w:r w:rsidR="002B3915">
          <w:rPr>
            <w:webHidden/>
          </w:rPr>
        </w:r>
        <w:r w:rsidR="002B3915">
          <w:rPr>
            <w:webHidden/>
          </w:rPr>
          <w:fldChar w:fldCharType="separate"/>
        </w:r>
        <w:r>
          <w:rPr>
            <w:webHidden/>
          </w:rPr>
          <w:t>38</w:t>
        </w:r>
        <w:r w:rsidR="002B3915">
          <w:rPr>
            <w:webHidden/>
          </w:rPr>
          <w:fldChar w:fldCharType="end"/>
        </w:r>
      </w:hyperlink>
    </w:p>
    <w:p w14:paraId="37B75A59" w14:textId="77777777" w:rsidR="002B3915" w:rsidRDefault="00AC4BE5">
      <w:pPr>
        <w:pStyle w:val="TableofFigures"/>
        <w:rPr>
          <w:rFonts w:asciiTheme="minorHAnsi" w:eastAsiaTheme="minorEastAsia" w:hAnsiTheme="minorHAnsi" w:cstheme="minorBidi"/>
        </w:rPr>
      </w:pPr>
      <w:hyperlink w:anchor="_Toc502833039" w:history="1">
        <w:r w:rsidR="002B3915" w:rsidRPr="000B2F83">
          <w:rPr>
            <w:rStyle w:val="Hyperlink"/>
          </w:rPr>
          <w:t>Table 21</w:t>
        </w:r>
        <w:r w:rsidR="002B3915">
          <w:rPr>
            <w:rFonts w:asciiTheme="minorHAnsi" w:eastAsiaTheme="minorEastAsia" w:hAnsiTheme="minorHAnsi" w:cstheme="minorBidi"/>
          </w:rPr>
          <w:tab/>
        </w:r>
        <w:r w:rsidR="002B3915" w:rsidRPr="000B2F83">
          <w:rPr>
            <w:rStyle w:val="Hyperlink"/>
          </w:rPr>
          <w:t>PICO criteria and research question to determine the impact of the AMH test on patient management in population 4, 5 and 6</w:t>
        </w:r>
        <w:r w:rsidR="002B3915">
          <w:rPr>
            <w:webHidden/>
          </w:rPr>
          <w:tab/>
        </w:r>
        <w:r w:rsidR="002B3915">
          <w:rPr>
            <w:webHidden/>
          </w:rPr>
          <w:fldChar w:fldCharType="begin"/>
        </w:r>
        <w:r w:rsidR="002B3915">
          <w:rPr>
            <w:webHidden/>
          </w:rPr>
          <w:instrText xml:space="preserve"> PAGEREF _Toc502833039 \h </w:instrText>
        </w:r>
        <w:r w:rsidR="002B3915">
          <w:rPr>
            <w:webHidden/>
          </w:rPr>
        </w:r>
        <w:r w:rsidR="002B3915">
          <w:rPr>
            <w:webHidden/>
          </w:rPr>
          <w:fldChar w:fldCharType="separate"/>
        </w:r>
        <w:r>
          <w:rPr>
            <w:webHidden/>
          </w:rPr>
          <w:t>38</w:t>
        </w:r>
        <w:r w:rsidR="002B3915">
          <w:rPr>
            <w:webHidden/>
          </w:rPr>
          <w:fldChar w:fldCharType="end"/>
        </w:r>
      </w:hyperlink>
    </w:p>
    <w:p w14:paraId="1011E8EB" w14:textId="77777777" w:rsidR="002B3915" w:rsidRDefault="00AC4BE5">
      <w:pPr>
        <w:pStyle w:val="TableofFigures"/>
        <w:rPr>
          <w:rFonts w:asciiTheme="minorHAnsi" w:eastAsiaTheme="minorEastAsia" w:hAnsiTheme="minorHAnsi" w:cstheme="minorBidi"/>
        </w:rPr>
      </w:pPr>
      <w:hyperlink w:anchor="_Toc502833040" w:history="1">
        <w:r w:rsidR="002B3915" w:rsidRPr="000B2F83">
          <w:rPr>
            <w:rStyle w:val="Hyperlink"/>
          </w:rPr>
          <w:t>Table 22</w:t>
        </w:r>
        <w:r w:rsidR="002B3915">
          <w:rPr>
            <w:rFonts w:asciiTheme="minorHAnsi" w:eastAsiaTheme="minorEastAsia" w:hAnsiTheme="minorHAnsi" w:cstheme="minorBidi"/>
          </w:rPr>
          <w:tab/>
        </w:r>
        <w:r w:rsidR="002B3915" w:rsidRPr="000B2F83">
          <w:rPr>
            <w:rStyle w:val="Hyperlink"/>
          </w:rPr>
          <w:t>PICO criteria and research question to determine the effectiveness of change in management in population 1, 2 and 3</w:t>
        </w:r>
        <w:r w:rsidR="002B3915">
          <w:rPr>
            <w:webHidden/>
          </w:rPr>
          <w:tab/>
        </w:r>
        <w:r w:rsidR="002B3915">
          <w:rPr>
            <w:webHidden/>
          </w:rPr>
          <w:fldChar w:fldCharType="begin"/>
        </w:r>
        <w:r w:rsidR="002B3915">
          <w:rPr>
            <w:webHidden/>
          </w:rPr>
          <w:instrText xml:space="preserve"> PAGEREF _Toc502833040 \h </w:instrText>
        </w:r>
        <w:r w:rsidR="002B3915">
          <w:rPr>
            <w:webHidden/>
          </w:rPr>
        </w:r>
        <w:r w:rsidR="002B3915">
          <w:rPr>
            <w:webHidden/>
          </w:rPr>
          <w:fldChar w:fldCharType="separate"/>
        </w:r>
        <w:r>
          <w:rPr>
            <w:webHidden/>
          </w:rPr>
          <w:t>39</w:t>
        </w:r>
        <w:r w:rsidR="002B3915">
          <w:rPr>
            <w:webHidden/>
          </w:rPr>
          <w:fldChar w:fldCharType="end"/>
        </w:r>
      </w:hyperlink>
    </w:p>
    <w:p w14:paraId="1A213805" w14:textId="77777777" w:rsidR="002B3915" w:rsidRDefault="00AC4BE5">
      <w:pPr>
        <w:pStyle w:val="TableofFigures"/>
        <w:rPr>
          <w:rFonts w:asciiTheme="minorHAnsi" w:eastAsiaTheme="minorEastAsia" w:hAnsiTheme="minorHAnsi" w:cstheme="minorBidi"/>
        </w:rPr>
      </w:pPr>
      <w:hyperlink w:anchor="_Toc502833041" w:history="1">
        <w:r w:rsidR="002B3915" w:rsidRPr="000B2F83">
          <w:rPr>
            <w:rStyle w:val="Hyperlink"/>
          </w:rPr>
          <w:t>Table 23</w:t>
        </w:r>
        <w:r w:rsidR="002B3915">
          <w:rPr>
            <w:rFonts w:asciiTheme="minorHAnsi" w:eastAsiaTheme="minorEastAsia" w:hAnsiTheme="minorHAnsi" w:cstheme="minorBidi"/>
          </w:rPr>
          <w:tab/>
        </w:r>
        <w:r w:rsidR="002B3915" w:rsidRPr="000B2F83">
          <w:rPr>
            <w:rStyle w:val="Hyperlink"/>
          </w:rPr>
          <w:t>Key features of the included evidence comparing intervention with comparator against reference standard</w:t>
        </w:r>
        <w:r w:rsidR="002B3915">
          <w:rPr>
            <w:webHidden/>
          </w:rPr>
          <w:tab/>
        </w:r>
        <w:r w:rsidR="002B3915">
          <w:rPr>
            <w:webHidden/>
          </w:rPr>
          <w:fldChar w:fldCharType="begin"/>
        </w:r>
        <w:r w:rsidR="002B3915">
          <w:rPr>
            <w:webHidden/>
          </w:rPr>
          <w:instrText xml:space="preserve"> PAGEREF _Toc502833041 \h </w:instrText>
        </w:r>
        <w:r w:rsidR="002B3915">
          <w:rPr>
            <w:webHidden/>
          </w:rPr>
        </w:r>
        <w:r w:rsidR="002B3915">
          <w:rPr>
            <w:webHidden/>
          </w:rPr>
          <w:fldChar w:fldCharType="separate"/>
        </w:r>
        <w:r>
          <w:rPr>
            <w:webHidden/>
          </w:rPr>
          <w:t>47</w:t>
        </w:r>
        <w:r w:rsidR="002B3915">
          <w:rPr>
            <w:webHidden/>
          </w:rPr>
          <w:fldChar w:fldCharType="end"/>
        </w:r>
      </w:hyperlink>
    </w:p>
    <w:p w14:paraId="076ED796" w14:textId="77777777" w:rsidR="002B3915" w:rsidRDefault="00AC4BE5">
      <w:pPr>
        <w:pStyle w:val="TableofFigures"/>
        <w:rPr>
          <w:rFonts w:asciiTheme="minorHAnsi" w:eastAsiaTheme="minorEastAsia" w:hAnsiTheme="minorHAnsi" w:cstheme="minorBidi"/>
        </w:rPr>
      </w:pPr>
      <w:hyperlink w:anchor="_Toc502833042" w:history="1">
        <w:r w:rsidR="002B3915" w:rsidRPr="000B2F83">
          <w:rPr>
            <w:rStyle w:val="Hyperlink"/>
          </w:rPr>
          <w:t>Table 24</w:t>
        </w:r>
        <w:r w:rsidR="002B3915">
          <w:rPr>
            <w:rFonts w:asciiTheme="minorHAnsi" w:eastAsiaTheme="minorEastAsia" w:hAnsiTheme="minorHAnsi" w:cstheme="minorBidi"/>
          </w:rPr>
          <w:tab/>
        </w:r>
        <w:r w:rsidR="002B3915" w:rsidRPr="000B2F83">
          <w:rPr>
            <w:rStyle w:val="Hyperlink"/>
          </w:rPr>
          <w:t>Studies reporting on the correlation between the AMH test and other tests</w:t>
        </w:r>
        <w:r w:rsidR="002B3915">
          <w:rPr>
            <w:webHidden/>
          </w:rPr>
          <w:tab/>
        </w:r>
        <w:r w:rsidR="002B3915">
          <w:rPr>
            <w:webHidden/>
          </w:rPr>
          <w:fldChar w:fldCharType="begin"/>
        </w:r>
        <w:r w:rsidR="002B3915">
          <w:rPr>
            <w:webHidden/>
          </w:rPr>
          <w:instrText xml:space="preserve"> PAGEREF _Toc502833042 \h </w:instrText>
        </w:r>
        <w:r w:rsidR="002B3915">
          <w:rPr>
            <w:webHidden/>
          </w:rPr>
        </w:r>
        <w:r w:rsidR="002B3915">
          <w:rPr>
            <w:webHidden/>
          </w:rPr>
          <w:fldChar w:fldCharType="separate"/>
        </w:r>
        <w:r>
          <w:rPr>
            <w:webHidden/>
          </w:rPr>
          <w:t>48</w:t>
        </w:r>
        <w:r w:rsidR="002B3915">
          <w:rPr>
            <w:webHidden/>
          </w:rPr>
          <w:fldChar w:fldCharType="end"/>
        </w:r>
      </w:hyperlink>
    </w:p>
    <w:p w14:paraId="425138B5" w14:textId="77777777" w:rsidR="002B3915" w:rsidRDefault="00AC4BE5">
      <w:pPr>
        <w:pStyle w:val="TableofFigures"/>
        <w:rPr>
          <w:rFonts w:asciiTheme="minorHAnsi" w:eastAsiaTheme="minorEastAsia" w:hAnsiTheme="minorHAnsi" w:cstheme="minorBidi"/>
        </w:rPr>
      </w:pPr>
      <w:hyperlink w:anchor="_Toc502833043" w:history="1">
        <w:r w:rsidR="002B3915" w:rsidRPr="000B2F83">
          <w:rPr>
            <w:rStyle w:val="Hyperlink"/>
          </w:rPr>
          <w:t>Table 25</w:t>
        </w:r>
        <w:r w:rsidR="002B3915">
          <w:rPr>
            <w:rFonts w:asciiTheme="minorHAnsi" w:eastAsiaTheme="minorEastAsia" w:hAnsiTheme="minorHAnsi" w:cstheme="minorBidi"/>
          </w:rPr>
          <w:tab/>
        </w:r>
        <w:r w:rsidR="002B3915" w:rsidRPr="000B2F83">
          <w:rPr>
            <w:rStyle w:val="Hyperlink"/>
          </w:rPr>
          <w:t>Modified QUADAS-2 risk of bias results for analytical validity and concordance studies</w:t>
        </w:r>
        <w:r w:rsidR="002B3915">
          <w:rPr>
            <w:webHidden/>
          </w:rPr>
          <w:tab/>
        </w:r>
        <w:r w:rsidR="002B3915">
          <w:rPr>
            <w:webHidden/>
          </w:rPr>
          <w:fldChar w:fldCharType="begin"/>
        </w:r>
        <w:r w:rsidR="002B3915">
          <w:rPr>
            <w:webHidden/>
          </w:rPr>
          <w:instrText xml:space="preserve"> PAGEREF _Toc502833043 \h </w:instrText>
        </w:r>
        <w:r w:rsidR="002B3915">
          <w:rPr>
            <w:webHidden/>
          </w:rPr>
        </w:r>
        <w:r w:rsidR="002B3915">
          <w:rPr>
            <w:webHidden/>
          </w:rPr>
          <w:fldChar w:fldCharType="separate"/>
        </w:r>
        <w:r>
          <w:rPr>
            <w:webHidden/>
          </w:rPr>
          <w:t>48</w:t>
        </w:r>
        <w:r w:rsidR="002B3915">
          <w:rPr>
            <w:webHidden/>
          </w:rPr>
          <w:fldChar w:fldCharType="end"/>
        </w:r>
      </w:hyperlink>
    </w:p>
    <w:p w14:paraId="40F95FD4" w14:textId="77777777" w:rsidR="002B3915" w:rsidRDefault="00AC4BE5">
      <w:pPr>
        <w:pStyle w:val="TableofFigures"/>
        <w:rPr>
          <w:rFonts w:asciiTheme="minorHAnsi" w:eastAsiaTheme="minorEastAsia" w:hAnsiTheme="minorHAnsi" w:cstheme="minorBidi"/>
        </w:rPr>
      </w:pPr>
      <w:hyperlink w:anchor="_Toc502833044" w:history="1">
        <w:r w:rsidR="002B3915" w:rsidRPr="000B2F83">
          <w:rPr>
            <w:rStyle w:val="Hyperlink"/>
          </w:rPr>
          <w:t>Table 26</w:t>
        </w:r>
        <w:r w:rsidR="002B3915">
          <w:rPr>
            <w:rFonts w:asciiTheme="minorHAnsi" w:eastAsiaTheme="minorEastAsia" w:hAnsiTheme="minorHAnsi" w:cstheme="minorBidi"/>
          </w:rPr>
          <w:tab/>
        </w:r>
        <w:r w:rsidR="002B3915" w:rsidRPr="000B2F83">
          <w:rPr>
            <w:rStyle w:val="Hyperlink"/>
          </w:rPr>
          <w:t>Modified QUADAS-2 risk of bias results for studies reporting correlations between AMH and other tests</w:t>
        </w:r>
        <w:r w:rsidR="002B3915">
          <w:rPr>
            <w:webHidden/>
          </w:rPr>
          <w:tab/>
        </w:r>
        <w:r w:rsidR="002B3915">
          <w:rPr>
            <w:webHidden/>
          </w:rPr>
          <w:fldChar w:fldCharType="begin"/>
        </w:r>
        <w:r w:rsidR="002B3915">
          <w:rPr>
            <w:webHidden/>
          </w:rPr>
          <w:instrText xml:space="preserve"> PAGEREF _Toc502833044 \h </w:instrText>
        </w:r>
        <w:r w:rsidR="002B3915">
          <w:rPr>
            <w:webHidden/>
          </w:rPr>
        </w:r>
        <w:r w:rsidR="002B3915">
          <w:rPr>
            <w:webHidden/>
          </w:rPr>
          <w:fldChar w:fldCharType="separate"/>
        </w:r>
        <w:r>
          <w:rPr>
            <w:webHidden/>
          </w:rPr>
          <w:t>49</w:t>
        </w:r>
        <w:r w:rsidR="002B3915">
          <w:rPr>
            <w:webHidden/>
          </w:rPr>
          <w:fldChar w:fldCharType="end"/>
        </w:r>
      </w:hyperlink>
    </w:p>
    <w:p w14:paraId="39DE2D52" w14:textId="77777777" w:rsidR="002B3915" w:rsidRDefault="00AC4BE5">
      <w:pPr>
        <w:pStyle w:val="TableofFigures"/>
        <w:rPr>
          <w:rFonts w:asciiTheme="minorHAnsi" w:eastAsiaTheme="minorEastAsia" w:hAnsiTheme="minorHAnsi" w:cstheme="minorBidi"/>
        </w:rPr>
      </w:pPr>
      <w:hyperlink w:anchor="_Toc502833045" w:history="1">
        <w:r w:rsidR="002B3915" w:rsidRPr="000B2F83">
          <w:rPr>
            <w:rStyle w:val="Hyperlink"/>
          </w:rPr>
          <w:t>Table 27</w:t>
        </w:r>
        <w:r w:rsidR="002B3915">
          <w:rPr>
            <w:rFonts w:asciiTheme="minorHAnsi" w:eastAsiaTheme="minorEastAsia" w:hAnsiTheme="minorHAnsi" w:cstheme="minorBidi"/>
          </w:rPr>
          <w:tab/>
        </w:r>
        <w:r w:rsidR="002B3915" w:rsidRPr="000B2F83">
          <w:rPr>
            <w:rStyle w:val="Hyperlink"/>
          </w:rPr>
          <w:t>Modified QUADAS-2 risk of bias results for studies reporting the correlation between different AMH tests</w:t>
        </w:r>
        <w:r w:rsidR="002B3915">
          <w:rPr>
            <w:webHidden/>
          </w:rPr>
          <w:tab/>
        </w:r>
        <w:r w:rsidR="002B3915">
          <w:rPr>
            <w:webHidden/>
          </w:rPr>
          <w:fldChar w:fldCharType="begin"/>
        </w:r>
        <w:r w:rsidR="002B3915">
          <w:rPr>
            <w:webHidden/>
          </w:rPr>
          <w:instrText xml:space="preserve"> PAGEREF _Toc502833045 \h </w:instrText>
        </w:r>
        <w:r w:rsidR="002B3915">
          <w:rPr>
            <w:webHidden/>
          </w:rPr>
        </w:r>
        <w:r w:rsidR="002B3915">
          <w:rPr>
            <w:webHidden/>
          </w:rPr>
          <w:fldChar w:fldCharType="separate"/>
        </w:r>
        <w:r>
          <w:rPr>
            <w:webHidden/>
          </w:rPr>
          <w:t>49</w:t>
        </w:r>
        <w:r w:rsidR="002B3915">
          <w:rPr>
            <w:webHidden/>
          </w:rPr>
          <w:fldChar w:fldCharType="end"/>
        </w:r>
      </w:hyperlink>
    </w:p>
    <w:p w14:paraId="1B7D6C72" w14:textId="77777777" w:rsidR="002B3915" w:rsidRDefault="00AC4BE5">
      <w:pPr>
        <w:pStyle w:val="TableofFigures"/>
        <w:rPr>
          <w:rFonts w:asciiTheme="minorHAnsi" w:eastAsiaTheme="minorEastAsia" w:hAnsiTheme="minorHAnsi" w:cstheme="minorBidi"/>
        </w:rPr>
      </w:pPr>
      <w:hyperlink w:anchor="_Toc502833046" w:history="1">
        <w:r w:rsidR="002B3915" w:rsidRPr="000B2F83">
          <w:rPr>
            <w:rStyle w:val="Hyperlink"/>
          </w:rPr>
          <w:t>Table 28</w:t>
        </w:r>
        <w:r w:rsidR="002B3915">
          <w:rPr>
            <w:rFonts w:asciiTheme="minorHAnsi" w:eastAsiaTheme="minorEastAsia" w:hAnsiTheme="minorHAnsi" w:cstheme="minorBidi"/>
          </w:rPr>
          <w:tab/>
        </w:r>
        <w:r w:rsidR="002B3915" w:rsidRPr="000B2F83">
          <w:rPr>
            <w:rStyle w:val="Hyperlink"/>
          </w:rPr>
          <w:t>Summary of the AMH tests used in the included studies</w:t>
        </w:r>
        <w:r w:rsidR="002B3915">
          <w:rPr>
            <w:webHidden/>
          </w:rPr>
          <w:tab/>
        </w:r>
        <w:r w:rsidR="002B3915">
          <w:rPr>
            <w:webHidden/>
          </w:rPr>
          <w:fldChar w:fldCharType="begin"/>
        </w:r>
        <w:r w:rsidR="002B3915">
          <w:rPr>
            <w:webHidden/>
          </w:rPr>
          <w:instrText xml:space="preserve"> PAGEREF _Toc502833046 \h </w:instrText>
        </w:r>
        <w:r w:rsidR="002B3915">
          <w:rPr>
            <w:webHidden/>
          </w:rPr>
        </w:r>
        <w:r w:rsidR="002B3915">
          <w:rPr>
            <w:webHidden/>
          </w:rPr>
          <w:fldChar w:fldCharType="separate"/>
        </w:r>
        <w:r>
          <w:rPr>
            <w:webHidden/>
          </w:rPr>
          <w:t>50</w:t>
        </w:r>
        <w:r w:rsidR="002B3915">
          <w:rPr>
            <w:webHidden/>
          </w:rPr>
          <w:fldChar w:fldCharType="end"/>
        </w:r>
      </w:hyperlink>
    </w:p>
    <w:p w14:paraId="35B61A18" w14:textId="77777777" w:rsidR="002B3915" w:rsidRDefault="00AC4BE5">
      <w:pPr>
        <w:pStyle w:val="TableofFigures"/>
        <w:rPr>
          <w:rFonts w:asciiTheme="minorHAnsi" w:eastAsiaTheme="minorEastAsia" w:hAnsiTheme="minorHAnsi" w:cstheme="minorBidi"/>
        </w:rPr>
      </w:pPr>
      <w:hyperlink w:anchor="_Toc502833047" w:history="1">
        <w:r w:rsidR="002B3915" w:rsidRPr="000B2F83">
          <w:rPr>
            <w:rStyle w:val="Hyperlink"/>
          </w:rPr>
          <w:t>Table 29</w:t>
        </w:r>
        <w:r w:rsidR="002B3915">
          <w:rPr>
            <w:rFonts w:asciiTheme="minorHAnsi" w:eastAsiaTheme="minorEastAsia" w:hAnsiTheme="minorHAnsi" w:cstheme="minorBidi"/>
          </w:rPr>
          <w:tab/>
        </w:r>
        <w:r w:rsidR="002B3915" w:rsidRPr="000B2F83">
          <w:rPr>
            <w:rStyle w:val="Hyperlink"/>
          </w:rPr>
          <w:t>Analytical validity data extraction</w:t>
        </w:r>
        <w:r w:rsidR="002B3915">
          <w:rPr>
            <w:webHidden/>
          </w:rPr>
          <w:tab/>
        </w:r>
        <w:r w:rsidR="002B3915">
          <w:rPr>
            <w:webHidden/>
          </w:rPr>
          <w:fldChar w:fldCharType="begin"/>
        </w:r>
        <w:r w:rsidR="002B3915">
          <w:rPr>
            <w:webHidden/>
          </w:rPr>
          <w:instrText xml:space="preserve"> PAGEREF _Toc502833047 \h </w:instrText>
        </w:r>
        <w:r w:rsidR="002B3915">
          <w:rPr>
            <w:webHidden/>
          </w:rPr>
        </w:r>
        <w:r w:rsidR="002B3915">
          <w:rPr>
            <w:webHidden/>
          </w:rPr>
          <w:fldChar w:fldCharType="separate"/>
        </w:r>
        <w:r>
          <w:rPr>
            <w:webHidden/>
          </w:rPr>
          <w:t>51</w:t>
        </w:r>
        <w:r w:rsidR="002B3915">
          <w:rPr>
            <w:webHidden/>
          </w:rPr>
          <w:fldChar w:fldCharType="end"/>
        </w:r>
      </w:hyperlink>
    </w:p>
    <w:p w14:paraId="2613EBE7" w14:textId="77777777" w:rsidR="002B3915" w:rsidRDefault="00AC4BE5">
      <w:pPr>
        <w:pStyle w:val="TableofFigures"/>
        <w:rPr>
          <w:rFonts w:asciiTheme="minorHAnsi" w:eastAsiaTheme="minorEastAsia" w:hAnsiTheme="minorHAnsi" w:cstheme="minorBidi"/>
        </w:rPr>
      </w:pPr>
      <w:hyperlink w:anchor="_Toc502833048" w:history="1">
        <w:r w:rsidR="002B3915" w:rsidRPr="000B2F83">
          <w:rPr>
            <w:rStyle w:val="Hyperlink"/>
          </w:rPr>
          <w:t>Table 30</w:t>
        </w:r>
        <w:r w:rsidR="002B3915">
          <w:rPr>
            <w:rFonts w:asciiTheme="minorHAnsi" w:eastAsiaTheme="minorEastAsia" w:hAnsiTheme="minorHAnsi" w:cstheme="minorBidi"/>
          </w:rPr>
          <w:tab/>
        </w:r>
        <w:r w:rsidR="002B3915" w:rsidRPr="000B2F83">
          <w:rPr>
            <w:rStyle w:val="Hyperlink"/>
          </w:rPr>
          <w:t>Concordance data extraction</w:t>
        </w:r>
        <w:r w:rsidR="002B3915">
          <w:rPr>
            <w:webHidden/>
          </w:rPr>
          <w:tab/>
        </w:r>
        <w:r w:rsidR="002B3915">
          <w:rPr>
            <w:webHidden/>
          </w:rPr>
          <w:fldChar w:fldCharType="begin"/>
        </w:r>
        <w:r w:rsidR="002B3915">
          <w:rPr>
            <w:webHidden/>
          </w:rPr>
          <w:instrText xml:space="preserve"> PAGEREF _Toc502833048 \h </w:instrText>
        </w:r>
        <w:r w:rsidR="002B3915">
          <w:rPr>
            <w:webHidden/>
          </w:rPr>
        </w:r>
        <w:r w:rsidR="002B3915">
          <w:rPr>
            <w:webHidden/>
          </w:rPr>
          <w:fldChar w:fldCharType="separate"/>
        </w:r>
        <w:r>
          <w:rPr>
            <w:webHidden/>
          </w:rPr>
          <w:t>52</w:t>
        </w:r>
        <w:r w:rsidR="002B3915">
          <w:rPr>
            <w:webHidden/>
          </w:rPr>
          <w:fldChar w:fldCharType="end"/>
        </w:r>
      </w:hyperlink>
    </w:p>
    <w:p w14:paraId="654DC6F2" w14:textId="77777777" w:rsidR="002B3915" w:rsidRDefault="00AC4BE5">
      <w:pPr>
        <w:pStyle w:val="TableofFigures"/>
        <w:rPr>
          <w:rFonts w:asciiTheme="minorHAnsi" w:eastAsiaTheme="minorEastAsia" w:hAnsiTheme="minorHAnsi" w:cstheme="minorBidi"/>
        </w:rPr>
      </w:pPr>
      <w:hyperlink w:anchor="_Toc502833049" w:history="1">
        <w:r w:rsidR="002B3915" w:rsidRPr="000B2F83">
          <w:rPr>
            <w:rStyle w:val="Hyperlink"/>
          </w:rPr>
          <w:t>Table 31</w:t>
        </w:r>
        <w:r w:rsidR="002B3915">
          <w:rPr>
            <w:rFonts w:asciiTheme="minorHAnsi" w:eastAsiaTheme="minorEastAsia" w:hAnsiTheme="minorHAnsi" w:cstheme="minorBidi"/>
          </w:rPr>
          <w:tab/>
        </w:r>
        <w:r w:rsidR="002B3915" w:rsidRPr="000B2F83">
          <w:rPr>
            <w:rStyle w:val="Hyperlink"/>
          </w:rPr>
          <w:t>Analytical validity</w:t>
        </w:r>
        <w:r w:rsidR="002B3915" w:rsidRPr="000B2F83">
          <w:rPr>
            <w:rStyle w:val="Hyperlink"/>
            <w:snapToGrid w:val="0"/>
            <w:lang w:eastAsia="en-US"/>
          </w:rPr>
          <w:t xml:space="preserve"> of the EIA AMH/MIS assay and pico-AMH ELISA against the clinical reference standard of resumption of menses</w:t>
        </w:r>
        <w:r w:rsidR="002B3915">
          <w:rPr>
            <w:webHidden/>
          </w:rPr>
          <w:tab/>
        </w:r>
        <w:r w:rsidR="002B3915">
          <w:rPr>
            <w:webHidden/>
          </w:rPr>
          <w:fldChar w:fldCharType="begin"/>
        </w:r>
        <w:r w:rsidR="002B3915">
          <w:rPr>
            <w:webHidden/>
          </w:rPr>
          <w:instrText xml:space="preserve"> PAGEREF _Toc502833049 \h </w:instrText>
        </w:r>
        <w:r w:rsidR="002B3915">
          <w:rPr>
            <w:webHidden/>
          </w:rPr>
        </w:r>
        <w:r w:rsidR="002B3915">
          <w:rPr>
            <w:webHidden/>
          </w:rPr>
          <w:fldChar w:fldCharType="separate"/>
        </w:r>
        <w:r>
          <w:rPr>
            <w:webHidden/>
          </w:rPr>
          <w:t>54</w:t>
        </w:r>
        <w:r w:rsidR="002B3915">
          <w:rPr>
            <w:webHidden/>
          </w:rPr>
          <w:fldChar w:fldCharType="end"/>
        </w:r>
      </w:hyperlink>
    </w:p>
    <w:p w14:paraId="73D61D6F" w14:textId="77777777" w:rsidR="002B3915" w:rsidRDefault="00AC4BE5">
      <w:pPr>
        <w:pStyle w:val="TableofFigures"/>
        <w:rPr>
          <w:rFonts w:asciiTheme="minorHAnsi" w:eastAsiaTheme="minorEastAsia" w:hAnsiTheme="minorHAnsi" w:cstheme="minorBidi"/>
        </w:rPr>
      </w:pPr>
      <w:hyperlink w:anchor="_Toc502833050" w:history="1">
        <w:r w:rsidR="002B3915" w:rsidRPr="000B2F83">
          <w:rPr>
            <w:rStyle w:val="Hyperlink"/>
          </w:rPr>
          <w:t>Table 32</w:t>
        </w:r>
        <w:r w:rsidR="002B3915">
          <w:rPr>
            <w:rFonts w:asciiTheme="minorHAnsi" w:eastAsiaTheme="minorEastAsia" w:hAnsiTheme="minorHAnsi" w:cstheme="minorBidi"/>
          </w:rPr>
          <w:tab/>
        </w:r>
        <w:r w:rsidR="002B3915" w:rsidRPr="000B2F83">
          <w:rPr>
            <w:rStyle w:val="Hyperlink"/>
          </w:rPr>
          <w:t>AUC values from ROC analysis conducted by Su et al. (2011)</w:t>
        </w:r>
        <w:r w:rsidR="002B3915">
          <w:rPr>
            <w:webHidden/>
          </w:rPr>
          <w:tab/>
        </w:r>
        <w:r w:rsidR="002B3915">
          <w:rPr>
            <w:webHidden/>
          </w:rPr>
          <w:fldChar w:fldCharType="begin"/>
        </w:r>
        <w:r w:rsidR="002B3915">
          <w:rPr>
            <w:webHidden/>
          </w:rPr>
          <w:instrText xml:space="preserve"> PAGEREF _Toc502833050 \h </w:instrText>
        </w:r>
        <w:r w:rsidR="002B3915">
          <w:rPr>
            <w:webHidden/>
          </w:rPr>
        </w:r>
        <w:r w:rsidR="002B3915">
          <w:rPr>
            <w:webHidden/>
          </w:rPr>
          <w:fldChar w:fldCharType="separate"/>
        </w:r>
        <w:r>
          <w:rPr>
            <w:webHidden/>
          </w:rPr>
          <w:t>55</w:t>
        </w:r>
        <w:r w:rsidR="002B3915">
          <w:rPr>
            <w:webHidden/>
          </w:rPr>
          <w:fldChar w:fldCharType="end"/>
        </w:r>
      </w:hyperlink>
    </w:p>
    <w:p w14:paraId="78341E43" w14:textId="77777777" w:rsidR="002B3915" w:rsidRDefault="00AC4BE5">
      <w:pPr>
        <w:pStyle w:val="TableofFigures"/>
        <w:rPr>
          <w:rFonts w:asciiTheme="minorHAnsi" w:eastAsiaTheme="minorEastAsia" w:hAnsiTheme="minorHAnsi" w:cstheme="minorBidi"/>
        </w:rPr>
      </w:pPr>
      <w:hyperlink w:anchor="_Toc502833051" w:history="1">
        <w:r w:rsidR="002B3915" w:rsidRPr="000B2F83">
          <w:rPr>
            <w:rStyle w:val="Hyperlink"/>
          </w:rPr>
          <w:t>Table 33</w:t>
        </w:r>
        <w:r w:rsidR="002B3915">
          <w:rPr>
            <w:rFonts w:asciiTheme="minorHAnsi" w:eastAsiaTheme="minorEastAsia" w:hAnsiTheme="minorHAnsi" w:cstheme="minorBidi"/>
          </w:rPr>
          <w:tab/>
        </w:r>
        <w:r w:rsidR="002B3915" w:rsidRPr="000B2F83">
          <w:rPr>
            <w:rStyle w:val="Hyperlink"/>
          </w:rPr>
          <w:t>Analytical validity of ovarian reserve markers using thresholds determined by ROC curve analysis</w:t>
        </w:r>
        <w:r w:rsidR="002B3915">
          <w:rPr>
            <w:webHidden/>
          </w:rPr>
          <w:tab/>
        </w:r>
        <w:r w:rsidR="002B3915">
          <w:rPr>
            <w:webHidden/>
          </w:rPr>
          <w:fldChar w:fldCharType="begin"/>
        </w:r>
        <w:r w:rsidR="002B3915">
          <w:rPr>
            <w:webHidden/>
          </w:rPr>
          <w:instrText xml:space="preserve"> PAGEREF _Toc502833051 \h </w:instrText>
        </w:r>
        <w:r w:rsidR="002B3915">
          <w:rPr>
            <w:webHidden/>
          </w:rPr>
        </w:r>
        <w:r w:rsidR="002B3915">
          <w:rPr>
            <w:webHidden/>
          </w:rPr>
          <w:fldChar w:fldCharType="separate"/>
        </w:r>
        <w:r>
          <w:rPr>
            <w:webHidden/>
          </w:rPr>
          <w:t>55</w:t>
        </w:r>
        <w:r w:rsidR="002B3915">
          <w:rPr>
            <w:webHidden/>
          </w:rPr>
          <w:fldChar w:fldCharType="end"/>
        </w:r>
      </w:hyperlink>
    </w:p>
    <w:p w14:paraId="0279E2C2" w14:textId="77777777" w:rsidR="002B3915" w:rsidRDefault="00AC4BE5">
      <w:pPr>
        <w:pStyle w:val="TableofFigures"/>
        <w:rPr>
          <w:rFonts w:asciiTheme="minorHAnsi" w:eastAsiaTheme="minorEastAsia" w:hAnsiTheme="minorHAnsi" w:cstheme="minorBidi"/>
        </w:rPr>
      </w:pPr>
      <w:hyperlink w:anchor="_Toc502833052" w:history="1">
        <w:r w:rsidR="002B3915" w:rsidRPr="000B2F83">
          <w:rPr>
            <w:rStyle w:val="Hyperlink"/>
          </w:rPr>
          <w:t>Table 34</w:t>
        </w:r>
        <w:r w:rsidR="002B3915">
          <w:rPr>
            <w:rFonts w:asciiTheme="minorHAnsi" w:eastAsiaTheme="minorEastAsia" w:hAnsiTheme="minorHAnsi" w:cstheme="minorBidi"/>
          </w:rPr>
          <w:tab/>
        </w:r>
        <w:r w:rsidR="002B3915" w:rsidRPr="000B2F83">
          <w:rPr>
            <w:rStyle w:val="Hyperlink"/>
          </w:rPr>
          <w:t xml:space="preserve">Spearman’s rank </w:t>
        </w:r>
        <w:r w:rsidR="002B3915" w:rsidRPr="000B2F83">
          <w:rPr>
            <w:rStyle w:val="Hyperlink"/>
            <w:lang w:eastAsia="en-US"/>
          </w:rPr>
          <w:t>correlation between two AMH assays</w:t>
        </w:r>
        <w:r w:rsidR="002B3915">
          <w:rPr>
            <w:webHidden/>
          </w:rPr>
          <w:tab/>
        </w:r>
        <w:r w:rsidR="002B3915">
          <w:rPr>
            <w:webHidden/>
          </w:rPr>
          <w:fldChar w:fldCharType="begin"/>
        </w:r>
        <w:r w:rsidR="002B3915">
          <w:rPr>
            <w:webHidden/>
          </w:rPr>
          <w:instrText xml:space="preserve"> PAGEREF _Toc502833052 \h </w:instrText>
        </w:r>
        <w:r w:rsidR="002B3915">
          <w:rPr>
            <w:webHidden/>
          </w:rPr>
        </w:r>
        <w:r w:rsidR="002B3915">
          <w:rPr>
            <w:webHidden/>
          </w:rPr>
          <w:fldChar w:fldCharType="separate"/>
        </w:r>
        <w:r>
          <w:rPr>
            <w:webHidden/>
          </w:rPr>
          <w:t>56</w:t>
        </w:r>
        <w:r w:rsidR="002B3915">
          <w:rPr>
            <w:webHidden/>
          </w:rPr>
          <w:fldChar w:fldCharType="end"/>
        </w:r>
      </w:hyperlink>
    </w:p>
    <w:p w14:paraId="18FCEE0B" w14:textId="77777777" w:rsidR="002B3915" w:rsidRDefault="00AC4BE5">
      <w:pPr>
        <w:pStyle w:val="TableofFigures"/>
        <w:rPr>
          <w:rFonts w:asciiTheme="minorHAnsi" w:eastAsiaTheme="minorEastAsia" w:hAnsiTheme="minorHAnsi" w:cstheme="minorBidi"/>
        </w:rPr>
      </w:pPr>
      <w:hyperlink w:anchor="_Toc502833053" w:history="1">
        <w:r w:rsidR="002B3915" w:rsidRPr="000B2F83">
          <w:rPr>
            <w:rStyle w:val="Hyperlink"/>
          </w:rPr>
          <w:t>Table 35</w:t>
        </w:r>
        <w:r w:rsidR="002B3915">
          <w:rPr>
            <w:rFonts w:asciiTheme="minorHAnsi" w:eastAsiaTheme="minorEastAsia" w:hAnsiTheme="minorHAnsi" w:cstheme="minorBidi"/>
          </w:rPr>
          <w:tab/>
        </w:r>
        <w:r w:rsidR="002B3915" w:rsidRPr="000B2F83">
          <w:rPr>
            <w:rStyle w:val="Hyperlink"/>
          </w:rPr>
          <w:t>2 × 2 concordance data from Miyoshi at al. (2013)</w:t>
        </w:r>
        <w:r w:rsidR="002B3915">
          <w:rPr>
            <w:webHidden/>
          </w:rPr>
          <w:tab/>
        </w:r>
        <w:r w:rsidR="002B3915">
          <w:rPr>
            <w:webHidden/>
          </w:rPr>
          <w:fldChar w:fldCharType="begin"/>
        </w:r>
        <w:r w:rsidR="002B3915">
          <w:rPr>
            <w:webHidden/>
          </w:rPr>
          <w:instrText xml:space="preserve"> PAGEREF _Toc502833053 \h </w:instrText>
        </w:r>
        <w:r w:rsidR="002B3915">
          <w:rPr>
            <w:webHidden/>
          </w:rPr>
        </w:r>
        <w:r w:rsidR="002B3915">
          <w:rPr>
            <w:webHidden/>
          </w:rPr>
          <w:fldChar w:fldCharType="separate"/>
        </w:r>
        <w:r>
          <w:rPr>
            <w:webHidden/>
          </w:rPr>
          <w:t>57</w:t>
        </w:r>
        <w:r w:rsidR="002B3915">
          <w:rPr>
            <w:webHidden/>
          </w:rPr>
          <w:fldChar w:fldCharType="end"/>
        </w:r>
      </w:hyperlink>
    </w:p>
    <w:p w14:paraId="3A44CD01" w14:textId="77777777" w:rsidR="002B3915" w:rsidRDefault="00AC4BE5">
      <w:pPr>
        <w:pStyle w:val="TableofFigures"/>
        <w:rPr>
          <w:rFonts w:asciiTheme="minorHAnsi" w:eastAsiaTheme="minorEastAsia" w:hAnsiTheme="minorHAnsi" w:cstheme="minorBidi"/>
        </w:rPr>
      </w:pPr>
      <w:hyperlink w:anchor="_Toc502833054" w:history="1">
        <w:r w:rsidR="002B3915" w:rsidRPr="000B2F83">
          <w:rPr>
            <w:rStyle w:val="Hyperlink"/>
          </w:rPr>
          <w:t>Table 36</w:t>
        </w:r>
        <w:r w:rsidR="002B3915">
          <w:rPr>
            <w:rFonts w:asciiTheme="minorHAnsi" w:eastAsiaTheme="minorEastAsia" w:hAnsiTheme="minorHAnsi" w:cstheme="minorBidi"/>
          </w:rPr>
          <w:tab/>
        </w:r>
        <w:r w:rsidR="002B3915" w:rsidRPr="000B2F83">
          <w:rPr>
            <w:rStyle w:val="Hyperlink"/>
          </w:rPr>
          <w:t>Summary of the correlation between the AMH test and other tests used to determine ovarian function</w:t>
        </w:r>
        <w:r w:rsidR="002B3915">
          <w:rPr>
            <w:webHidden/>
          </w:rPr>
          <w:tab/>
        </w:r>
        <w:r w:rsidR="002B3915">
          <w:rPr>
            <w:webHidden/>
          </w:rPr>
          <w:fldChar w:fldCharType="begin"/>
        </w:r>
        <w:r w:rsidR="002B3915">
          <w:rPr>
            <w:webHidden/>
          </w:rPr>
          <w:instrText xml:space="preserve"> PAGEREF _Toc502833054 \h </w:instrText>
        </w:r>
        <w:r w:rsidR="002B3915">
          <w:rPr>
            <w:webHidden/>
          </w:rPr>
        </w:r>
        <w:r w:rsidR="002B3915">
          <w:rPr>
            <w:webHidden/>
          </w:rPr>
          <w:fldChar w:fldCharType="separate"/>
        </w:r>
        <w:r>
          <w:rPr>
            <w:webHidden/>
          </w:rPr>
          <w:t>57</w:t>
        </w:r>
        <w:r w:rsidR="002B3915">
          <w:rPr>
            <w:webHidden/>
          </w:rPr>
          <w:fldChar w:fldCharType="end"/>
        </w:r>
      </w:hyperlink>
    </w:p>
    <w:p w14:paraId="7C7961E5" w14:textId="77777777" w:rsidR="002B3915" w:rsidRDefault="00AC4BE5">
      <w:pPr>
        <w:pStyle w:val="TableofFigures"/>
        <w:rPr>
          <w:rFonts w:asciiTheme="minorHAnsi" w:eastAsiaTheme="minorEastAsia" w:hAnsiTheme="minorHAnsi" w:cstheme="minorBidi"/>
        </w:rPr>
      </w:pPr>
      <w:hyperlink w:anchor="_Toc502833055" w:history="1">
        <w:r w:rsidR="002B3915" w:rsidRPr="000B2F83">
          <w:rPr>
            <w:rStyle w:val="Hyperlink"/>
          </w:rPr>
          <w:t>Table 37</w:t>
        </w:r>
        <w:r w:rsidR="002B3915">
          <w:rPr>
            <w:rFonts w:asciiTheme="minorHAnsi" w:eastAsiaTheme="minorEastAsia" w:hAnsiTheme="minorHAnsi" w:cstheme="minorBidi"/>
          </w:rPr>
          <w:tab/>
        </w:r>
        <w:r w:rsidR="002B3915" w:rsidRPr="000B2F83">
          <w:rPr>
            <w:rStyle w:val="Hyperlink"/>
          </w:rPr>
          <w:t>Modified QUADAS-2 risk of bias results for clinical validity studies</w:t>
        </w:r>
        <w:r w:rsidR="002B3915">
          <w:rPr>
            <w:webHidden/>
          </w:rPr>
          <w:tab/>
        </w:r>
        <w:r w:rsidR="002B3915">
          <w:rPr>
            <w:webHidden/>
          </w:rPr>
          <w:fldChar w:fldCharType="begin"/>
        </w:r>
        <w:r w:rsidR="002B3915">
          <w:rPr>
            <w:webHidden/>
          </w:rPr>
          <w:instrText xml:space="preserve"> PAGEREF _Toc502833055 \h </w:instrText>
        </w:r>
        <w:r w:rsidR="002B3915">
          <w:rPr>
            <w:webHidden/>
          </w:rPr>
        </w:r>
        <w:r w:rsidR="002B3915">
          <w:rPr>
            <w:webHidden/>
          </w:rPr>
          <w:fldChar w:fldCharType="separate"/>
        </w:r>
        <w:r>
          <w:rPr>
            <w:webHidden/>
          </w:rPr>
          <w:t>63</w:t>
        </w:r>
        <w:r w:rsidR="002B3915">
          <w:rPr>
            <w:webHidden/>
          </w:rPr>
          <w:fldChar w:fldCharType="end"/>
        </w:r>
      </w:hyperlink>
    </w:p>
    <w:p w14:paraId="57AD99C8" w14:textId="77777777" w:rsidR="002B3915" w:rsidRDefault="00AC4BE5">
      <w:pPr>
        <w:pStyle w:val="TableofFigures"/>
        <w:rPr>
          <w:rFonts w:asciiTheme="minorHAnsi" w:eastAsiaTheme="minorEastAsia" w:hAnsiTheme="minorHAnsi" w:cstheme="minorBidi"/>
        </w:rPr>
      </w:pPr>
      <w:hyperlink w:anchor="_Toc502833056" w:history="1">
        <w:r w:rsidR="002B3915" w:rsidRPr="000B2F83">
          <w:rPr>
            <w:rStyle w:val="Hyperlink"/>
          </w:rPr>
          <w:t>Table 38</w:t>
        </w:r>
        <w:r w:rsidR="002B3915">
          <w:rPr>
            <w:rFonts w:asciiTheme="minorHAnsi" w:eastAsiaTheme="minorEastAsia" w:hAnsiTheme="minorHAnsi" w:cstheme="minorBidi"/>
          </w:rPr>
          <w:tab/>
        </w:r>
        <w:r w:rsidR="002B3915" w:rsidRPr="000B2F83">
          <w:rPr>
            <w:rStyle w:val="Hyperlink"/>
            <w:snapToGrid w:val="0"/>
            <w:lang w:eastAsia="en-US"/>
          </w:rPr>
          <w:t>Key features of the included evidence on prognostic or predictive value of AMH testing, ordered by study size</w:t>
        </w:r>
        <w:r w:rsidR="002B3915">
          <w:rPr>
            <w:webHidden/>
          </w:rPr>
          <w:tab/>
        </w:r>
        <w:r w:rsidR="002B3915">
          <w:rPr>
            <w:webHidden/>
          </w:rPr>
          <w:fldChar w:fldCharType="begin"/>
        </w:r>
        <w:r w:rsidR="002B3915">
          <w:rPr>
            <w:webHidden/>
          </w:rPr>
          <w:instrText xml:space="preserve"> PAGEREF _Toc502833056 \h </w:instrText>
        </w:r>
        <w:r w:rsidR="002B3915">
          <w:rPr>
            <w:webHidden/>
          </w:rPr>
        </w:r>
        <w:r w:rsidR="002B3915">
          <w:rPr>
            <w:webHidden/>
          </w:rPr>
          <w:fldChar w:fldCharType="separate"/>
        </w:r>
        <w:r>
          <w:rPr>
            <w:webHidden/>
          </w:rPr>
          <w:t>64</w:t>
        </w:r>
        <w:r w:rsidR="002B3915">
          <w:rPr>
            <w:webHidden/>
          </w:rPr>
          <w:fldChar w:fldCharType="end"/>
        </w:r>
      </w:hyperlink>
    </w:p>
    <w:p w14:paraId="39F176C8" w14:textId="77777777" w:rsidR="002B3915" w:rsidRDefault="00AC4BE5">
      <w:pPr>
        <w:pStyle w:val="TableofFigures"/>
        <w:rPr>
          <w:rFonts w:asciiTheme="minorHAnsi" w:eastAsiaTheme="minorEastAsia" w:hAnsiTheme="minorHAnsi" w:cstheme="minorBidi"/>
        </w:rPr>
      </w:pPr>
      <w:hyperlink w:anchor="_Toc502833057" w:history="1">
        <w:r w:rsidR="002B3915" w:rsidRPr="000B2F83">
          <w:rPr>
            <w:rStyle w:val="Hyperlink"/>
          </w:rPr>
          <w:t>Table 39</w:t>
        </w:r>
        <w:r w:rsidR="002B3915">
          <w:rPr>
            <w:rFonts w:asciiTheme="minorHAnsi" w:eastAsiaTheme="minorEastAsia" w:hAnsiTheme="minorHAnsi" w:cstheme="minorBidi"/>
          </w:rPr>
          <w:tab/>
        </w:r>
        <w:r w:rsidR="002B3915" w:rsidRPr="000B2F83">
          <w:rPr>
            <w:rStyle w:val="Hyperlink"/>
            <w:snapToGrid w:val="0"/>
            <w:lang w:eastAsia="en-US"/>
          </w:rPr>
          <w:t>Key features of the included evidence on clinical validity of AMH testing, ordered by study size</w:t>
        </w:r>
        <w:r w:rsidR="002B3915">
          <w:rPr>
            <w:webHidden/>
          </w:rPr>
          <w:tab/>
        </w:r>
        <w:r w:rsidR="002B3915">
          <w:rPr>
            <w:webHidden/>
          </w:rPr>
          <w:fldChar w:fldCharType="begin"/>
        </w:r>
        <w:r w:rsidR="002B3915">
          <w:rPr>
            <w:webHidden/>
          </w:rPr>
          <w:instrText xml:space="preserve"> PAGEREF _Toc502833057 \h </w:instrText>
        </w:r>
        <w:r w:rsidR="002B3915">
          <w:rPr>
            <w:webHidden/>
          </w:rPr>
        </w:r>
        <w:r w:rsidR="002B3915">
          <w:rPr>
            <w:webHidden/>
          </w:rPr>
          <w:fldChar w:fldCharType="separate"/>
        </w:r>
        <w:r>
          <w:rPr>
            <w:webHidden/>
          </w:rPr>
          <w:t>67</w:t>
        </w:r>
        <w:r w:rsidR="002B3915">
          <w:rPr>
            <w:webHidden/>
          </w:rPr>
          <w:fldChar w:fldCharType="end"/>
        </w:r>
      </w:hyperlink>
    </w:p>
    <w:p w14:paraId="7F66AA6C" w14:textId="77777777" w:rsidR="002B3915" w:rsidRDefault="00AC4BE5">
      <w:pPr>
        <w:pStyle w:val="TableofFigures"/>
        <w:rPr>
          <w:rFonts w:asciiTheme="minorHAnsi" w:eastAsiaTheme="minorEastAsia" w:hAnsiTheme="minorHAnsi" w:cstheme="minorBidi"/>
        </w:rPr>
      </w:pPr>
      <w:hyperlink w:anchor="_Toc502833058" w:history="1">
        <w:r w:rsidR="002B3915" w:rsidRPr="000B2F83">
          <w:rPr>
            <w:rStyle w:val="Hyperlink"/>
          </w:rPr>
          <w:t>Table 40</w:t>
        </w:r>
        <w:r w:rsidR="002B3915">
          <w:rPr>
            <w:rFonts w:asciiTheme="minorHAnsi" w:eastAsiaTheme="minorEastAsia" w:hAnsiTheme="minorHAnsi" w:cstheme="minorBidi"/>
          </w:rPr>
          <w:tab/>
        </w:r>
        <w:r w:rsidR="002B3915" w:rsidRPr="000B2F83">
          <w:rPr>
            <w:rStyle w:val="Hyperlink"/>
          </w:rPr>
          <w:t>Analytical validity data extraction</w:t>
        </w:r>
        <w:r w:rsidR="002B3915">
          <w:rPr>
            <w:webHidden/>
          </w:rPr>
          <w:tab/>
        </w:r>
        <w:r w:rsidR="002B3915">
          <w:rPr>
            <w:webHidden/>
          </w:rPr>
          <w:fldChar w:fldCharType="begin"/>
        </w:r>
        <w:r w:rsidR="002B3915">
          <w:rPr>
            <w:webHidden/>
          </w:rPr>
          <w:instrText xml:space="preserve"> PAGEREF _Toc502833058 \h </w:instrText>
        </w:r>
        <w:r w:rsidR="002B3915">
          <w:rPr>
            <w:webHidden/>
          </w:rPr>
        </w:r>
        <w:r w:rsidR="002B3915">
          <w:rPr>
            <w:webHidden/>
          </w:rPr>
          <w:fldChar w:fldCharType="separate"/>
        </w:r>
        <w:r>
          <w:rPr>
            <w:webHidden/>
          </w:rPr>
          <w:t>67</w:t>
        </w:r>
        <w:r w:rsidR="002B3915">
          <w:rPr>
            <w:webHidden/>
          </w:rPr>
          <w:fldChar w:fldCharType="end"/>
        </w:r>
      </w:hyperlink>
    </w:p>
    <w:p w14:paraId="20A4F449" w14:textId="77777777" w:rsidR="002B3915" w:rsidRDefault="00AC4BE5">
      <w:pPr>
        <w:pStyle w:val="TableofFigures"/>
        <w:rPr>
          <w:rFonts w:asciiTheme="minorHAnsi" w:eastAsiaTheme="minorEastAsia" w:hAnsiTheme="minorHAnsi" w:cstheme="minorBidi"/>
        </w:rPr>
      </w:pPr>
      <w:hyperlink w:anchor="_Toc502833059" w:history="1">
        <w:r w:rsidR="002B3915" w:rsidRPr="000B2F83">
          <w:rPr>
            <w:rStyle w:val="Hyperlink"/>
          </w:rPr>
          <w:t>Table 41</w:t>
        </w:r>
        <w:r w:rsidR="002B3915">
          <w:rPr>
            <w:rFonts w:asciiTheme="minorHAnsi" w:eastAsiaTheme="minorEastAsia" w:hAnsiTheme="minorHAnsi" w:cstheme="minorBidi"/>
          </w:rPr>
          <w:tab/>
        </w:r>
        <w:r w:rsidR="002B3915" w:rsidRPr="000B2F83">
          <w:rPr>
            <w:rStyle w:val="Hyperlink"/>
          </w:rPr>
          <w:t>Baseline AMH levels in breast cancer patients with CRA at follow-up compared with baseline AMH levels in patients without CRA</w:t>
        </w:r>
        <w:r w:rsidR="002B3915">
          <w:rPr>
            <w:webHidden/>
          </w:rPr>
          <w:tab/>
        </w:r>
        <w:r w:rsidR="002B3915">
          <w:rPr>
            <w:webHidden/>
          </w:rPr>
          <w:fldChar w:fldCharType="begin"/>
        </w:r>
        <w:r w:rsidR="002B3915">
          <w:rPr>
            <w:webHidden/>
          </w:rPr>
          <w:instrText xml:space="preserve"> PAGEREF _Toc502833059 \h </w:instrText>
        </w:r>
        <w:r w:rsidR="002B3915">
          <w:rPr>
            <w:webHidden/>
          </w:rPr>
        </w:r>
        <w:r w:rsidR="002B3915">
          <w:rPr>
            <w:webHidden/>
          </w:rPr>
          <w:fldChar w:fldCharType="separate"/>
        </w:r>
        <w:r>
          <w:rPr>
            <w:webHidden/>
          </w:rPr>
          <w:t>70</w:t>
        </w:r>
        <w:r w:rsidR="002B3915">
          <w:rPr>
            <w:webHidden/>
          </w:rPr>
          <w:fldChar w:fldCharType="end"/>
        </w:r>
      </w:hyperlink>
    </w:p>
    <w:p w14:paraId="733C6284" w14:textId="77777777" w:rsidR="002B3915" w:rsidRDefault="00AC4BE5">
      <w:pPr>
        <w:pStyle w:val="TableofFigures"/>
        <w:rPr>
          <w:rFonts w:asciiTheme="minorHAnsi" w:eastAsiaTheme="minorEastAsia" w:hAnsiTheme="minorHAnsi" w:cstheme="minorBidi"/>
        </w:rPr>
      </w:pPr>
      <w:hyperlink w:anchor="_Toc502833060" w:history="1">
        <w:r w:rsidR="002B3915" w:rsidRPr="000B2F83">
          <w:rPr>
            <w:rStyle w:val="Hyperlink"/>
          </w:rPr>
          <w:t>Table 42</w:t>
        </w:r>
        <w:r w:rsidR="002B3915">
          <w:rPr>
            <w:rFonts w:asciiTheme="minorHAnsi" w:eastAsiaTheme="minorEastAsia" w:hAnsiTheme="minorHAnsi" w:cstheme="minorBidi"/>
          </w:rPr>
          <w:tab/>
        </w:r>
        <w:r w:rsidR="002B3915" w:rsidRPr="000B2F83">
          <w:rPr>
            <w:rStyle w:val="Hyperlink"/>
          </w:rPr>
          <w:t>Baseline FSH levels in breast cancer patients with CRA at follow-up compared with baseline FSH levels in patients without CRA</w:t>
        </w:r>
        <w:r w:rsidR="002B3915">
          <w:rPr>
            <w:webHidden/>
          </w:rPr>
          <w:tab/>
        </w:r>
        <w:r w:rsidR="002B3915">
          <w:rPr>
            <w:webHidden/>
          </w:rPr>
          <w:fldChar w:fldCharType="begin"/>
        </w:r>
        <w:r w:rsidR="002B3915">
          <w:rPr>
            <w:webHidden/>
          </w:rPr>
          <w:instrText xml:space="preserve"> PAGEREF _Toc502833060 \h </w:instrText>
        </w:r>
        <w:r w:rsidR="002B3915">
          <w:rPr>
            <w:webHidden/>
          </w:rPr>
        </w:r>
        <w:r w:rsidR="002B3915">
          <w:rPr>
            <w:webHidden/>
          </w:rPr>
          <w:fldChar w:fldCharType="separate"/>
        </w:r>
        <w:r>
          <w:rPr>
            <w:webHidden/>
          </w:rPr>
          <w:t>71</w:t>
        </w:r>
        <w:r w:rsidR="002B3915">
          <w:rPr>
            <w:webHidden/>
          </w:rPr>
          <w:fldChar w:fldCharType="end"/>
        </w:r>
      </w:hyperlink>
    </w:p>
    <w:p w14:paraId="6E9C6586" w14:textId="77777777" w:rsidR="002B3915" w:rsidRDefault="00AC4BE5">
      <w:pPr>
        <w:pStyle w:val="TableofFigures"/>
        <w:rPr>
          <w:rFonts w:asciiTheme="minorHAnsi" w:eastAsiaTheme="minorEastAsia" w:hAnsiTheme="minorHAnsi" w:cstheme="minorBidi"/>
        </w:rPr>
      </w:pPr>
      <w:hyperlink w:anchor="_Toc502833061" w:history="1">
        <w:r w:rsidR="002B3915" w:rsidRPr="000B2F83">
          <w:rPr>
            <w:rStyle w:val="Hyperlink"/>
          </w:rPr>
          <w:t>Table 43</w:t>
        </w:r>
        <w:r w:rsidR="002B3915">
          <w:rPr>
            <w:rFonts w:asciiTheme="minorHAnsi" w:eastAsiaTheme="minorEastAsia" w:hAnsiTheme="minorHAnsi" w:cstheme="minorBidi"/>
          </w:rPr>
          <w:tab/>
        </w:r>
        <w:r w:rsidR="002B3915" w:rsidRPr="000B2F83">
          <w:rPr>
            <w:rStyle w:val="Hyperlink"/>
          </w:rPr>
          <w:t>Baseline E2 levels in breast cancer patients with CRA at follow-up compared with baseline E2 levels in patients without CRA</w:t>
        </w:r>
        <w:r w:rsidR="002B3915">
          <w:rPr>
            <w:webHidden/>
          </w:rPr>
          <w:tab/>
        </w:r>
        <w:r w:rsidR="002B3915">
          <w:rPr>
            <w:webHidden/>
          </w:rPr>
          <w:fldChar w:fldCharType="begin"/>
        </w:r>
        <w:r w:rsidR="002B3915">
          <w:rPr>
            <w:webHidden/>
          </w:rPr>
          <w:instrText xml:space="preserve"> PAGEREF _Toc502833061 \h </w:instrText>
        </w:r>
        <w:r w:rsidR="002B3915">
          <w:rPr>
            <w:webHidden/>
          </w:rPr>
        </w:r>
        <w:r w:rsidR="002B3915">
          <w:rPr>
            <w:webHidden/>
          </w:rPr>
          <w:fldChar w:fldCharType="separate"/>
        </w:r>
        <w:r>
          <w:rPr>
            <w:webHidden/>
          </w:rPr>
          <w:t>72</w:t>
        </w:r>
        <w:r w:rsidR="002B3915">
          <w:rPr>
            <w:webHidden/>
          </w:rPr>
          <w:fldChar w:fldCharType="end"/>
        </w:r>
      </w:hyperlink>
    </w:p>
    <w:p w14:paraId="00EFC463" w14:textId="77777777" w:rsidR="002B3915" w:rsidRDefault="00AC4BE5">
      <w:pPr>
        <w:pStyle w:val="TableofFigures"/>
        <w:rPr>
          <w:rFonts w:asciiTheme="minorHAnsi" w:eastAsiaTheme="minorEastAsia" w:hAnsiTheme="minorHAnsi" w:cstheme="minorBidi"/>
        </w:rPr>
      </w:pPr>
      <w:hyperlink w:anchor="_Toc502833062" w:history="1">
        <w:r w:rsidR="002B3915" w:rsidRPr="000B2F83">
          <w:rPr>
            <w:rStyle w:val="Hyperlink"/>
          </w:rPr>
          <w:t>Table 44</w:t>
        </w:r>
        <w:r w:rsidR="002B3915">
          <w:rPr>
            <w:rFonts w:asciiTheme="minorHAnsi" w:eastAsiaTheme="minorEastAsia" w:hAnsiTheme="minorHAnsi" w:cstheme="minorBidi"/>
          </w:rPr>
          <w:tab/>
        </w:r>
        <w:r w:rsidR="002B3915" w:rsidRPr="000B2F83">
          <w:rPr>
            <w:rStyle w:val="Hyperlink"/>
          </w:rPr>
          <w:t>Baseline inhibin B levels in breast cancer patients with CRA at follow-up compared with baseline inhibin B levels in patients without CRA</w:t>
        </w:r>
        <w:r w:rsidR="002B3915">
          <w:rPr>
            <w:webHidden/>
          </w:rPr>
          <w:tab/>
        </w:r>
        <w:r w:rsidR="002B3915">
          <w:rPr>
            <w:webHidden/>
          </w:rPr>
          <w:fldChar w:fldCharType="begin"/>
        </w:r>
        <w:r w:rsidR="002B3915">
          <w:rPr>
            <w:webHidden/>
          </w:rPr>
          <w:instrText xml:space="preserve"> PAGEREF _Toc502833062 \h </w:instrText>
        </w:r>
        <w:r w:rsidR="002B3915">
          <w:rPr>
            <w:webHidden/>
          </w:rPr>
        </w:r>
        <w:r w:rsidR="002B3915">
          <w:rPr>
            <w:webHidden/>
          </w:rPr>
          <w:fldChar w:fldCharType="separate"/>
        </w:r>
        <w:r>
          <w:rPr>
            <w:webHidden/>
          </w:rPr>
          <w:t>72</w:t>
        </w:r>
        <w:r w:rsidR="002B3915">
          <w:rPr>
            <w:webHidden/>
          </w:rPr>
          <w:fldChar w:fldCharType="end"/>
        </w:r>
      </w:hyperlink>
    </w:p>
    <w:p w14:paraId="094DC370" w14:textId="77777777" w:rsidR="002B3915" w:rsidRDefault="00AC4BE5">
      <w:pPr>
        <w:pStyle w:val="TableofFigures"/>
        <w:rPr>
          <w:rFonts w:asciiTheme="minorHAnsi" w:eastAsiaTheme="minorEastAsia" w:hAnsiTheme="minorHAnsi" w:cstheme="minorBidi"/>
        </w:rPr>
      </w:pPr>
      <w:hyperlink w:anchor="_Toc502833063" w:history="1">
        <w:r w:rsidR="002B3915" w:rsidRPr="000B2F83">
          <w:rPr>
            <w:rStyle w:val="Hyperlink"/>
          </w:rPr>
          <w:t>Table 45</w:t>
        </w:r>
        <w:r w:rsidR="002B3915">
          <w:rPr>
            <w:rFonts w:asciiTheme="minorHAnsi" w:eastAsiaTheme="minorEastAsia" w:hAnsiTheme="minorHAnsi" w:cstheme="minorBidi"/>
          </w:rPr>
          <w:tab/>
        </w:r>
        <w:r w:rsidR="002B3915" w:rsidRPr="000B2F83">
          <w:rPr>
            <w:rStyle w:val="Hyperlink"/>
          </w:rPr>
          <w:t>Baseline AFC count in breast cancer patients with CRA at follow-up compared with baseline AFC count in patients without CRA</w:t>
        </w:r>
        <w:r w:rsidR="002B3915">
          <w:rPr>
            <w:webHidden/>
          </w:rPr>
          <w:tab/>
        </w:r>
        <w:r w:rsidR="002B3915">
          <w:rPr>
            <w:webHidden/>
          </w:rPr>
          <w:fldChar w:fldCharType="begin"/>
        </w:r>
        <w:r w:rsidR="002B3915">
          <w:rPr>
            <w:webHidden/>
          </w:rPr>
          <w:instrText xml:space="preserve"> PAGEREF _Toc502833063 \h </w:instrText>
        </w:r>
        <w:r w:rsidR="002B3915">
          <w:rPr>
            <w:webHidden/>
          </w:rPr>
        </w:r>
        <w:r w:rsidR="002B3915">
          <w:rPr>
            <w:webHidden/>
          </w:rPr>
          <w:fldChar w:fldCharType="separate"/>
        </w:r>
        <w:r>
          <w:rPr>
            <w:webHidden/>
          </w:rPr>
          <w:t>72</w:t>
        </w:r>
        <w:r w:rsidR="002B3915">
          <w:rPr>
            <w:webHidden/>
          </w:rPr>
          <w:fldChar w:fldCharType="end"/>
        </w:r>
      </w:hyperlink>
    </w:p>
    <w:p w14:paraId="074F5F62" w14:textId="77777777" w:rsidR="002B3915" w:rsidRDefault="00AC4BE5">
      <w:pPr>
        <w:pStyle w:val="TableofFigures"/>
        <w:rPr>
          <w:rFonts w:asciiTheme="minorHAnsi" w:eastAsiaTheme="minorEastAsia" w:hAnsiTheme="minorHAnsi" w:cstheme="minorBidi"/>
        </w:rPr>
      </w:pPr>
      <w:hyperlink w:anchor="_Toc502833064" w:history="1">
        <w:r w:rsidR="002B3915" w:rsidRPr="000B2F83">
          <w:rPr>
            <w:rStyle w:val="Hyperlink"/>
          </w:rPr>
          <w:t>Table 46</w:t>
        </w:r>
        <w:r w:rsidR="002B3915">
          <w:rPr>
            <w:rFonts w:asciiTheme="minorHAnsi" w:eastAsiaTheme="minorEastAsia" w:hAnsiTheme="minorHAnsi" w:cstheme="minorBidi"/>
          </w:rPr>
          <w:tab/>
        </w:r>
        <w:r w:rsidR="002B3915" w:rsidRPr="000B2F83">
          <w:rPr>
            <w:rStyle w:val="Hyperlink"/>
          </w:rPr>
          <w:t>Age at baseline in breast cancer patients with CRA at follow-up compared with age at baseline in patients without CRA at follow-up</w:t>
        </w:r>
        <w:r w:rsidR="002B3915">
          <w:rPr>
            <w:webHidden/>
          </w:rPr>
          <w:tab/>
        </w:r>
        <w:r w:rsidR="002B3915">
          <w:rPr>
            <w:webHidden/>
          </w:rPr>
          <w:fldChar w:fldCharType="begin"/>
        </w:r>
        <w:r w:rsidR="002B3915">
          <w:rPr>
            <w:webHidden/>
          </w:rPr>
          <w:instrText xml:space="preserve"> PAGEREF _Toc502833064 \h </w:instrText>
        </w:r>
        <w:r w:rsidR="002B3915">
          <w:rPr>
            <w:webHidden/>
          </w:rPr>
        </w:r>
        <w:r w:rsidR="002B3915">
          <w:rPr>
            <w:webHidden/>
          </w:rPr>
          <w:fldChar w:fldCharType="separate"/>
        </w:r>
        <w:r>
          <w:rPr>
            <w:webHidden/>
          </w:rPr>
          <w:t>72</w:t>
        </w:r>
        <w:r w:rsidR="002B3915">
          <w:rPr>
            <w:webHidden/>
          </w:rPr>
          <w:fldChar w:fldCharType="end"/>
        </w:r>
      </w:hyperlink>
    </w:p>
    <w:p w14:paraId="0B0ADA5B" w14:textId="77777777" w:rsidR="002B3915" w:rsidRDefault="00AC4BE5">
      <w:pPr>
        <w:pStyle w:val="TableofFigures"/>
        <w:rPr>
          <w:rFonts w:asciiTheme="minorHAnsi" w:eastAsiaTheme="minorEastAsia" w:hAnsiTheme="minorHAnsi" w:cstheme="minorBidi"/>
        </w:rPr>
      </w:pPr>
      <w:hyperlink w:anchor="_Toc502833065" w:history="1">
        <w:r w:rsidR="002B3915" w:rsidRPr="000B2F83">
          <w:rPr>
            <w:rStyle w:val="Hyperlink"/>
          </w:rPr>
          <w:t>Table 47</w:t>
        </w:r>
        <w:r w:rsidR="002B3915">
          <w:rPr>
            <w:rFonts w:asciiTheme="minorHAnsi" w:eastAsiaTheme="minorEastAsia" w:hAnsiTheme="minorHAnsi" w:cstheme="minorBidi"/>
          </w:rPr>
          <w:tab/>
        </w:r>
        <w:r w:rsidR="002B3915" w:rsidRPr="000B2F83">
          <w:rPr>
            <w:rStyle w:val="Hyperlink"/>
          </w:rPr>
          <w:t>Multivariate regression analysis for prediction of ovarian function in breast cancer patients</w:t>
        </w:r>
        <w:r w:rsidR="002B3915">
          <w:rPr>
            <w:webHidden/>
          </w:rPr>
          <w:tab/>
        </w:r>
        <w:r w:rsidR="002B3915">
          <w:rPr>
            <w:webHidden/>
          </w:rPr>
          <w:fldChar w:fldCharType="begin"/>
        </w:r>
        <w:r w:rsidR="002B3915">
          <w:rPr>
            <w:webHidden/>
          </w:rPr>
          <w:instrText xml:space="preserve"> PAGEREF _Toc502833065 \h </w:instrText>
        </w:r>
        <w:r w:rsidR="002B3915">
          <w:rPr>
            <w:webHidden/>
          </w:rPr>
        </w:r>
        <w:r w:rsidR="002B3915">
          <w:rPr>
            <w:webHidden/>
          </w:rPr>
          <w:fldChar w:fldCharType="separate"/>
        </w:r>
        <w:r>
          <w:rPr>
            <w:webHidden/>
          </w:rPr>
          <w:t>76</w:t>
        </w:r>
        <w:r w:rsidR="002B3915">
          <w:rPr>
            <w:webHidden/>
          </w:rPr>
          <w:fldChar w:fldCharType="end"/>
        </w:r>
      </w:hyperlink>
    </w:p>
    <w:p w14:paraId="3A67832D" w14:textId="77777777" w:rsidR="002B3915" w:rsidRDefault="00AC4BE5">
      <w:pPr>
        <w:pStyle w:val="TableofFigures"/>
        <w:rPr>
          <w:rFonts w:asciiTheme="minorHAnsi" w:eastAsiaTheme="minorEastAsia" w:hAnsiTheme="minorHAnsi" w:cstheme="minorBidi"/>
        </w:rPr>
      </w:pPr>
      <w:hyperlink w:anchor="_Toc502833066" w:history="1">
        <w:r w:rsidR="002B3915" w:rsidRPr="000B2F83">
          <w:rPr>
            <w:rStyle w:val="Hyperlink"/>
          </w:rPr>
          <w:t>Table 48</w:t>
        </w:r>
        <w:r w:rsidR="002B3915">
          <w:rPr>
            <w:rFonts w:asciiTheme="minorHAnsi" w:eastAsiaTheme="minorEastAsia" w:hAnsiTheme="minorHAnsi" w:cstheme="minorBidi"/>
          </w:rPr>
          <w:tab/>
        </w:r>
        <w:r w:rsidR="002B3915" w:rsidRPr="000B2F83">
          <w:rPr>
            <w:rStyle w:val="Hyperlink"/>
          </w:rPr>
          <w:t>AUC values from ROC analysis conducted by Chai et al. (2014)</w:t>
        </w:r>
        <w:r w:rsidR="002B3915">
          <w:rPr>
            <w:webHidden/>
          </w:rPr>
          <w:tab/>
        </w:r>
        <w:r w:rsidR="002B3915">
          <w:rPr>
            <w:webHidden/>
          </w:rPr>
          <w:fldChar w:fldCharType="begin"/>
        </w:r>
        <w:r w:rsidR="002B3915">
          <w:rPr>
            <w:webHidden/>
          </w:rPr>
          <w:instrText xml:space="preserve"> PAGEREF _Toc502833066 \h </w:instrText>
        </w:r>
        <w:r w:rsidR="002B3915">
          <w:rPr>
            <w:webHidden/>
          </w:rPr>
        </w:r>
        <w:r w:rsidR="002B3915">
          <w:rPr>
            <w:webHidden/>
          </w:rPr>
          <w:fldChar w:fldCharType="separate"/>
        </w:r>
        <w:r>
          <w:rPr>
            <w:webHidden/>
          </w:rPr>
          <w:t>79</w:t>
        </w:r>
        <w:r w:rsidR="002B3915">
          <w:rPr>
            <w:webHidden/>
          </w:rPr>
          <w:fldChar w:fldCharType="end"/>
        </w:r>
      </w:hyperlink>
    </w:p>
    <w:p w14:paraId="30203AB1" w14:textId="77777777" w:rsidR="002B3915" w:rsidRDefault="00AC4BE5">
      <w:pPr>
        <w:pStyle w:val="TableofFigures"/>
        <w:rPr>
          <w:rFonts w:asciiTheme="minorHAnsi" w:eastAsiaTheme="minorEastAsia" w:hAnsiTheme="minorHAnsi" w:cstheme="minorBidi"/>
        </w:rPr>
      </w:pPr>
      <w:hyperlink w:anchor="_Toc502833067" w:history="1">
        <w:r w:rsidR="002B3915" w:rsidRPr="000B2F83">
          <w:rPr>
            <w:rStyle w:val="Hyperlink"/>
          </w:rPr>
          <w:t>Table 49</w:t>
        </w:r>
        <w:r w:rsidR="002B3915">
          <w:rPr>
            <w:rFonts w:asciiTheme="minorHAnsi" w:eastAsiaTheme="minorEastAsia" w:hAnsiTheme="minorHAnsi" w:cstheme="minorBidi"/>
          </w:rPr>
          <w:tab/>
        </w:r>
        <w:r w:rsidR="002B3915" w:rsidRPr="000B2F83">
          <w:rPr>
            <w:rStyle w:val="Hyperlink"/>
          </w:rPr>
          <w:t>Predictive value of AMH predicting pregnancy outcomes in women undergoing gonadotoxic treatment, ordered by study size</w:t>
        </w:r>
        <w:r w:rsidR="002B3915">
          <w:rPr>
            <w:webHidden/>
          </w:rPr>
          <w:tab/>
        </w:r>
        <w:r w:rsidR="002B3915">
          <w:rPr>
            <w:webHidden/>
          </w:rPr>
          <w:fldChar w:fldCharType="begin"/>
        </w:r>
        <w:r w:rsidR="002B3915">
          <w:rPr>
            <w:webHidden/>
          </w:rPr>
          <w:instrText xml:space="preserve"> PAGEREF _Toc502833067 \h </w:instrText>
        </w:r>
        <w:r w:rsidR="002B3915">
          <w:rPr>
            <w:webHidden/>
          </w:rPr>
        </w:r>
        <w:r w:rsidR="002B3915">
          <w:rPr>
            <w:webHidden/>
          </w:rPr>
          <w:fldChar w:fldCharType="separate"/>
        </w:r>
        <w:r>
          <w:rPr>
            <w:webHidden/>
          </w:rPr>
          <w:t>81</w:t>
        </w:r>
        <w:r w:rsidR="002B3915">
          <w:rPr>
            <w:webHidden/>
          </w:rPr>
          <w:fldChar w:fldCharType="end"/>
        </w:r>
      </w:hyperlink>
    </w:p>
    <w:p w14:paraId="5F78524B" w14:textId="77777777" w:rsidR="002B3915" w:rsidRDefault="00AC4BE5">
      <w:pPr>
        <w:pStyle w:val="TableofFigures"/>
        <w:rPr>
          <w:rFonts w:asciiTheme="minorHAnsi" w:eastAsiaTheme="minorEastAsia" w:hAnsiTheme="minorHAnsi" w:cstheme="minorBidi"/>
        </w:rPr>
      </w:pPr>
      <w:hyperlink w:anchor="_Toc502833068" w:history="1">
        <w:r w:rsidR="002B3915" w:rsidRPr="000B2F83">
          <w:rPr>
            <w:rStyle w:val="Hyperlink"/>
          </w:rPr>
          <w:t>Table 50</w:t>
        </w:r>
        <w:r w:rsidR="002B3915">
          <w:rPr>
            <w:rFonts w:asciiTheme="minorHAnsi" w:eastAsiaTheme="minorEastAsia" w:hAnsiTheme="minorHAnsi" w:cstheme="minorBidi"/>
          </w:rPr>
          <w:tab/>
        </w:r>
        <w:r w:rsidR="002B3915" w:rsidRPr="000B2F83">
          <w:rPr>
            <w:rStyle w:val="Hyperlink"/>
          </w:rPr>
          <w:t>Association between number of in vitro matured oocytes cryopreserved and AFC and serum AMH levels, univariate linear regression</w:t>
        </w:r>
        <w:r w:rsidR="002B3915">
          <w:rPr>
            <w:webHidden/>
          </w:rPr>
          <w:tab/>
        </w:r>
        <w:r w:rsidR="002B3915">
          <w:rPr>
            <w:webHidden/>
          </w:rPr>
          <w:fldChar w:fldCharType="begin"/>
        </w:r>
        <w:r w:rsidR="002B3915">
          <w:rPr>
            <w:webHidden/>
          </w:rPr>
          <w:instrText xml:space="preserve"> PAGEREF _Toc502833068 \h </w:instrText>
        </w:r>
        <w:r w:rsidR="002B3915">
          <w:rPr>
            <w:webHidden/>
          </w:rPr>
        </w:r>
        <w:r w:rsidR="002B3915">
          <w:rPr>
            <w:webHidden/>
          </w:rPr>
          <w:fldChar w:fldCharType="separate"/>
        </w:r>
        <w:r>
          <w:rPr>
            <w:webHidden/>
          </w:rPr>
          <w:t>83</w:t>
        </w:r>
        <w:r w:rsidR="002B3915">
          <w:rPr>
            <w:webHidden/>
          </w:rPr>
          <w:fldChar w:fldCharType="end"/>
        </w:r>
      </w:hyperlink>
    </w:p>
    <w:p w14:paraId="25F9F7B7" w14:textId="77777777" w:rsidR="002B3915" w:rsidRDefault="00AC4BE5">
      <w:pPr>
        <w:pStyle w:val="TableofFigures"/>
        <w:rPr>
          <w:rFonts w:asciiTheme="minorHAnsi" w:eastAsiaTheme="minorEastAsia" w:hAnsiTheme="minorHAnsi" w:cstheme="minorBidi"/>
        </w:rPr>
      </w:pPr>
      <w:hyperlink w:anchor="_Toc502833069" w:history="1">
        <w:r w:rsidR="002B3915" w:rsidRPr="000B2F83">
          <w:rPr>
            <w:rStyle w:val="Hyperlink"/>
          </w:rPr>
          <w:t>Table 51</w:t>
        </w:r>
        <w:r w:rsidR="002B3915">
          <w:rPr>
            <w:rFonts w:asciiTheme="minorHAnsi" w:eastAsiaTheme="minorEastAsia" w:hAnsiTheme="minorHAnsi" w:cstheme="minorBidi"/>
          </w:rPr>
          <w:tab/>
        </w:r>
        <w:r w:rsidR="002B3915" w:rsidRPr="000B2F83">
          <w:rPr>
            <w:rStyle w:val="Hyperlink"/>
          </w:rPr>
          <w:t>Threshold values of AFC and serum AMH levels for obtaining ≤2 or ≥8, 10 or 15 mature oocytes frozen</w:t>
        </w:r>
        <w:r w:rsidR="002B3915">
          <w:rPr>
            <w:webHidden/>
          </w:rPr>
          <w:tab/>
        </w:r>
        <w:r w:rsidR="002B3915">
          <w:rPr>
            <w:webHidden/>
          </w:rPr>
          <w:fldChar w:fldCharType="begin"/>
        </w:r>
        <w:r w:rsidR="002B3915">
          <w:rPr>
            <w:webHidden/>
          </w:rPr>
          <w:instrText xml:space="preserve"> PAGEREF _Toc502833069 \h </w:instrText>
        </w:r>
        <w:r w:rsidR="002B3915">
          <w:rPr>
            <w:webHidden/>
          </w:rPr>
        </w:r>
        <w:r w:rsidR="002B3915">
          <w:rPr>
            <w:webHidden/>
          </w:rPr>
          <w:fldChar w:fldCharType="separate"/>
        </w:r>
        <w:r>
          <w:rPr>
            <w:webHidden/>
          </w:rPr>
          <w:t>84</w:t>
        </w:r>
        <w:r w:rsidR="002B3915">
          <w:rPr>
            <w:webHidden/>
          </w:rPr>
          <w:fldChar w:fldCharType="end"/>
        </w:r>
      </w:hyperlink>
    </w:p>
    <w:p w14:paraId="01A0F39D" w14:textId="77777777" w:rsidR="002B3915" w:rsidRDefault="00AC4BE5">
      <w:pPr>
        <w:pStyle w:val="TableofFigures"/>
        <w:rPr>
          <w:rFonts w:asciiTheme="minorHAnsi" w:eastAsiaTheme="minorEastAsia" w:hAnsiTheme="minorHAnsi" w:cstheme="minorBidi"/>
        </w:rPr>
      </w:pPr>
      <w:hyperlink w:anchor="_Toc502833070" w:history="1">
        <w:r w:rsidR="002B3915" w:rsidRPr="000B2F83">
          <w:rPr>
            <w:rStyle w:val="Hyperlink"/>
          </w:rPr>
          <w:t>Table 52</w:t>
        </w:r>
        <w:r w:rsidR="002B3915">
          <w:rPr>
            <w:rFonts w:asciiTheme="minorHAnsi" w:eastAsiaTheme="minorEastAsia" w:hAnsiTheme="minorHAnsi" w:cstheme="minorBidi"/>
          </w:rPr>
          <w:tab/>
        </w:r>
        <w:r w:rsidR="002B3915" w:rsidRPr="000B2F83">
          <w:rPr>
            <w:rStyle w:val="Hyperlink"/>
          </w:rPr>
          <w:t>Correlation between oocytes retrieved and AMH, AFC, FSH, inhibin B and/or E2 values</w:t>
        </w:r>
        <w:r w:rsidR="002B3915">
          <w:rPr>
            <w:webHidden/>
          </w:rPr>
          <w:tab/>
        </w:r>
        <w:r w:rsidR="002B3915">
          <w:rPr>
            <w:webHidden/>
          </w:rPr>
          <w:fldChar w:fldCharType="begin"/>
        </w:r>
        <w:r w:rsidR="002B3915">
          <w:rPr>
            <w:webHidden/>
          </w:rPr>
          <w:instrText xml:space="preserve"> PAGEREF _Toc502833070 \h </w:instrText>
        </w:r>
        <w:r w:rsidR="002B3915">
          <w:rPr>
            <w:webHidden/>
          </w:rPr>
        </w:r>
        <w:r w:rsidR="002B3915">
          <w:rPr>
            <w:webHidden/>
          </w:rPr>
          <w:fldChar w:fldCharType="separate"/>
        </w:r>
        <w:r>
          <w:rPr>
            <w:webHidden/>
          </w:rPr>
          <w:t>85</w:t>
        </w:r>
        <w:r w:rsidR="002B3915">
          <w:rPr>
            <w:webHidden/>
          </w:rPr>
          <w:fldChar w:fldCharType="end"/>
        </w:r>
      </w:hyperlink>
    </w:p>
    <w:p w14:paraId="16AE7021" w14:textId="77777777" w:rsidR="002B3915" w:rsidRDefault="00AC4BE5">
      <w:pPr>
        <w:pStyle w:val="TableofFigures"/>
        <w:rPr>
          <w:rFonts w:asciiTheme="minorHAnsi" w:eastAsiaTheme="minorEastAsia" w:hAnsiTheme="minorHAnsi" w:cstheme="minorBidi"/>
        </w:rPr>
      </w:pPr>
      <w:hyperlink w:anchor="_Toc502833071" w:history="1">
        <w:r w:rsidR="002B3915" w:rsidRPr="000B2F83">
          <w:rPr>
            <w:rStyle w:val="Hyperlink"/>
          </w:rPr>
          <w:t>Table 53</w:t>
        </w:r>
        <w:r w:rsidR="002B3915">
          <w:rPr>
            <w:rFonts w:asciiTheme="minorHAnsi" w:eastAsiaTheme="minorEastAsia" w:hAnsiTheme="minorHAnsi" w:cstheme="minorBidi"/>
          </w:rPr>
          <w:tab/>
        </w:r>
        <w:r w:rsidR="002B3915" w:rsidRPr="000B2F83">
          <w:rPr>
            <w:rStyle w:val="Hyperlink"/>
          </w:rPr>
          <w:t>Clinical validity</w:t>
        </w:r>
        <w:r w:rsidR="002B3915" w:rsidRPr="000B2F83">
          <w:rPr>
            <w:rStyle w:val="Hyperlink"/>
            <w:rFonts w:cs="Arial"/>
            <w:snapToGrid w:val="0"/>
            <w:lang w:eastAsia="en-US"/>
          </w:rPr>
          <w:t xml:space="preserve"> of the AMH test against the clinical reference standard of resumption of menses</w:t>
        </w:r>
        <w:r w:rsidR="002B3915">
          <w:rPr>
            <w:webHidden/>
          </w:rPr>
          <w:tab/>
        </w:r>
        <w:r w:rsidR="002B3915">
          <w:rPr>
            <w:webHidden/>
          </w:rPr>
          <w:fldChar w:fldCharType="begin"/>
        </w:r>
        <w:r w:rsidR="002B3915">
          <w:rPr>
            <w:webHidden/>
          </w:rPr>
          <w:instrText xml:space="preserve"> PAGEREF _Toc502833071 \h </w:instrText>
        </w:r>
        <w:r w:rsidR="002B3915">
          <w:rPr>
            <w:webHidden/>
          </w:rPr>
        </w:r>
        <w:r w:rsidR="002B3915">
          <w:rPr>
            <w:webHidden/>
          </w:rPr>
          <w:fldChar w:fldCharType="separate"/>
        </w:r>
        <w:r>
          <w:rPr>
            <w:webHidden/>
          </w:rPr>
          <w:t>87</w:t>
        </w:r>
        <w:r w:rsidR="002B3915">
          <w:rPr>
            <w:webHidden/>
          </w:rPr>
          <w:fldChar w:fldCharType="end"/>
        </w:r>
      </w:hyperlink>
    </w:p>
    <w:p w14:paraId="3D106E44" w14:textId="77777777" w:rsidR="002B3915" w:rsidRDefault="00AC4BE5">
      <w:pPr>
        <w:pStyle w:val="TableofFigures"/>
        <w:rPr>
          <w:rFonts w:asciiTheme="minorHAnsi" w:eastAsiaTheme="minorEastAsia" w:hAnsiTheme="minorHAnsi" w:cstheme="minorBidi"/>
        </w:rPr>
      </w:pPr>
      <w:hyperlink w:anchor="_Toc502833072" w:history="1">
        <w:r w:rsidR="002B3915" w:rsidRPr="000B2F83">
          <w:rPr>
            <w:rStyle w:val="Hyperlink"/>
          </w:rPr>
          <w:t>Table 54</w:t>
        </w:r>
        <w:r w:rsidR="002B3915">
          <w:rPr>
            <w:rFonts w:asciiTheme="minorHAnsi" w:eastAsiaTheme="minorEastAsia" w:hAnsiTheme="minorHAnsi" w:cstheme="minorBidi"/>
          </w:rPr>
          <w:tab/>
        </w:r>
        <w:r w:rsidR="002B3915" w:rsidRPr="000B2F83">
          <w:rPr>
            <w:rStyle w:val="Hyperlink"/>
          </w:rPr>
          <w:t>Clinical validity</w:t>
        </w:r>
        <w:r w:rsidR="002B3915" w:rsidRPr="000B2F83">
          <w:rPr>
            <w:rStyle w:val="Hyperlink"/>
            <w:rFonts w:cs="Arial"/>
            <w:snapToGrid w:val="0"/>
            <w:lang w:eastAsia="en-US"/>
          </w:rPr>
          <w:t xml:space="preserve"> of the AMH test against the clinical reference standard of resumption of menses</w:t>
        </w:r>
        <w:r w:rsidR="002B3915">
          <w:rPr>
            <w:webHidden/>
          </w:rPr>
          <w:tab/>
        </w:r>
        <w:r w:rsidR="002B3915">
          <w:rPr>
            <w:webHidden/>
          </w:rPr>
          <w:fldChar w:fldCharType="begin"/>
        </w:r>
        <w:r w:rsidR="002B3915">
          <w:rPr>
            <w:webHidden/>
          </w:rPr>
          <w:instrText xml:space="preserve"> PAGEREF _Toc502833072 \h </w:instrText>
        </w:r>
        <w:r w:rsidR="002B3915">
          <w:rPr>
            <w:webHidden/>
          </w:rPr>
        </w:r>
        <w:r w:rsidR="002B3915">
          <w:rPr>
            <w:webHidden/>
          </w:rPr>
          <w:fldChar w:fldCharType="separate"/>
        </w:r>
        <w:r>
          <w:rPr>
            <w:webHidden/>
          </w:rPr>
          <w:t>90</w:t>
        </w:r>
        <w:r w:rsidR="002B3915">
          <w:rPr>
            <w:webHidden/>
          </w:rPr>
          <w:fldChar w:fldCharType="end"/>
        </w:r>
      </w:hyperlink>
    </w:p>
    <w:p w14:paraId="3A630899" w14:textId="77777777" w:rsidR="002B3915" w:rsidRDefault="00AC4BE5">
      <w:pPr>
        <w:pStyle w:val="TableofFigures"/>
        <w:rPr>
          <w:rFonts w:asciiTheme="minorHAnsi" w:eastAsiaTheme="minorEastAsia" w:hAnsiTheme="minorHAnsi" w:cstheme="minorBidi"/>
        </w:rPr>
      </w:pPr>
      <w:hyperlink w:anchor="_Toc502833073" w:history="1">
        <w:r w:rsidR="002B3915" w:rsidRPr="000B2F83">
          <w:rPr>
            <w:rStyle w:val="Hyperlink"/>
          </w:rPr>
          <w:t>Table 55</w:t>
        </w:r>
        <w:r w:rsidR="002B3915">
          <w:rPr>
            <w:rFonts w:asciiTheme="minorHAnsi" w:eastAsiaTheme="minorEastAsia" w:hAnsiTheme="minorHAnsi" w:cstheme="minorBidi"/>
          </w:rPr>
          <w:tab/>
        </w:r>
        <w:r w:rsidR="002B3915" w:rsidRPr="000B2F83">
          <w:rPr>
            <w:rStyle w:val="Hyperlink"/>
          </w:rPr>
          <w:t>Clinical validity of ovarian reserve markers using thresholds determines by ROC curve analysis</w:t>
        </w:r>
        <w:r w:rsidR="002B3915">
          <w:rPr>
            <w:webHidden/>
          </w:rPr>
          <w:tab/>
        </w:r>
        <w:r w:rsidR="002B3915">
          <w:rPr>
            <w:webHidden/>
          </w:rPr>
          <w:fldChar w:fldCharType="begin"/>
        </w:r>
        <w:r w:rsidR="002B3915">
          <w:rPr>
            <w:webHidden/>
          </w:rPr>
          <w:instrText xml:space="preserve"> PAGEREF _Toc502833073 \h </w:instrText>
        </w:r>
        <w:r w:rsidR="002B3915">
          <w:rPr>
            <w:webHidden/>
          </w:rPr>
        </w:r>
        <w:r w:rsidR="002B3915">
          <w:rPr>
            <w:webHidden/>
          </w:rPr>
          <w:fldChar w:fldCharType="separate"/>
        </w:r>
        <w:r>
          <w:rPr>
            <w:webHidden/>
          </w:rPr>
          <w:t>93</w:t>
        </w:r>
        <w:r w:rsidR="002B3915">
          <w:rPr>
            <w:webHidden/>
          </w:rPr>
          <w:fldChar w:fldCharType="end"/>
        </w:r>
      </w:hyperlink>
    </w:p>
    <w:p w14:paraId="044DA84F" w14:textId="77777777" w:rsidR="002B3915" w:rsidRDefault="00AC4BE5">
      <w:pPr>
        <w:pStyle w:val="TableofFigures"/>
        <w:rPr>
          <w:rFonts w:asciiTheme="minorHAnsi" w:eastAsiaTheme="minorEastAsia" w:hAnsiTheme="minorHAnsi" w:cstheme="minorBidi"/>
        </w:rPr>
      </w:pPr>
      <w:hyperlink w:anchor="_Toc502833074" w:history="1">
        <w:r w:rsidR="002B3915" w:rsidRPr="000B2F83">
          <w:rPr>
            <w:rStyle w:val="Hyperlink"/>
          </w:rPr>
          <w:t>Table 56</w:t>
        </w:r>
        <w:r w:rsidR="002B3915">
          <w:rPr>
            <w:rFonts w:asciiTheme="minorHAnsi" w:eastAsiaTheme="minorEastAsia" w:hAnsiTheme="minorHAnsi" w:cstheme="minorBidi"/>
          </w:rPr>
          <w:tab/>
        </w:r>
        <w:r w:rsidR="002B3915" w:rsidRPr="000B2F83">
          <w:rPr>
            <w:rStyle w:val="Hyperlink"/>
          </w:rPr>
          <w:t>Controlled ovarian hyperstimulation protocol influenced by AMH levels, in St Mary's hospital, Manchester (from 2008)</w:t>
        </w:r>
        <w:r w:rsidR="002B3915">
          <w:rPr>
            <w:webHidden/>
          </w:rPr>
          <w:tab/>
        </w:r>
        <w:r w:rsidR="002B3915">
          <w:rPr>
            <w:webHidden/>
          </w:rPr>
          <w:fldChar w:fldCharType="begin"/>
        </w:r>
        <w:r w:rsidR="002B3915">
          <w:rPr>
            <w:webHidden/>
          </w:rPr>
          <w:instrText xml:space="preserve"> PAGEREF _Toc502833074 \h </w:instrText>
        </w:r>
        <w:r w:rsidR="002B3915">
          <w:rPr>
            <w:webHidden/>
          </w:rPr>
        </w:r>
        <w:r w:rsidR="002B3915">
          <w:rPr>
            <w:webHidden/>
          </w:rPr>
          <w:fldChar w:fldCharType="separate"/>
        </w:r>
        <w:r>
          <w:rPr>
            <w:webHidden/>
          </w:rPr>
          <w:t>96</w:t>
        </w:r>
        <w:r w:rsidR="002B3915">
          <w:rPr>
            <w:webHidden/>
          </w:rPr>
          <w:fldChar w:fldCharType="end"/>
        </w:r>
      </w:hyperlink>
    </w:p>
    <w:p w14:paraId="323E8031" w14:textId="77777777" w:rsidR="002B3915" w:rsidRDefault="00AC4BE5">
      <w:pPr>
        <w:pStyle w:val="TableofFigures"/>
        <w:rPr>
          <w:rFonts w:asciiTheme="minorHAnsi" w:eastAsiaTheme="minorEastAsia" w:hAnsiTheme="minorHAnsi" w:cstheme="minorBidi"/>
        </w:rPr>
      </w:pPr>
      <w:hyperlink w:anchor="_Toc502833075" w:history="1">
        <w:r w:rsidR="002B3915" w:rsidRPr="000B2F83">
          <w:rPr>
            <w:rStyle w:val="Hyperlink"/>
          </w:rPr>
          <w:t>Table 57</w:t>
        </w:r>
        <w:r w:rsidR="002B3915">
          <w:rPr>
            <w:rFonts w:asciiTheme="minorHAnsi" w:eastAsiaTheme="minorEastAsia" w:hAnsiTheme="minorHAnsi" w:cstheme="minorBidi"/>
          </w:rPr>
          <w:tab/>
        </w:r>
        <w:r w:rsidR="002B3915" w:rsidRPr="000B2F83">
          <w:rPr>
            <w:rStyle w:val="Hyperlink"/>
          </w:rPr>
          <w:t>IVF parameters and outcomes in the nomogram group (individualised FSH dosage) compared with a control group (standardised FSH dosage)</w:t>
        </w:r>
        <w:r w:rsidR="002B3915">
          <w:rPr>
            <w:webHidden/>
          </w:rPr>
          <w:tab/>
        </w:r>
        <w:r w:rsidR="002B3915">
          <w:rPr>
            <w:webHidden/>
          </w:rPr>
          <w:fldChar w:fldCharType="begin"/>
        </w:r>
        <w:r w:rsidR="002B3915">
          <w:rPr>
            <w:webHidden/>
          </w:rPr>
          <w:instrText xml:space="preserve"> PAGEREF _Toc502833075 \h </w:instrText>
        </w:r>
        <w:r w:rsidR="002B3915">
          <w:rPr>
            <w:webHidden/>
          </w:rPr>
        </w:r>
        <w:r w:rsidR="002B3915">
          <w:rPr>
            <w:webHidden/>
          </w:rPr>
          <w:fldChar w:fldCharType="separate"/>
        </w:r>
        <w:r>
          <w:rPr>
            <w:webHidden/>
          </w:rPr>
          <w:t>99</w:t>
        </w:r>
        <w:r w:rsidR="002B3915">
          <w:rPr>
            <w:webHidden/>
          </w:rPr>
          <w:fldChar w:fldCharType="end"/>
        </w:r>
      </w:hyperlink>
    </w:p>
    <w:p w14:paraId="22C8B90F" w14:textId="77777777" w:rsidR="002B3915" w:rsidRDefault="00AC4BE5">
      <w:pPr>
        <w:pStyle w:val="TableofFigures"/>
        <w:rPr>
          <w:rFonts w:asciiTheme="minorHAnsi" w:eastAsiaTheme="minorEastAsia" w:hAnsiTheme="minorHAnsi" w:cstheme="minorBidi"/>
        </w:rPr>
      </w:pPr>
      <w:hyperlink w:anchor="_Toc502833076" w:history="1">
        <w:r w:rsidR="002B3915" w:rsidRPr="000B2F83">
          <w:rPr>
            <w:rStyle w:val="Hyperlink"/>
          </w:rPr>
          <w:t>Table 58</w:t>
        </w:r>
        <w:r w:rsidR="002B3915">
          <w:rPr>
            <w:rFonts w:asciiTheme="minorHAnsi" w:eastAsiaTheme="minorEastAsia" w:hAnsiTheme="minorHAnsi" w:cstheme="minorBidi"/>
          </w:rPr>
          <w:tab/>
        </w:r>
        <w:r w:rsidR="002B3915" w:rsidRPr="000B2F83">
          <w:rPr>
            <w:rStyle w:val="Hyperlink"/>
          </w:rPr>
          <w:t>Pre-embryology clinical outcomes in a conventional dosage protocol compared with an AMH-tailored protocol</w:t>
        </w:r>
        <w:r w:rsidR="002B3915">
          <w:rPr>
            <w:webHidden/>
          </w:rPr>
          <w:tab/>
        </w:r>
        <w:r w:rsidR="002B3915">
          <w:rPr>
            <w:webHidden/>
          </w:rPr>
          <w:fldChar w:fldCharType="begin"/>
        </w:r>
        <w:r w:rsidR="002B3915">
          <w:rPr>
            <w:webHidden/>
          </w:rPr>
          <w:instrText xml:space="preserve"> PAGEREF _Toc502833076 \h </w:instrText>
        </w:r>
        <w:r w:rsidR="002B3915">
          <w:rPr>
            <w:webHidden/>
          </w:rPr>
        </w:r>
        <w:r w:rsidR="002B3915">
          <w:rPr>
            <w:webHidden/>
          </w:rPr>
          <w:fldChar w:fldCharType="separate"/>
        </w:r>
        <w:r>
          <w:rPr>
            <w:webHidden/>
          </w:rPr>
          <w:t>100</w:t>
        </w:r>
        <w:r w:rsidR="002B3915">
          <w:rPr>
            <w:webHidden/>
          </w:rPr>
          <w:fldChar w:fldCharType="end"/>
        </w:r>
      </w:hyperlink>
    </w:p>
    <w:p w14:paraId="09704573" w14:textId="77777777" w:rsidR="002B3915" w:rsidRDefault="00AC4BE5">
      <w:pPr>
        <w:pStyle w:val="TableofFigures"/>
        <w:rPr>
          <w:rFonts w:asciiTheme="minorHAnsi" w:eastAsiaTheme="minorEastAsia" w:hAnsiTheme="minorHAnsi" w:cstheme="minorBidi"/>
        </w:rPr>
      </w:pPr>
      <w:hyperlink w:anchor="_Toc502833077" w:history="1">
        <w:r w:rsidR="002B3915" w:rsidRPr="000B2F83">
          <w:rPr>
            <w:rStyle w:val="Hyperlink"/>
          </w:rPr>
          <w:t>Table 59</w:t>
        </w:r>
        <w:r w:rsidR="002B3915">
          <w:rPr>
            <w:rFonts w:asciiTheme="minorHAnsi" w:eastAsiaTheme="minorEastAsia" w:hAnsiTheme="minorHAnsi" w:cstheme="minorBidi"/>
          </w:rPr>
          <w:tab/>
        </w:r>
        <w:r w:rsidR="002B3915" w:rsidRPr="000B2F83">
          <w:rPr>
            <w:rStyle w:val="Hyperlink"/>
          </w:rPr>
          <w:t>Outcomes after individualised follitropin delta use compared to standard follitropin alpha use</w:t>
        </w:r>
        <w:r w:rsidR="002B3915">
          <w:rPr>
            <w:webHidden/>
          </w:rPr>
          <w:tab/>
        </w:r>
        <w:r w:rsidR="002B3915">
          <w:rPr>
            <w:webHidden/>
          </w:rPr>
          <w:fldChar w:fldCharType="begin"/>
        </w:r>
        <w:r w:rsidR="002B3915">
          <w:rPr>
            <w:webHidden/>
          </w:rPr>
          <w:instrText xml:space="preserve"> PAGEREF _Toc502833077 \h </w:instrText>
        </w:r>
        <w:r w:rsidR="002B3915">
          <w:rPr>
            <w:webHidden/>
          </w:rPr>
        </w:r>
        <w:r w:rsidR="002B3915">
          <w:rPr>
            <w:webHidden/>
          </w:rPr>
          <w:fldChar w:fldCharType="separate"/>
        </w:r>
        <w:r>
          <w:rPr>
            <w:webHidden/>
          </w:rPr>
          <w:t>101</w:t>
        </w:r>
        <w:r w:rsidR="002B3915">
          <w:rPr>
            <w:webHidden/>
          </w:rPr>
          <w:fldChar w:fldCharType="end"/>
        </w:r>
      </w:hyperlink>
    </w:p>
    <w:p w14:paraId="33250DD1" w14:textId="77777777" w:rsidR="002B3915" w:rsidRDefault="00AC4BE5">
      <w:pPr>
        <w:pStyle w:val="TableofFigures"/>
        <w:rPr>
          <w:rFonts w:asciiTheme="minorHAnsi" w:eastAsiaTheme="minorEastAsia" w:hAnsiTheme="minorHAnsi" w:cstheme="minorBidi"/>
        </w:rPr>
      </w:pPr>
      <w:hyperlink w:anchor="_Toc502833078" w:history="1">
        <w:r w:rsidR="002B3915" w:rsidRPr="000B2F83">
          <w:rPr>
            <w:rStyle w:val="Hyperlink"/>
          </w:rPr>
          <w:t>Table 60</w:t>
        </w:r>
        <w:r w:rsidR="002B3915">
          <w:rPr>
            <w:rFonts w:asciiTheme="minorHAnsi" w:eastAsiaTheme="minorEastAsia" w:hAnsiTheme="minorHAnsi" w:cstheme="minorBidi"/>
          </w:rPr>
          <w:tab/>
        </w:r>
        <w:r w:rsidR="002B3915" w:rsidRPr="000B2F83">
          <w:rPr>
            <w:rStyle w:val="Hyperlink"/>
          </w:rPr>
          <w:t>Summary of findings table</w:t>
        </w:r>
        <w:r w:rsidR="002B3915">
          <w:rPr>
            <w:webHidden/>
          </w:rPr>
          <w:tab/>
        </w:r>
        <w:r w:rsidR="002B3915">
          <w:rPr>
            <w:webHidden/>
          </w:rPr>
          <w:fldChar w:fldCharType="begin"/>
        </w:r>
        <w:r w:rsidR="002B3915">
          <w:rPr>
            <w:webHidden/>
          </w:rPr>
          <w:instrText xml:space="preserve"> PAGEREF _Toc502833078 \h </w:instrText>
        </w:r>
        <w:r w:rsidR="002B3915">
          <w:rPr>
            <w:webHidden/>
          </w:rPr>
        </w:r>
        <w:r w:rsidR="002B3915">
          <w:rPr>
            <w:webHidden/>
          </w:rPr>
          <w:fldChar w:fldCharType="separate"/>
        </w:r>
        <w:r>
          <w:rPr>
            <w:webHidden/>
          </w:rPr>
          <w:t>107</w:t>
        </w:r>
        <w:r w:rsidR="002B3915">
          <w:rPr>
            <w:webHidden/>
          </w:rPr>
          <w:fldChar w:fldCharType="end"/>
        </w:r>
      </w:hyperlink>
    </w:p>
    <w:p w14:paraId="2F8FD7E1" w14:textId="77777777" w:rsidR="002B3915" w:rsidRDefault="00AC4BE5">
      <w:pPr>
        <w:pStyle w:val="TableofFigures"/>
        <w:rPr>
          <w:rFonts w:asciiTheme="minorHAnsi" w:eastAsiaTheme="minorEastAsia" w:hAnsiTheme="minorHAnsi" w:cstheme="minorBidi"/>
        </w:rPr>
      </w:pPr>
      <w:hyperlink w:anchor="_Toc502833079" w:history="1">
        <w:r w:rsidR="002B3915" w:rsidRPr="000B2F83">
          <w:rPr>
            <w:rStyle w:val="Hyperlink"/>
          </w:rPr>
          <w:t>Table 61</w:t>
        </w:r>
        <w:r w:rsidR="002B3915">
          <w:rPr>
            <w:rFonts w:asciiTheme="minorHAnsi" w:eastAsiaTheme="minorEastAsia" w:hAnsiTheme="minorHAnsi" w:cstheme="minorBidi"/>
          </w:rPr>
          <w:tab/>
        </w:r>
        <w:r w:rsidR="002B3915" w:rsidRPr="000B2F83">
          <w:rPr>
            <w:rStyle w:val="Hyperlink"/>
          </w:rPr>
          <w:t>Classification of the comparative effectiveness and safety of the proposed therapeutic medical service compared with its main comparator and guide to the suitable type of economic evaluation</w:t>
        </w:r>
        <w:r w:rsidR="002B3915">
          <w:rPr>
            <w:webHidden/>
          </w:rPr>
          <w:tab/>
        </w:r>
        <w:r w:rsidR="002B3915">
          <w:rPr>
            <w:webHidden/>
          </w:rPr>
          <w:fldChar w:fldCharType="begin"/>
        </w:r>
        <w:r w:rsidR="002B3915">
          <w:rPr>
            <w:webHidden/>
          </w:rPr>
          <w:instrText xml:space="preserve"> PAGEREF _Toc502833079 \h </w:instrText>
        </w:r>
        <w:r w:rsidR="002B3915">
          <w:rPr>
            <w:webHidden/>
          </w:rPr>
        </w:r>
        <w:r w:rsidR="002B3915">
          <w:rPr>
            <w:webHidden/>
          </w:rPr>
          <w:fldChar w:fldCharType="separate"/>
        </w:r>
        <w:r>
          <w:rPr>
            <w:webHidden/>
          </w:rPr>
          <w:t>111</w:t>
        </w:r>
        <w:r w:rsidR="002B3915">
          <w:rPr>
            <w:webHidden/>
          </w:rPr>
          <w:fldChar w:fldCharType="end"/>
        </w:r>
      </w:hyperlink>
    </w:p>
    <w:p w14:paraId="3C599B1F" w14:textId="77777777" w:rsidR="002B3915" w:rsidRDefault="00AC4BE5">
      <w:pPr>
        <w:pStyle w:val="TableofFigures"/>
        <w:rPr>
          <w:rFonts w:asciiTheme="minorHAnsi" w:eastAsiaTheme="minorEastAsia" w:hAnsiTheme="minorHAnsi" w:cstheme="minorBidi"/>
        </w:rPr>
      </w:pPr>
      <w:hyperlink w:anchor="_Toc502833080" w:history="1">
        <w:r w:rsidR="002B3915" w:rsidRPr="000B2F83">
          <w:rPr>
            <w:rStyle w:val="Hyperlink"/>
          </w:rPr>
          <w:t>Table 62</w:t>
        </w:r>
        <w:r w:rsidR="002B3915">
          <w:rPr>
            <w:rFonts w:asciiTheme="minorHAnsi" w:eastAsiaTheme="minorEastAsia" w:hAnsiTheme="minorHAnsi" w:cstheme="minorBidi"/>
          </w:rPr>
          <w:tab/>
        </w:r>
        <w:r w:rsidR="002B3915" w:rsidRPr="000B2F83">
          <w:rPr>
            <w:rStyle w:val="Hyperlink"/>
          </w:rPr>
          <w:t>Summary of the economic evaluation</w:t>
        </w:r>
        <w:r w:rsidR="002B3915">
          <w:rPr>
            <w:webHidden/>
          </w:rPr>
          <w:tab/>
        </w:r>
        <w:r w:rsidR="002B3915">
          <w:rPr>
            <w:webHidden/>
          </w:rPr>
          <w:fldChar w:fldCharType="begin"/>
        </w:r>
        <w:r w:rsidR="002B3915">
          <w:rPr>
            <w:webHidden/>
          </w:rPr>
          <w:instrText xml:space="preserve"> PAGEREF _Toc502833080 \h </w:instrText>
        </w:r>
        <w:r w:rsidR="002B3915">
          <w:rPr>
            <w:webHidden/>
          </w:rPr>
        </w:r>
        <w:r w:rsidR="002B3915">
          <w:rPr>
            <w:webHidden/>
          </w:rPr>
          <w:fldChar w:fldCharType="separate"/>
        </w:r>
        <w:r>
          <w:rPr>
            <w:webHidden/>
          </w:rPr>
          <w:t>112</w:t>
        </w:r>
        <w:r w:rsidR="002B3915">
          <w:rPr>
            <w:webHidden/>
          </w:rPr>
          <w:fldChar w:fldCharType="end"/>
        </w:r>
      </w:hyperlink>
    </w:p>
    <w:p w14:paraId="54A0B992" w14:textId="77777777" w:rsidR="002B3915" w:rsidRDefault="00AC4BE5">
      <w:pPr>
        <w:pStyle w:val="TableofFigures"/>
        <w:rPr>
          <w:rFonts w:asciiTheme="minorHAnsi" w:eastAsiaTheme="minorEastAsia" w:hAnsiTheme="minorHAnsi" w:cstheme="minorBidi"/>
        </w:rPr>
      </w:pPr>
      <w:hyperlink w:anchor="_Toc502833081" w:history="1">
        <w:r w:rsidR="002B3915" w:rsidRPr="000B2F83">
          <w:rPr>
            <w:rStyle w:val="Hyperlink"/>
          </w:rPr>
          <w:t>Table 63</w:t>
        </w:r>
        <w:r w:rsidR="002B3915">
          <w:rPr>
            <w:rFonts w:asciiTheme="minorHAnsi" w:eastAsiaTheme="minorEastAsia" w:hAnsiTheme="minorHAnsi" w:cstheme="minorBidi"/>
          </w:rPr>
          <w:tab/>
        </w:r>
        <w:r w:rsidR="002B3915" w:rsidRPr="000B2F83">
          <w:rPr>
            <w:rStyle w:val="Hyperlink"/>
          </w:rPr>
          <w:t>Various costs associated with ovarian reserve testing</w:t>
        </w:r>
        <w:r w:rsidR="002B3915">
          <w:rPr>
            <w:webHidden/>
          </w:rPr>
          <w:tab/>
        </w:r>
        <w:r w:rsidR="002B3915">
          <w:rPr>
            <w:webHidden/>
          </w:rPr>
          <w:fldChar w:fldCharType="begin"/>
        </w:r>
        <w:r w:rsidR="002B3915">
          <w:rPr>
            <w:webHidden/>
          </w:rPr>
          <w:instrText xml:space="preserve"> PAGEREF _Toc502833081 \h </w:instrText>
        </w:r>
        <w:r w:rsidR="002B3915">
          <w:rPr>
            <w:webHidden/>
          </w:rPr>
        </w:r>
        <w:r w:rsidR="002B3915">
          <w:rPr>
            <w:webHidden/>
          </w:rPr>
          <w:fldChar w:fldCharType="separate"/>
        </w:r>
        <w:r>
          <w:rPr>
            <w:webHidden/>
          </w:rPr>
          <w:t>113</w:t>
        </w:r>
        <w:r w:rsidR="002B3915">
          <w:rPr>
            <w:webHidden/>
          </w:rPr>
          <w:fldChar w:fldCharType="end"/>
        </w:r>
      </w:hyperlink>
    </w:p>
    <w:p w14:paraId="34FBF08E" w14:textId="77777777" w:rsidR="002B3915" w:rsidRDefault="00AC4BE5">
      <w:pPr>
        <w:pStyle w:val="TableofFigures"/>
        <w:rPr>
          <w:rFonts w:asciiTheme="minorHAnsi" w:eastAsiaTheme="minorEastAsia" w:hAnsiTheme="minorHAnsi" w:cstheme="minorBidi"/>
        </w:rPr>
      </w:pPr>
      <w:hyperlink w:anchor="_Toc502833082" w:history="1">
        <w:r w:rsidR="002B3915" w:rsidRPr="000B2F83">
          <w:rPr>
            <w:rStyle w:val="Hyperlink"/>
          </w:rPr>
          <w:t>Table 64</w:t>
        </w:r>
        <w:r w:rsidR="002B3915">
          <w:rPr>
            <w:rFonts w:asciiTheme="minorHAnsi" w:eastAsiaTheme="minorEastAsia" w:hAnsiTheme="minorHAnsi" w:cstheme="minorBidi"/>
          </w:rPr>
          <w:tab/>
        </w:r>
        <w:r w:rsidR="002B3915" w:rsidRPr="000B2F83">
          <w:rPr>
            <w:rStyle w:val="Hyperlink"/>
          </w:rPr>
          <w:t>Costs associated with testing ovarian reserve, and incremental cost per patient</w:t>
        </w:r>
        <w:r w:rsidR="002B3915">
          <w:rPr>
            <w:webHidden/>
          </w:rPr>
          <w:tab/>
        </w:r>
        <w:r w:rsidR="002B3915">
          <w:rPr>
            <w:webHidden/>
          </w:rPr>
          <w:fldChar w:fldCharType="begin"/>
        </w:r>
        <w:r w:rsidR="002B3915">
          <w:rPr>
            <w:webHidden/>
          </w:rPr>
          <w:instrText xml:space="preserve"> PAGEREF _Toc502833082 \h </w:instrText>
        </w:r>
        <w:r w:rsidR="002B3915">
          <w:rPr>
            <w:webHidden/>
          </w:rPr>
        </w:r>
        <w:r w:rsidR="002B3915">
          <w:rPr>
            <w:webHidden/>
          </w:rPr>
          <w:fldChar w:fldCharType="separate"/>
        </w:r>
        <w:r>
          <w:rPr>
            <w:webHidden/>
          </w:rPr>
          <w:t>113</w:t>
        </w:r>
        <w:r w:rsidR="002B3915">
          <w:rPr>
            <w:webHidden/>
          </w:rPr>
          <w:fldChar w:fldCharType="end"/>
        </w:r>
      </w:hyperlink>
    </w:p>
    <w:p w14:paraId="40483B3F" w14:textId="77777777" w:rsidR="002B3915" w:rsidRDefault="00AC4BE5">
      <w:pPr>
        <w:pStyle w:val="TableofFigures"/>
        <w:rPr>
          <w:rFonts w:asciiTheme="minorHAnsi" w:eastAsiaTheme="minorEastAsia" w:hAnsiTheme="minorHAnsi" w:cstheme="minorBidi"/>
        </w:rPr>
      </w:pPr>
      <w:hyperlink w:anchor="_Toc502833083" w:history="1">
        <w:r w:rsidR="002B3915" w:rsidRPr="000B2F83">
          <w:rPr>
            <w:rStyle w:val="Hyperlink"/>
          </w:rPr>
          <w:t>Table 65</w:t>
        </w:r>
        <w:r w:rsidR="002B3915">
          <w:rPr>
            <w:rFonts w:asciiTheme="minorHAnsi" w:eastAsiaTheme="minorEastAsia" w:hAnsiTheme="minorHAnsi" w:cstheme="minorBidi"/>
          </w:rPr>
          <w:tab/>
        </w:r>
        <w:r w:rsidR="002B3915" w:rsidRPr="000B2F83">
          <w:rPr>
            <w:rStyle w:val="Hyperlink"/>
          </w:rPr>
          <w:t>Scenario analyses: AMH is used as replacement test to either AFC, or FSH+E2</w:t>
        </w:r>
        <w:r w:rsidR="002B3915">
          <w:rPr>
            <w:webHidden/>
          </w:rPr>
          <w:tab/>
        </w:r>
        <w:r w:rsidR="002B3915">
          <w:rPr>
            <w:webHidden/>
          </w:rPr>
          <w:fldChar w:fldCharType="begin"/>
        </w:r>
        <w:r w:rsidR="002B3915">
          <w:rPr>
            <w:webHidden/>
          </w:rPr>
          <w:instrText xml:space="preserve"> PAGEREF _Toc502833083 \h </w:instrText>
        </w:r>
        <w:r w:rsidR="002B3915">
          <w:rPr>
            <w:webHidden/>
          </w:rPr>
        </w:r>
        <w:r w:rsidR="002B3915">
          <w:rPr>
            <w:webHidden/>
          </w:rPr>
          <w:fldChar w:fldCharType="separate"/>
        </w:r>
        <w:r>
          <w:rPr>
            <w:webHidden/>
          </w:rPr>
          <w:t>114</w:t>
        </w:r>
        <w:r w:rsidR="002B3915">
          <w:rPr>
            <w:webHidden/>
          </w:rPr>
          <w:fldChar w:fldCharType="end"/>
        </w:r>
      </w:hyperlink>
    </w:p>
    <w:p w14:paraId="2E15BA8D" w14:textId="77777777" w:rsidR="002B3915" w:rsidRDefault="00AC4BE5">
      <w:pPr>
        <w:pStyle w:val="TableofFigures"/>
        <w:rPr>
          <w:rFonts w:asciiTheme="minorHAnsi" w:eastAsiaTheme="minorEastAsia" w:hAnsiTheme="minorHAnsi" w:cstheme="minorBidi"/>
        </w:rPr>
      </w:pPr>
      <w:hyperlink w:anchor="_Toc502833084" w:history="1">
        <w:r w:rsidR="002B3915" w:rsidRPr="000B2F83">
          <w:rPr>
            <w:rStyle w:val="Hyperlink"/>
          </w:rPr>
          <w:t>Table 66</w:t>
        </w:r>
        <w:r w:rsidR="002B3915">
          <w:rPr>
            <w:rFonts w:asciiTheme="minorHAnsi" w:eastAsiaTheme="minorEastAsia" w:hAnsiTheme="minorHAnsi" w:cstheme="minorBidi"/>
          </w:rPr>
          <w:tab/>
        </w:r>
        <w:r w:rsidR="002B3915" w:rsidRPr="000B2F83">
          <w:rPr>
            <w:rStyle w:val="Hyperlink"/>
          </w:rPr>
          <w:t>Data sources used in the financial analysis</w:t>
        </w:r>
        <w:r w:rsidR="002B3915">
          <w:rPr>
            <w:webHidden/>
          </w:rPr>
          <w:tab/>
        </w:r>
        <w:r w:rsidR="002B3915">
          <w:rPr>
            <w:webHidden/>
          </w:rPr>
          <w:fldChar w:fldCharType="begin"/>
        </w:r>
        <w:r w:rsidR="002B3915">
          <w:rPr>
            <w:webHidden/>
          </w:rPr>
          <w:instrText xml:space="preserve"> PAGEREF _Toc502833084 \h </w:instrText>
        </w:r>
        <w:r w:rsidR="002B3915">
          <w:rPr>
            <w:webHidden/>
          </w:rPr>
        </w:r>
        <w:r w:rsidR="002B3915">
          <w:rPr>
            <w:webHidden/>
          </w:rPr>
          <w:fldChar w:fldCharType="separate"/>
        </w:r>
        <w:r>
          <w:rPr>
            <w:webHidden/>
          </w:rPr>
          <w:t>115</w:t>
        </w:r>
        <w:r w:rsidR="002B3915">
          <w:rPr>
            <w:webHidden/>
          </w:rPr>
          <w:fldChar w:fldCharType="end"/>
        </w:r>
      </w:hyperlink>
    </w:p>
    <w:p w14:paraId="12A284D3" w14:textId="77777777" w:rsidR="002B3915" w:rsidRDefault="00AC4BE5">
      <w:pPr>
        <w:pStyle w:val="TableofFigures"/>
        <w:rPr>
          <w:rFonts w:asciiTheme="minorHAnsi" w:eastAsiaTheme="minorEastAsia" w:hAnsiTheme="minorHAnsi" w:cstheme="minorBidi"/>
        </w:rPr>
      </w:pPr>
      <w:hyperlink w:anchor="_Toc502833085" w:history="1">
        <w:r w:rsidR="002B3915" w:rsidRPr="000B2F83">
          <w:rPr>
            <w:rStyle w:val="Hyperlink"/>
          </w:rPr>
          <w:t>Table 67</w:t>
        </w:r>
        <w:r w:rsidR="002B3915">
          <w:rPr>
            <w:rFonts w:asciiTheme="minorHAnsi" w:eastAsiaTheme="minorEastAsia" w:hAnsiTheme="minorHAnsi" w:cstheme="minorBidi"/>
          </w:rPr>
          <w:tab/>
        </w:r>
        <w:r w:rsidR="002B3915" w:rsidRPr="000B2F83">
          <w:rPr>
            <w:rStyle w:val="Hyperlink"/>
          </w:rPr>
          <w:t>Incident cases of cancer (females 0–44 years) estimated to undergo gonadotoxic treatment (2017)</w:t>
        </w:r>
        <w:r w:rsidR="002B3915">
          <w:rPr>
            <w:webHidden/>
          </w:rPr>
          <w:tab/>
        </w:r>
        <w:r w:rsidR="002B3915">
          <w:rPr>
            <w:webHidden/>
          </w:rPr>
          <w:fldChar w:fldCharType="begin"/>
        </w:r>
        <w:r w:rsidR="002B3915">
          <w:rPr>
            <w:webHidden/>
          </w:rPr>
          <w:instrText xml:space="preserve"> PAGEREF _Toc502833085 \h </w:instrText>
        </w:r>
        <w:r w:rsidR="002B3915">
          <w:rPr>
            <w:webHidden/>
          </w:rPr>
        </w:r>
        <w:r w:rsidR="002B3915">
          <w:rPr>
            <w:webHidden/>
          </w:rPr>
          <w:fldChar w:fldCharType="separate"/>
        </w:r>
        <w:r>
          <w:rPr>
            <w:webHidden/>
          </w:rPr>
          <w:t>116</w:t>
        </w:r>
        <w:r w:rsidR="002B3915">
          <w:rPr>
            <w:webHidden/>
          </w:rPr>
          <w:fldChar w:fldCharType="end"/>
        </w:r>
      </w:hyperlink>
    </w:p>
    <w:p w14:paraId="7FCE3EB5" w14:textId="77777777" w:rsidR="002B3915" w:rsidRDefault="00AC4BE5">
      <w:pPr>
        <w:pStyle w:val="TableofFigures"/>
        <w:rPr>
          <w:rFonts w:asciiTheme="minorHAnsi" w:eastAsiaTheme="minorEastAsia" w:hAnsiTheme="minorHAnsi" w:cstheme="minorBidi"/>
        </w:rPr>
      </w:pPr>
      <w:hyperlink w:anchor="_Toc502833086" w:history="1">
        <w:r w:rsidR="002B3915" w:rsidRPr="000B2F83">
          <w:rPr>
            <w:rStyle w:val="Hyperlink"/>
          </w:rPr>
          <w:t>Table 68</w:t>
        </w:r>
        <w:r w:rsidR="002B3915">
          <w:rPr>
            <w:rFonts w:asciiTheme="minorHAnsi" w:eastAsiaTheme="minorEastAsia" w:hAnsiTheme="minorHAnsi" w:cstheme="minorBidi"/>
          </w:rPr>
          <w:tab/>
        </w:r>
        <w:r w:rsidR="002B3915" w:rsidRPr="000B2F83">
          <w:rPr>
            <w:rStyle w:val="Hyperlink"/>
          </w:rPr>
          <w:t>Estimate of number of AMH tests performed, 2018–19 to 2022–23</w:t>
        </w:r>
        <w:r w:rsidR="002B3915">
          <w:rPr>
            <w:webHidden/>
          </w:rPr>
          <w:tab/>
        </w:r>
        <w:r w:rsidR="002B3915">
          <w:rPr>
            <w:webHidden/>
          </w:rPr>
          <w:fldChar w:fldCharType="begin"/>
        </w:r>
        <w:r w:rsidR="002B3915">
          <w:rPr>
            <w:webHidden/>
          </w:rPr>
          <w:instrText xml:space="preserve"> PAGEREF _Toc502833086 \h </w:instrText>
        </w:r>
        <w:r w:rsidR="002B3915">
          <w:rPr>
            <w:webHidden/>
          </w:rPr>
        </w:r>
        <w:r w:rsidR="002B3915">
          <w:rPr>
            <w:webHidden/>
          </w:rPr>
          <w:fldChar w:fldCharType="separate"/>
        </w:r>
        <w:r>
          <w:rPr>
            <w:webHidden/>
          </w:rPr>
          <w:t>118</w:t>
        </w:r>
        <w:r w:rsidR="002B3915">
          <w:rPr>
            <w:webHidden/>
          </w:rPr>
          <w:fldChar w:fldCharType="end"/>
        </w:r>
      </w:hyperlink>
    </w:p>
    <w:p w14:paraId="26489E77" w14:textId="77777777" w:rsidR="002B3915" w:rsidRDefault="00AC4BE5">
      <w:pPr>
        <w:pStyle w:val="TableofFigures"/>
        <w:rPr>
          <w:rFonts w:asciiTheme="minorHAnsi" w:eastAsiaTheme="minorEastAsia" w:hAnsiTheme="minorHAnsi" w:cstheme="minorBidi"/>
        </w:rPr>
      </w:pPr>
      <w:hyperlink w:anchor="_Toc502833087" w:history="1">
        <w:r w:rsidR="002B3915" w:rsidRPr="000B2F83">
          <w:rPr>
            <w:rStyle w:val="Hyperlink"/>
          </w:rPr>
          <w:t>Table 69</w:t>
        </w:r>
        <w:r w:rsidR="002B3915">
          <w:rPr>
            <w:rFonts w:asciiTheme="minorHAnsi" w:eastAsiaTheme="minorEastAsia" w:hAnsiTheme="minorHAnsi" w:cstheme="minorBidi"/>
          </w:rPr>
          <w:tab/>
        </w:r>
        <w:r w:rsidR="002B3915" w:rsidRPr="000B2F83">
          <w:rPr>
            <w:rStyle w:val="Hyperlink"/>
          </w:rPr>
          <w:t>Proposed or advertised fees</w:t>
        </w:r>
        <w:r w:rsidR="002B3915" w:rsidRPr="000B2F83">
          <w:rPr>
            <w:rStyle w:val="Hyperlink"/>
            <w:vertAlign w:val="superscript"/>
          </w:rPr>
          <w:t>a</w:t>
        </w:r>
        <w:r w:rsidR="002B3915" w:rsidRPr="000B2F83">
          <w:rPr>
            <w:rStyle w:val="Hyperlink"/>
          </w:rPr>
          <w:t xml:space="preserve"> for AMH testing</w:t>
        </w:r>
        <w:r w:rsidR="002B3915">
          <w:rPr>
            <w:webHidden/>
          </w:rPr>
          <w:tab/>
        </w:r>
        <w:r w:rsidR="002B3915">
          <w:rPr>
            <w:webHidden/>
          </w:rPr>
          <w:fldChar w:fldCharType="begin"/>
        </w:r>
        <w:r w:rsidR="002B3915">
          <w:rPr>
            <w:webHidden/>
          </w:rPr>
          <w:instrText xml:space="preserve"> PAGEREF _Toc502833087 \h </w:instrText>
        </w:r>
        <w:r w:rsidR="002B3915">
          <w:rPr>
            <w:webHidden/>
          </w:rPr>
        </w:r>
        <w:r w:rsidR="002B3915">
          <w:rPr>
            <w:webHidden/>
          </w:rPr>
          <w:fldChar w:fldCharType="separate"/>
        </w:r>
        <w:r>
          <w:rPr>
            <w:webHidden/>
          </w:rPr>
          <w:t>119</w:t>
        </w:r>
        <w:r w:rsidR="002B3915">
          <w:rPr>
            <w:webHidden/>
          </w:rPr>
          <w:fldChar w:fldCharType="end"/>
        </w:r>
      </w:hyperlink>
    </w:p>
    <w:p w14:paraId="4AF406AF" w14:textId="77777777" w:rsidR="002B3915" w:rsidRDefault="00AC4BE5">
      <w:pPr>
        <w:pStyle w:val="TableofFigures"/>
        <w:rPr>
          <w:rFonts w:asciiTheme="minorHAnsi" w:eastAsiaTheme="minorEastAsia" w:hAnsiTheme="minorHAnsi" w:cstheme="minorBidi"/>
        </w:rPr>
      </w:pPr>
      <w:hyperlink w:anchor="_Toc502833088" w:history="1">
        <w:r w:rsidR="002B3915" w:rsidRPr="000B2F83">
          <w:rPr>
            <w:rStyle w:val="Hyperlink"/>
          </w:rPr>
          <w:t>Table 70</w:t>
        </w:r>
        <w:r w:rsidR="002B3915">
          <w:rPr>
            <w:rFonts w:asciiTheme="minorHAnsi" w:eastAsiaTheme="minorEastAsia" w:hAnsiTheme="minorHAnsi" w:cstheme="minorBidi"/>
          </w:rPr>
          <w:tab/>
        </w:r>
        <w:r w:rsidR="002B3915" w:rsidRPr="000B2F83">
          <w:rPr>
            <w:rStyle w:val="Hyperlink"/>
          </w:rPr>
          <w:t>Estimated costs of AMH testing, 2018–19 to 2022–23</w:t>
        </w:r>
        <w:r w:rsidR="002B3915">
          <w:rPr>
            <w:webHidden/>
          </w:rPr>
          <w:tab/>
        </w:r>
        <w:r w:rsidR="002B3915">
          <w:rPr>
            <w:webHidden/>
          </w:rPr>
          <w:fldChar w:fldCharType="begin"/>
        </w:r>
        <w:r w:rsidR="002B3915">
          <w:rPr>
            <w:webHidden/>
          </w:rPr>
          <w:instrText xml:space="preserve"> PAGEREF _Toc502833088 \h </w:instrText>
        </w:r>
        <w:r w:rsidR="002B3915">
          <w:rPr>
            <w:webHidden/>
          </w:rPr>
        </w:r>
        <w:r w:rsidR="002B3915">
          <w:rPr>
            <w:webHidden/>
          </w:rPr>
          <w:fldChar w:fldCharType="separate"/>
        </w:r>
        <w:r>
          <w:rPr>
            <w:webHidden/>
          </w:rPr>
          <w:t>119</w:t>
        </w:r>
        <w:r w:rsidR="002B3915">
          <w:rPr>
            <w:webHidden/>
          </w:rPr>
          <w:fldChar w:fldCharType="end"/>
        </w:r>
      </w:hyperlink>
    </w:p>
    <w:p w14:paraId="0EB13E0B" w14:textId="77777777" w:rsidR="002B3915" w:rsidRDefault="00AC4BE5">
      <w:pPr>
        <w:pStyle w:val="TableofFigures"/>
        <w:rPr>
          <w:rFonts w:asciiTheme="minorHAnsi" w:eastAsiaTheme="minorEastAsia" w:hAnsiTheme="minorHAnsi" w:cstheme="minorBidi"/>
        </w:rPr>
      </w:pPr>
      <w:hyperlink w:anchor="_Toc502833089" w:history="1">
        <w:r w:rsidR="002B3915" w:rsidRPr="000B2F83">
          <w:rPr>
            <w:rStyle w:val="Hyperlink"/>
          </w:rPr>
          <w:t>Table 71</w:t>
        </w:r>
        <w:r w:rsidR="002B3915">
          <w:rPr>
            <w:rFonts w:asciiTheme="minorHAnsi" w:eastAsiaTheme="minorEastAsia" w:hAnsiTheme="minorHAnsi" w:cstheme="minorBidi"/>
          </w:rPr>
          <w:tab/>
        </w:r>
        <w:r w:rsidR="002B3915" w:rsidRPr="000B2F83">
          <w:rPr>
            <w:rStyle w:val="Hyperlink"/>
          </w:rPr>
          <w:t>Financial implications of listing the AMH test on the MBS, sensitivity analysis varying referral and uptake rates</w:t>
        </w:r>
        <w:r w:rsidR="002B3915">
          <w:rPr>
            <w:webHidden/>
          </w:rPr>
          <w:tab/>
        </w:r>
        <w:r w:rsidR="002B3915">
          <w:rPr>
            <w:webHidden/>
          </w:rPr>
          <w:fldChar w:fldCharType="begin"/>
        </w:r>
        <w:r w:rsidR="002B3915">
          <w:rPr>
            <w:webHidden/>
          </w:rPr>
          <w:instrText xml:space="preserve"> PAGEREF _Toc502833089 \h </w:instrText>
        </w:r>
        <w:r w:rsidR="002B3915">
          <w:rPr>
            <w:webHidden/>
          </w:rPr>
        </w:r>
        <w:r w:rsidR="002B3915">
          <w:rPr>
            <w:webHidden/>
          </w:rPr>
          <w:fldChar w:fldCharType="separate"/>
        </w:r>
        <w:r>
          <w:rPr>
            <w:webHidden/>
          </w:rPr>
          <w:t>120</w:t>
        </w:r>
        <w:r w:rsidR="002B3915">
          <w:rPr>
            <w:webHidden/>
          </w:rPr>
          <w:fldChar w:fldCharType="end"/>
        </w:r>
      </w:hyperlink>
    </w:p>
    <w:p w14:paraId="40A5F700" w14:textId="77777777" w:rsidR="002B3915" w:rsidRDefault="00AC4BE5">
      <w:pPr>
        <w:pStyle w:val="TableofFigures"/>
        <w:rPr>
          <w:rFonts w:asciiTheme="minorHAnsi" w:eastAsiaTheme="minorEastAsia" w:hAnsiTheme="minorHAnsi" w:cstheme="minorBidi"/>
        </w:rPr>
      </w:pPr>
      <w:hyperlink w:anchor="_Toc502833090" w:history="1">
        <w:r w:rsidR="002B3915" w:rsidRPr="000B2F83">
          <w:rPr>
            <w:rStyle w:val="Hyperlink"/>
          </w:rPr>
          <w:t>Table 72</w:t>
        </w:r>
        <w:r w:rsidR="002B3915">
          <w:rPr>
            <w:rFonts w:asciiTheme="minorHAnsi" w:eastAsiaTheme="minorEastAsia" w:hAnsiTheme="minorHAnsi" w:cstheme="minorBidi"/>
          </w:rPr>
          <w:tab/>
        </w:r>
        <w:r w:rsidR="002B3915" w:rsidRPr="000B2F83">
          <w:rPr>
            <w:rStyle w:val="Hyperlink"/>
          </w:rPr>
          <w:t>Financial implications of MBS listing the AMH test: scenario analysis of leakage to other indications</w:t>
        </w:r>
        <w:r w:rsidR="002B3915">
          <w:rPr>
            <w:webHidden/>
          </w:rPr>
          <w:tab/>
        </w:r>
        <w:r w:rsidR="002B3915">
          <w:rPr>
            <w:webHidden/>
          </w:rPr>
          <w:fldChar w:fldCharType="begin"/>
        </w:r>
        <w:r w:rsidR="002B3915">
          <w:rPr>
            <w:webHidden/>
          </w:rPr>
          <w:instrText xml:space="preserve"> PAGEREF _Toc502833090 \h </w:instrText>
        </w:r>
        <w:r w:rsidR="002B3915">
          <w:rPr>
            <w:webHidden/>
          </w:rPr>
        </w:r>
        <w:r w:rsidR="002B3915">
          <w:rPr>
            <w:webHidden/>
          </w:rPr>
          <w:fldChar w:fldCharType="separate"/>
        </w:r>
        <w:r>
          <w:rPr>
            <w:webHidden/>
          </w:rPr>
          <w:t>121</w:t>
        </w:r>
        <w:r w:rsidR="002B3915">
          <w:rPr>
            <w:webHidden/>
          </w:rPr>
          <w:fldChar w:fldCharType="end"/>
        </w:r>
      </w:hyperlink>
    </w:p>
    <w:p w14:paraId="3A018E05" w14:textId="77777777" w:rsidR="002B3915" w:rsidRDefault="00AC4BE5">
      <w:pPr>
        <w:pStyle w:val="TableofFigures"/>
        <w:rPr>
          <w:rFonts w:asciiTheme="minorHAnsi" w:eastAsiaTheme="minorEastAsia" w:hAnsiTheme="minorHAnsi" w:cstheme="minorBidi"/>
        </w:rPr>
      </w:pPr>
      <w:hyperlink w:anchor="_Toc502833091" w:history="1">
        <w:r w:rsidR="002B3915" w:rsidRPr="000B2F83">
          <w:rPr>
            <w:rStyle w:val="Hyperlink"/>
          </w:rPr>
          <w:t>Table 73</w:t>
        </w:r>
        <w:r w:rsidR="002B3915">
          <w:rPr>
            <w:rFonts w:asciiTheme="minorHAnsi" w:eastAsiaTheme="minorEastAsia" w:hAnsiTheme="minorHAnsi" w:cstheme="minorBidi"/>
          </w:rPr>
          <w:tab/>
        </w:r>
        <w:r w:rsidR="002B3915" w:rsidRPr="000B2F83">
          <w:rPr>
            <w:rStyle w:val="Hyperlink"/>
          </w:rPr>
          <w:t>Scenario analyses, potential cost-offsets per test to MBS expenditure, if AMH is a replacement test</w:t>
        </w:r>
        <w:r w:rsidR="002B3915">
          <w:rPr>
            <w:webHidden/>
          </w:rPr>
          <w:tab/>
        </w:r>
        <w:r w:rsidR="002B3915">
          <w:rPr>
            <w:webHidden/>
          </w:rPr>
          <w:fldChar w:fldCharType="begin"/>
        </w:r>
        <w:r w:rsidR="002B3915">
          <w:rPr>
            <w:webHidden/>
          </w:rPr>
          <w:instrText xml:space="preserve"> PAGEREF _Toc502833091 \h </w:instrText>
        </w:r>
        <w:r w:rsidR="002B3915">
          <w:rPr>
            <w:webHidden/>
          </w:rPr>
        </w:r>
        <w:r w:rsidR="002B3915">
          <w:rPr>
            <w:webHidden/>
          </w:rPr>
          <w:fldChar w:fldCharType="separate"/>
        </w:r>
        <w:r>
          <w:rPr>
            <w:webHidden/>
          </w:rPr>
          <w:t>121</w:t>
        </w:r>
        <w:r w:rsidR="002B3915">
          <w:rPr>
            <w:webHidden/>
          </w:rPr>
          <w:fldChar w:fldCharType="end"/>
        </w:r>
      </w:hyperlink>
    </w:p>
    <w:p w14:paraId="68B2398B" w14:textId="77777777" w:rsidR="002B3915" w:rsidRDefault="00AC4BE5">
      <w:pPr>
        <w:pStyle w:val="TableofFigures"/>
        <w:rPr>
          <w:rFonts w:asciiTheme="minorHAnsi" w:eastAsiaTheme="minorEastAsia" w:hAnsiTheme="minorHAnsi" w:cstheme="minorBidi"/>
        </w:rPr>
      </w:pPr>
      <w:hyperlink w:anchor="_Toc502833092" w:history="1">
        <w:r w:rsidR="002B3915" w:rsidRPr="000B2F83">
          <w:rPr>
            <w:rStyle w:val="Hyperlink"/>
          </w:rPr>
          <w:t>Table 74</w:t>
        </w:r>
        <w:r w:rsidR="002B3915">
          <w:rPr>
            <w:rFonts w:asciiTheme="minorHAnsi" w:eastAsiaTheme="minorEastAsia" w:hAnsiTheme="minorHAnsi" w:cstheme="minorBidi"/>
          </w:rPr>
          <w:tab/>
        </w:r>
        <w:r w:rsidR="002B3915" w:rsidRPr="000B2F83">
          <w:rPr>
            <w:rStyle w:val="Hyperlink"/>
          </w:rPr>
          <w:t>Scenario analyses, potential cost-offsets to MBS expenditure, if AMH is a replacement test for AFC</w:t>
        </w:r>
        <w:r w:rsidR="002B3915">
          <w:rPr>
            <w:webHidden/>
          </w:rPr>
          <w:tab/>
        </w:r>
        <w:r w:rsidR="002B3915">
          <w:rPr>
            <w:webHidden/>
          </w:rPr>
          <w:fldChar w:fldCharType="begin"/>
        </w:r>
        <w:r w:rsidR="002B3915">
          <w:rPr>
            <w:webHidden/>
          </w:rPr>
          <w:instrText xml:space="preserve"> PAGEREF _Toc502833092 \h </w:instrText>
        </w:r>
        <w:r w:rsidR="002B3915">
          <w:rPr>
            <w:webHidden/>
          </w:rPr>
        </w:r>
        <w:r w:rsidR="002B3915">
          <w:rPr>
            <w:webHidden/>
          </w:rPr>
          <w:fldChar w:fldCharType="separate"/>
        </w:r>
        <w:r>
          <w:rPr>
            <w:webHidden/>
          </w:rPr>
          <w:t>122</w:t>
        </w:r>
        <w:r w:rsidR="002B3915">
          <w:rPr>
            <w:webHidden/>
          </w:rPr>
          <w:fldChar w:fldCharType="end"/>
        </w:r>
      </w:hyperlink>
    </w:p>
    <w:p w14:paraId="185680A3" w14:textId="77777777" w:rsidR="002B3915" w:rsidRDefault="00AC4BE5">
      <w:pPr>
        <w:pStyle w:val="TableofFigures"/>
        <w:rPr>
          <w:rFonts w:asciiTheme="minorHAnsi" w:eastAsiaTheme="minorEastAsia" w:hAnsiTheme="minorHAnsi" w:cstheme="minorBidi"/>
        </w:rPr>
      </w:pPr>
      <w:hyperlink w:anchor="_Toc502833093" w:history="1">
        <w:r w:rsidR="002B3915" w:rsidRPr="000B2F83">
          <w:rPr>
            <w:rStyle w:val="Hyperlink"/>
          </w:rPr>
          <w:t>Table 75</w:t>
        </w:r>
        <w:r w:rsidR="002B3915">
          <w:rPr>
            <w:rFonts w:asciiTheme="minorHAnsi" w:eastAsiaTheme="minorEastAsia" w:hAnsiTheme="minorHAnsi" w:cstheme="minorBidi"/>
          </w:rPr>
          <w:tab/>
        </w:r>
        <w:r w:rsidR="002B3915" w:rsidRPr="000B2F83">
          <w:rPr>
            <w:rStyle w:val="Hyperlink"/>
          </w:rPr>
          <w:t>Scenario analyses, potential cost-offsets to MBS, if AMH is a replacement test for FSH+E2</w:t>
        </w:r>
        <w:r w:rsidR="002B3915">
          <w:rPr>
            <w:webHidden/>
          </w:rPr>
          <w:tab/>
        </w:r>
        <w:r w:rsidR="002B3915">
          <w:rPr>
            <w:webHidden/>
          </w:rPr>
          <w:fldChar w:fldCharType="begin"/>
        </w:r>
        <w:r w:rsidR="002B3915">
          <w:rPr>
            <w:webHidden/>
          </w:rPr>
          <w:instrText xml:space="preserve"> PAGEREF _Toc502833093 \h </w:instrText>
        </w:r>
        <w:r w:rsidR="002B3915">
          <w:rPr>
            <w:webHidden/>
          </w:rPr>
        </w:r>
        <w:r w:rsidR="002B3915">
          <w:rPr>
            <w:webHidden/>
          </w:rPr>
          <w:fldChar w:fldCharType="separate"/>
        </w:r>
        <w:r>
          <w:rPr>
            <w:webHidden/>
          </w:rPr>
          <w:t>122</w:t>
        </w:r>
        <w:r w:rsidR="002B3915">
          <w:rPr>
            <w:webHidden/>
          </w:rPr>
          <w:fldChar w:fldCharType="end"/>
        </w:r>
      </w:hyperlink>
    </w:p>
    <w:p w14:paraId="49919959" w14:textId="77777777" w:rsidR="002B3915" w:rsidRDefault="00AC4BE5">
      <w:pPr>
        <w:pStyle w:val="TableofFigures"/>
        <w:rPr>
          <w:rFonts w:asciiTheme="minorHAnsi" w:eastAsiaTheme="minorEastAsia" w:hAnsiTheme="minorHAnsi" w:cstheme="minorBidi"/>
        </w:rPr>
      </w:pPr>
      <w:hyperlink w:anchor="_Toc502833094" w:history="1">
        <w:r w:rsidR="002B3915" w:rsidRPr="000B2F83">
          <w:rPr>
            <w:rStyle w:val="Hyperlink"/>
          </w:rPr>
          <w:t>Table 76</w:t>
        </w:r>
        <w:r w:rsidR="002B3915">
          <w:rPr>
            <w:rFonts w:asciiTheme="minorHAnsi" w:eastAsiaTheme="minorEastAsia" w:hAnsiTheme="minorHAnsi" w:cstheme="minorBidi"/>
          </w:rPr>
          <w:tab/>
        </w:r>
        <w:r w:rsidR="002B3915" w:rsidRPr="000B2F83">
          <w:rPr>
            <w:rStyle w:val="Hyperlink"/>
          </w:rPr>
          <w:t>Bibliographic databases</w:t>
        </w:r>
        <w:r w:rsidR="002B3915">
          <w:rPr>
            <w:webHidden/>
          </w:rPr>
          <w:tab/>
        </w:r>
        <w:r w:rsidR="002B3915">
          <w:rPr>
            <w:webHidden/>
          </w:rPr>
          <w:fldChar w:fldCharType="begin"/>
        </w:r>
        <w:r w:rsidR="002B3915">
          <w:rPr>
            <w:webHidden/>
          </w:rPr>
          <w:instrText xml:space="preserve"> PAGEREF _Toc502833094 \h </w:instrText>
        </w:r>
        <w:r w:rsidR="002B3915">
          <w:rPr>
            <w:webHidden/>
          </w:rPr>
        </w:r>
        <w:r w:rsidR="002B3915">
          <w:rPr>
            <w:webHidden/>
          </w:rPr>
          <w:fldChar w:fldCharType="separate"/>
        </w:r>
        <w:r>
          <w:rPr>
            <w:webHidden/>
          </w:rPr>
          <w:t>125</w:t>
        </w:r>
        <w:r w:rsidR="002B3915">
          <w:rPr>
            <w:webHidden/>
          </w:rPr>
          <w:fldChar w:fldCharType="end"/>
        </w:r>
      </w:hyperlink>
    </w:p>
    <w:p w14:paraId="71B4C4A5" w14:textId="77777777" w:rsidR="002B3915" w:rsidRDefault="00AC4BE5">
      <w:pPr>
        <w:pStyle w:val="TableofFigures"/>
        <w:rPr>
          <w:rFonts w:asciiTheme="minorHAnsi" w:eastAsiaTheme="minorEastAsia" w:hAnsiTheme="minorHAnsi" w:cstheme="minorBidi"/>
        </w:rPr>
      </w:pPr>
      <w:hyperlink w:anchor="_Toc502833095" w:history="1">
        <w:r w:rsidR="002B3915" w:rsidRPr="000B2F83">
          <w:rPr>
            <w:rStyle w:val="Hyperlink"/>
          </w:rPr>
          <w:t>Table 77</w:t>
        </w:r>
        <w:r w:rsidR="002B3915">
          <w:rPr>
            <w:rFonts w:asciiTheme="minorHAnsi" w:eastAsiaTheme="minorEastAsia" w:hAnsiTheme="minorHAnsi" w:cstheme="minorBidi"/>
          </w:rPr>
          <w:tab/>
        </w:r>
        <w:r w:rsidR="002B3915" w:rsidRPr="000B2F83">
          <w:rPr>
            <w:rStyle w:val="Hyperlink"/>
          </w:rPr>
          <w:t>Additional sources of literature</w:t>
        </w:r>
        <w:r w:rsidR="002B3915">
          <w:rPr>
            <w:webHidden/>
          </w:rPr>
          <w:tab/>
        </w:r>
        <w:r w:rsidR="002B3915">
          <w:rPr>
            <w:webHidden/>
          </w:rPr>
          <w:fldChar w:fldCharType="begin"/>
        </w:r>
        <w:r w:rsidR="002B3915">
          <w:rPr>
            <w:webHidden/>
          </w:rPr>
          <w:instrText xml:space="preserve"> PAGEREF _Toc502833095 \h </w:instrText>
        </w:r>
        <w:r w:rsidR="002B3915">
          <w:rPr>
            <w:webHidden/>
          </w:rPr>
        </w:r>
        <w:r w:rsidR="002B3915">
          <w:rPr>
            <w:webHidden/>
          </w:rPr>
          <w:fldChar w:fldCharType="separate"/>
        </w:r>
        <w:r>
          <w:rPr>
            <w:webHidden/>
          </w:rPr>
          <w:t>125</w:t>
        </w:r>
        <w:r w:rsidR="002B3915">
          <w:rPr>
            <w:webHidden/>
          </w:rPr>
          <w:fldChar w:fldCharType="end"/>
        </w:r>
      </w:hyperlink>
    </w:p>
    <w:p w14:paraId="3EE8DB90" w14:textId="77777777" w:rsidR="002B3915" w:rsidRDefault="00AC4BE5">
      <w:pPr>
        <w:pStyle w:val="TableofFigures"/>
        <w:rPr>
          <w:rFonts w:asciiTheme="minorHAnsi" w:eastAsiaTheme="minorEastAsia" w:hAnsiTheme="minorHAnsi" w:cstheme="minorBidi"/>
        </w:rPr>
      </w:pPr>
      <w:hyperlink w:anchor="_Toc502833096" w:history="1">
        <w:r w:rsidR="002B3915" w:rsidRPr="000B2F83">
          <w:rPr>
            <w:rStyle w:val="Hyperlink"/>
          </w:rPr>
          <w:t>Table 78</w:t>
        </w:r>
        <w:r w:rsidR="002B3915">
          <w:rPr>
            <w:rFonts w:asciiTheme="minorHAnsi" w:eastAsiaTheme="minorEastAsia" w:hAnsiTheme="minorHAnsi" w:cstheme="minorBidi"/>
          </w:rPr>
          <w:tab/>
        </w:r>
        <w:r w:rsidR="002B3915" w:rsidRPr="000B2F83">
          <w:rPr>
            <w:rStyle w:val="Hyperlink"/>
          </w:rPr>
          <w:t>Specialty websites</w:t>
        </w:r>
        <w:r w:rsidR="002B3915">
          <w:rPr>
            <w:webHidden/>
          </w:rPr>
          <w:tab/>
        </w:r>
        <w:r w:rsidR="002B3915">
          <w:rPr>
            <w:webHidden/>
          </w:rPr>
          <w:fldChar w:fldCharType="begin"/>
        </w:r>
        <w:r w:rsidR="002B3915">
          <w:rPr>
            <w:webHidden/>
          </w:rPr>
          <w:instrText xml:space="preserve"> PAGEREF _Toc502833096 \h </w:instrText>
        </w:r>
        <w:r w:rsidR="002B3915">
          <w:rPr>
            <w:webHidden/>
          </w:rPr>
        </w:r>
        <w:r w:rsidR="002B3915">
          <w:rPr>
            <w:webHidden/>
          </w:rPr>
          <w:fldChar w:fldCharType="separate"/>
        </w:r>
        <w:r>
          <w:rPr>
            <w:webHidden/>
          </w:rPr>
          <w:t>126</w:t>
        </w:r>
        <w:r w:rsidR="002B3915">
          <w:rPr>
            <w:webHidden/>
          </w:rPr>
          <w:fldChar w:fldCharType="end"/>
        </w:r>
      </w:hyperlink>
    </w:p>
    <w:p w14:paraId="063BF344" w14:textId="77777777" w:rsidR="002B3915" w:rsidRDefault="00AC4BE5">
      <w:pPr>
        <w:pStyle w:val="TableofFigures"/>
        <w:rPr>
          <w:rFonts w:asciiTheme="minorHAnsi" w:eastAsiaTheme="minorEastAsia" w:hAnsiTheme="minorHAnsi" w:cstheme="minorBidi"/>
        </w:rPr>
      </w:pPr>
      <w:hyperlink w:anchor="_Toc502833097" w:history="1">
        <w:r w:rsidR="002B3915" w:rsidRPr="000B2F83">
          <w:rPr>
            <w:rStyle w:val="Hyperlink"/>
          </w:rPr>
          <w:t>Table 79</w:t>
        </w:r>
        <w:r w:rsidR="002B3915">
          <w:rPr>
            <w:rFonts w:asciiTheme="minorHAnsi" w:eastAsiaTheme="minorEastAsia" w:hAnsiTheme="minorHAnsi" w:cstheme="minorBidi"/>
          </w:rPr>
          <w:tab/>
        </w:r>
        <w:r w:rsidR="002B3915" w:rsidRPr="000B2F83">
          <w:rPr>
            <w:rStyle w:val="Hyperlink"/>
          </w:rPr>
          <w:t>HTA websites</w:t>
        </w:r>
        <w:r w:rsidR="002B3915">
          <w:rPr>
            <w:webHidden/>
          </w:rPr>
          <w:tab/>
        </w:r>
        <w:r w:rsidR="002B3915">
          <w:rPr>
            <w:webHidden/>
          </w:rPr>
          <w:fldChar w:fldCharType="begin"/>
        </w:r>
        <w:r w:rsidR="002B3915">
          <w:rPr>
            <w:webHidden/>
          </w:rPr>
          <w:instrText xml:space="preserve"> PAGEREF _Toc502833097 \h </w:instrText>
        </w:r>
        <w:r w:rsidR="002B3915">
          <w:rPr>
            <w:webHidden/>
          </w:rPr>
        </w:r>
        <w:r w:rsidR="002B3915">
          <w:rPr>
            <w:webHidden/>
          </w:rPr>
          <w:fldChar w:fldCharType="separate"/>
        </w:r>
        <w:r>
          <w:rPr>
            <w:webHidden/>
          </w:rPr>
          <w:t>126</w:t>
        </w:r>
        <w:r w:rsidR="002B3915">
          <w:rPr>
            <w:webHidden/>
          </w:rPr>
          <w:fldChar w:fldCharType="end"/>
        </w:r>
      </w:hyperlink>
    </w:p>
    <w:p w14:paraId="44F023E9" w14:textId="77777777" w:rsidR="002B3915" w:rsidRDefault="00AC4BE5">
      <w:pPr>
        <w:pStyle w:val="TableofFigures"/>
        <w:rPr>
          <w:rFonts w:asciiTheme="minorHAnsi" w:eastAsiaTheme="minorEastAsia" w:hAnsiTheme="minorHAnsi" w:cstheme="minorBidi"/>
        </w:rPr>
      </w:pPr>
      <w:hyperlink w:anchor="_Toc502833098" w:history="1">
        <w:r w:rsidR="002B3915" w:rsidRPr="000B2F83">
          <w:rPr>
            <w:rStyle w:val="Hyperlink"/>
          </w:rPr>
          <w:t>Table 80</w:t>
        </w:r>
        <w:r w:rsidR="002B3915">
          <w:rPr>
            <w:rFonts w:asciiTheme="minorHAnsi" w:eastAsiaTheme="minorEastAsia" w:hAnsiTheme="minorHAnsi" w:cstheme="minorBidi"/>
          </w:rPr>
          <w:tab/>
        </w:r>
        <w:r w:rsidR="002B3915" w:rsidRPr="000B2F83">
          <w:rPr>
            <w:rStyle w:val="Hyperlink"/>
          </w:rPr>
          <w:t>Suggested search terms for AMH testing to measure ovarian reserve to determine the requirement for cryopreservation of ovarian tissue or oocytes prior to or following gonadotoxic treatment, PubMed</w:t>
        </w:r>
        <w:r w:rsidR="002B3915">
          <w:rPr>
            <w:webHidden/>
          </w:rPr>
          <w:tab/>
        </w:r>
        <w:r w:rsidR="002B3915">
          <w:rPr>
            <w:webHidden/>
          </w:rPr>
          <w:fldChar w:fldCharType="begin"/>
        </w:r>
        <w:r w:rsidR="002B3915">
          <w:rPr>
            <w:webHidden/>
          </w:rPr>
          <w:instrText xml:space="preserve"> PAGEREF _Toc502833098 \h </w:instrText>
        </w:r>
        <w:r w:rsidR="002B3915">
          <w:rPr>
            <w:webHidden/>
          </w:rPr>
        </w:r>
        <w:r w:rsidR="002B3915">
          <w:rPr>
            <w:webHidden/>
          </w:rPr>
          <w:fldChar w:fldCharType="separate"/>
        </w:r>
        <w:r>
          <w:rPr>
            <w:webHidden/>
          </w:rPr>
          <w:t>128</w:t>
        </w:r>
        <w:r w:rsidR="002B3915">
          <w:rPr>
            <w:webHidden/>
          </w:rPr>
          <w:fldChar w:fldCharType="end"/>
        </w:r>
      </w:hyperlink>
    </w:p>
    <w:p w14:paraId="4B9E81ED" w14:textId="77777777" w:rsidR="002B3915" w:rsidRDefault="00AC4BE5">
      <w:pPr>
        <w:pStyle w:val="TableofFigures"/>
        <w:rPr>
          <w:rFonts w:asciiTheme="minorHAnsi" w:eastAsiaTheme="minorEastAsia" w:hAnsiTheme="minorHAnsi" w:cstheme="minorBidi"/>
        </w:rPr>
      </w:pPr>
      <w:hyperlink w:anchor="_Toc502833099" w:history="1">
        <w:r w:rsidR="002B3915" w:rsidRPr="000B2F83">
          <w:rPr>
            <w:rStyle w:val="Hyperlink"/>
          </w:rPr>
          <w:t>Table 81</w:t>
        </w:r>
        <w:r w:rsidR="002B3915">
          <w:rPr>
            <w:rFonts w:asciiTheme="minorHAnsi" w:eastAsiaTheme="minorEastAsia" w:hAnsiTheme="minorHAnsi" w:cstheme="minorBidi"/>
          </w:rPr>
          <w:tab/>
        </w:r>
        <w:r w:rsidR="002B3915" w:rsidRPr="000B2F83">
          <w:rPr>
            <w:rStyle w:val="Hyperlink"/>
          </w:rPr>
          <w:t>Suggested search terms for AMH testing to measure ovarian reserve to determine the requirement for cryopreservation of ovarian tissue or oocytes prior to or following gonadotoxic treatment, Embase</w:t>
        </w:r>
        <w:r w:rsidR="002B3915">
          <w:rPr>
            <w:webHidden/>
          </w:rPr>
          <w:tab/>
        </w:r>
        <w:r w:rsidR="002B3915">
          <w:rPr>
            <w:webHidden/>
          </w:rPr>
          <w:fldChar w:fldCharType="begin"/>
        </w:r>
        <w:r w:rsidR="002B3915">
          <w:rPr>
            <w:webHidden/>
          </w:rPr>
          <w:instrText xml:space="preserve"> PAGEREF _Toc502833099 \h </w:instrText>
        </w:r>
        <w:r w:rsidR="002B3915">
          <w:rPr>
            <w:webHidden/>
          </w:rPr>
        </w:r>
        <w:r w:rsidR="002B3915">
          <w:rPr>
            <w:webHidden/>
          </w:rPr>
          <w:fldChar w:fldCharType="separate"/>
        </w:r>
        <w:r>
          <w:rPr>
            <w:webHidden/>
          </w:rPr>
          <w:t>129</w:t>
        </w:r>
        <w:r w:rsidR="002B3915">
          <w:rPr>
            <w:webHidden/>
          </w:rPr>
          <w:fldChar w:fldCharType="end"/>
        </w:r>
      </w:hyperlink>
    </w:p>
    <w:p w14:paraId="1AEB4A99" w14:textId="77777777" w:rsidR="002B3915" w:rsidRDefault="00AC4BE5">
      <w:pPr>
        <w:pStyle w:val="TableofFigures"/>
        <w:rPr>
          <w:rFonts w:asciiTheme="minorHAnsi" w:eastAsiaTheme="minorEastAsia" w:hAnsiTheme="minorHAnsi" w:cstheme="minorBidi"/>
        </w:rPr>
      </w:pPr>
      <w:hyperlink w:anchor="_Toc502833100" w:history="1">
        <w:r w:rsidR="002B3915" w:rsidRPr="000B2F83">
          <w:rPr>
            <w:rStyle w:val="Hyperlink"/>
          </w:rPr>
          <w:t>Table 82</w:t>
        </w:r>
        <w:r w:rsidR="002B3915">
          <w:rPr>
            <w:rFonts w:asciiTheme="minorHAnsi" w:eastAsiaTheme="minorEastAsia" w:hAnsiTheme="minorHAnsi" w:cstheme="minorBidi"/>
          </w:rPr>
          <w:tab/>
        </w:r>
        <w:r w:rsidR="002B3915" w:rsidRPr="000B2F83">
          <w:rPr>
            <w:rStyle w:val="Hyperlink"/>
          </w:rPr>
          <w:t>Profiles of studies on analytical validity studies providing 2x2 or ROC data included in the systematic literature review</w:t>
        </w:r>
        <w:r w:rsidR="002B3915">
          <w:rPr>
            <w:webHidden/>
          </w:rPr>
          <w:tab/>
        </w:r>
        <w:r w:rsidR="002B3915">
          <w:rPr>
            <w:webHidden/>
          </w:rPr>
          <w:fldChar w:fldCharType="begin"/>
        </w:r>
        <w:r w:rsidR="002B3915">
          <w:rPr>
            <w:webHidden/>
          </w:rPr>
          <w:instrText xml:space="preserve"> PAGEREF _Toc502833100 \h </w:instrText>
        </w:r>
        <w:r w:rsidR="002B3915">
          <w:rPr>
            <w:webHidden/>
          </w:rPr>
        </w:r>
        <w:r w:rsidR="002B3915">
          <w:rPr>
            <w:webHidden/>
          </w:rPr>
          <w:fldChar w:fldCharType="separate"/>
        </w:r>
        <w:r>
          <w:rPr>
            <w:webHidden/>
          </w:rPr>
          <w:t>130</w:t>
        </w:r>
        <w:r w:rsidR="002B3915">
          <w:rPr>
            <w:webHidden/>
          </w:rPr>
          <w:fldChar w:fldCharType="end"/>
        </w:r>
      </w:hyperlink>
    </w:p>
    <w:p w14:paraId="4F999FD4" w14:textId="77777777" w:rsidR="002B3915" w:rsidRDefault="00AC4BE5">
      <w:pPr>
        <w:pStyle w:val="TableofFigures"/>
        <w:rPr>
          <w:rFonts w:asciiTheme="minorHAnsi" w:eastAsiaTheme="minorEastAsia" w:hAnsiTheme="minorHAnsi" w:cstheme="minorBidi"/>
        </w:rPr>
      </w:pPr>
      <w:hyperlink w:anchor="_Toc502833101" w:history="1">
        <w:r w:rsidR="002B3915" w:rsidRPr="000B2F83">
          <w:rPr>
            <w:rStyle w:val="Hyperlink"/>
          </w:rPr>
          <w:t>Table 83</w:t>
        </w:r>
        <w:r w:rsidR="002B3915">
          <w:rPr>
            <w:rFonts w:asciiTheme="minorHAnsi" w:eastAsiaTheme="minorEastAsia" w:hAnsiTheme="minorHAnsi" w:cstheme="minorBidi"/>
          </w:rPr>
          <w:tab/>
        </w:r>
        <w:r w:rsidR="002B3915" w:rsidRPr="000B2F83">
          <w:rPr>
            <w:rStyle w:val="Hyperlink"/>
          </w:rPr>
          <w:t>Profiles of studies on diagnostic concordance between different AMH tests included in the systematic literature review</w:t>
        </w:r>
        <w:r w:rsidR="002B3915">
          <w:rPr>
            <w:webHidden/>
          </w:rPr>
          <w:tab/>
        </w:r>
        <w:r w:rsidR="002B3915">
          <w:rPr>
            <w:webHidden/>
          </w:rPr>
          <w:fldChar w:fldCharType="begin"/>
        </w:r>
        <w:r w:rsidR="002B3915">
          <w:rPr>
            <w:webHidden/>
          </w:rPr>
          <w:instrText xml:space="preserve"> PAGEREF _Toc502833101 \h </w:instrText>
        </w:r>
        <w:r w:rsidR="002B3915">
          <w:rPr>
            <w:webHidden/>
          </w:rPr>
        </w:r>
        <w:r w:rsidR="002B3915">
          <w:rPr>
            <w:webHidden/>
          </w:rPr>
          <w:fldChar w:fldCharType="separate"/>
        </w:r>
        <w:r>
          <w:rPr>
            <w:webHidden/>
          </w:rPr>
          <w:t>132</w:t>
        </w:r>
        <w:r w:rsidR="002B3915">
          <w:rPr>
            <w:webHidden/>
          </w:rPr>
          <w:fldChar w:fldCharType="end"/>
        </w:r>
      </w:hyperlink>
    </w:p>
    <w:p w14:paraId="53957676" w14:textId="77777777" w:rsidR="002B3915" w:rsidRDefault="00AC4BE5">
      <w:pPr>
        <w:pStyle w:val="TableofFigures"/>
        <w:rPr>
          <w:rFonts w:asciiTheme="minorHAnsi" w:eastAsiaTheme="minorEastAsia" w:hAnsiTheme="minorHAnsi" w:cstheme="minorBidi"/>
        </w:rPr>
      </w:pPr>
      <w:hyperlink w:anchor="_Toc502833102" w:history="1">
        <w:r w:rsidR="002B3915" w:rsidRPr="000B2F83">
          <w:rPr>
            <w:rStyle w:val="Hyperlink"/>
          </w:rPr>
          <w:t>Table 84</w:t>
        </w:r>
        <w:r w:rsidR="002B3915">
          <w:rPr>
            <w:rFonts w:asciiTheme="minorHAnsi" w:eastAsiaTheme="minorEastAsia" w:hAnsiTheme="minorHAnsi" w:cstheme="minorBidi"/>
          </w:rPr>
          <w:tab/>
        </w:r>
        <w:r w:rsidR="002B3915" w:rsidRPr="000B2F83">
          <w:rPr>
            <w:rStyle w:val="Hyperlink"/>
          </w:rPr>
          <w:t>Profiles of studies on diagnostic concordance between AMH and other tests included in the systematic literature review</w:t>
        </w:r>
        <w:r w:rsidR="002B3915">
          <w:rPr>
            <w:webHidden/>
          </w:rPr>
          <w:tab/>
        </w:r>
        <w:r w:rsidR="002B3915">
          <w:rPr>
            <w:webHidden/>
          </w:rPr>
          <w:fldChar w:fldCharType="begin"/>
        </w:r>
        <w:r w:rsidR="002B3915">
          <w:rPr>
            <w:webHidden/>
          </w:rPr>
          <w:instrText xml:space="preserve"> PAGEREF _Toc502833102 \h </w:instrText>
        </w:r>
        <w:r w:rsidR="002B3915">
          <w:rPr>
            <w:webHidden/>
          </w:rPr>
        </w:r>
        <w:r w:rsidR="002B3915">
          <w:rPr>
            <w:webHidden/>
          </w:rPr>
          <w:fldChar w:fldCharType="separate"/>
        </w:r>
        <w:r>
          <w:rPr>
            <w:webHidden/>
          </w:rPr>
          <w:t>132</w:t>
        </w:r>
        <w:r w:rsidR="002B3915">
          <w:rPr>
            <w:webHidden/>
          </w:rPr>
          <w:fldChar w:fldCharType="end"/>
        </w:r>
      </w:hyperlink>
    </w:p>
    <w:p w14:paraId="27EE5CAB" w14:textId="77777777" w:rsidR="002B3915" w:rsidRDefault="00AC4BE5">
      <w:pPr>
        <w:pStyle w:val="TableofFigures"/>
        <w:rPr>
          <w:rFonts w:asciiTheme="minorHAnsi" w:eastAsiaTheme="minorEastAsia" w:hAnsiTheme="minorHAnsi" w:cstheme="minorBidi"/>
        </w:rPr>
      </w:pPr>
      <w:hyperlink w:anchor="_Toc502833103" w:history="1">
        <w:r w:rsidR="002B3915" w:rsidRPr="000B2F83">
          <w:rPr>
            <w:rStyle w:val="Hyperlink"/>
            <w:lang w:eastAsia="en-US"/>
          </w:rPr>
          <w:t>Table 85</w:t>
        </w:r>
        <w:r w:rsidR="002B3915">
          <w:rPr>
            <w:rFonts w:asciiTheme="minorHAnsi" w:eastAsiaTheme="minorEastAsia" w:hAnsiTheme="minorHAnsi" w:cstheme="minorBidi"/>
          </w:rPr>
          <w:tab/>
        </w:r>
        <w:r w:rsidR="002B3915" w:rsidRPr="000B2F83">
          <w:rPr>
            <w:rStyle w:val="Hyperlink"/>
            <w:lang w:eastAsia="en-US"/>
          </w:rPr>
          <w:t>Prognostic evidence on ovarian function / amenorrhea / menses</w:t>
        </w:r>
        <w:r w:rsidR="002B3915">
          <w:rPr>
            <w:webHidden/>
          </w:rPr>
          <w:tab/>
        </w:r>
        <w:r w:rsidR="002B3915">
          <w:rPr>
            <w:webHidden/>
          </w:rPr>
          <w:fldChar w:fldCharType="begin"/>
        </w:r>
        <w:r w:rsidR="002B3915">
          <w:rPr>
            <w:webHidden/>
          </w:rPr>
          <w:instrText xml:space="preserve"> PAGEREF _Toc502833103 \h </w:instrText>
        </w:r>
        <w:r w:rsidR="002B3915">
          <w:rPr>
            <w:webHidden/>
          </w:rPr>
        </w:r>
        <w:r w:rsidR="002B3915">
          <w:rPr>
            <w:webHidden/>
          </w:rPr>
          <w:fldChar w:fldCharType="separate"/>
        </w:r>
        <w:r>
          <w:rPr>
            <w:webHidden/>
          </w:rPr>
          <w:t>137</w:t>
        </w:r>
        <w:r w:rsidR="002B3915">
          <w:rPr>
            <w:webHidden/>
          </w:rPr>
          <w:fldChar w:fldCharType="end"/>
        </w:r>
      </w:hyperlink>
    </w:p>
    <w:p w14:paraId="7E65D0C0" w14:textId="77777777" w:rsidR="002B3915" w:rsidRDefault="00AC4BE5">
      <w:pPr>
        <w:pStyle w:val="TableofFigures"/>
        <w:rPr>
          <w:rFonts w:asciiTheme="minorHAnsi" w:eastAsiaTheme="minorEastAsia" w:hAnsiTheme="minorHAnsi" w:cstheme="minorBidi"/>
        </w:rPr>
      </w:pPr>
      <w:hyperlink w:anchor="_Toc502833104" w:history="1">
        <w:r w:rsidR="002B3915" w:rsidRPr="000B2F83">
          <w:rPr>
            <w:rStyle w:val="Hyperlink"/>
            <w:lang w:eastAsia="en-US"/>
          </w:rPr>
          <w:t>Table 86</w:t>
        </w:r>
        <w:r w:rsidR="002B3915">
          <w:rPr>
            <w:rFonts w:asciiTheme="minorHAnsi" w:eastAsiaTheme="minorEastAsia" w:hAnsiTheme="minorHAnsi" w:cstheme="minorBidi"/>
          </w:rPr>
          <w:tab/>
        </w:r>
        <w:r w:rsidR="002B3915" w:rsidRPr="000B2F83">
          <w:rPr>
            <w:rStyle w:val="Hyperlink"/>
            <w:lang w:eastAsia="en-US"/>
          </w:rPr>
          <w:t>Predictive evidence: AMH levels predicting ovarian response</w:t>
        </w:r>
        <w:r w:rsidR="002B3915">
          <w:rPr>
            <w:webHidden/>
          </w:rPr>
          <w:tab/>
        </w:r>
        <w:r w:rsidR="002B3915">
          <w:rPr>
            <w:webHidden/>
          </w:rPr>
          <w:fldChar w:fldCharType="begin"/>
        </w:r>
        <w:r w:rsidR="002B3915">
          <w:rPr>
            <w:webHidden/>
          </w:rPr>
          <w:instrText xml:space="preserve"> PAGEREF _Toc502833104 \h </w:instrText>
        </w:r>
        <w:r w:rsidR="002B3915">
          <w:rPr>
            <w:webHidden/>
          </w:rPr>
        </w:r>
        <w:r w:rsidR="002B3915">
          <w:rPr>
            <w:webHidden/>
          </w:rPr>
          <w:fldChar w:fldCharType="separate"/>
        </w:r>
        <w:r>
          <w:rPr>
            <w:webHidden/>
          </w:rPr>
          <w:t>146</w:t>
        </w:r>
        <w:r w:rsidR="002B3915">
          <w:rPr>
            <w:webHidden/>
          </w:rPr>
          <w:fldChar w:fldCharType="end"/>
        </w:r>
      </w:hyperlink>
    </w:p>
    <w:p w14:paraId="230664A4" w14:textId="77777777" w:rsidR="002B3915" w:rsidRDefault="00AC4BE5">
      <w:pPr>
        <w:pStyle w:val="TableofFigures"/>
        <w:rPr>
          <w:rFonts w:asciiTheme="minorHAnsi" w:eastAsiaTheme="minorEastAsia" w:hAnsiTheme="minorHAnsi" w:cstheme="minorBidi"/>
        </w:rPr>
      </w:pPr>
      <w:hyperlink w:anchor="_Toc502833105" w:history="1">
        <w:r w:rsidR="002B3915" w:rsidRPr="000B2F83">
          <w:rPr>
            <w:rStyle w:val="Hyperlink"/>
            <w:lang w:eastAsia="en-US"/>
          </w:rPr>
          <w:t>Table 87</w:t>
        </w:r>
        <w:r w:rsidR="002B3915">
          <w:rPr>
            <w:rFonts w:asciiTheme="minorHAnsi" w:eastAsiaTheme="minorEastAsia" w:hAnsiTheme="minorHAnsi" w:cstheme="minorBidi"/>
          </w:rPr>
          <w:tab/>
        </w:r>
        <w:r w:rsidR="002B3915" w:rsidRPr="000B2F83">
          <w:rPr>
            <w:rStyle w:val="Hyperlink"/>
            <w:lang w:eastAsia="en-US"/>
          </w:rPr>
          <w:t>Prognostic evidence: AMH levels predicting pregnancy</w:t>
        </w:r>
        <w:r w:rsidR="002B3915">
          <w:rPr>
            <w:webHidden/>
          </w:rPr>
          <w:tab/>
        </w:r>
        <w:r w:rsidR="002B3915">
          <w:rPr>
            <w:webHidden/>
          </w:rPr>
          <w:fldChar w:fldCharType="begin"/>
        </w:r>
        <w:r w:rsidR="002B3915">
          <w:rPr>
            <w:webHidden/>
          </w:rPr>
          <w:instrText xml:space="preserve"> PAGEREF _Toc502833105 \h </w:instrText>
        </w:r>
        <w:r w:rsidR="002B3915">
          <w:rPr>
            <w:webHidden/>
          </w:rPr>
        </w:r>
        <w:r w:rsidR="002B3915">
          <w:rPr>
            <w:webHidden/>
          </w:rPr>
          <w:fldChar w:fldCharType="separate"/>
        </w:r>
        <w:r>
          <w:rPr>
            <w:webHidden/>
          </w:rPr>
          <w:t>148</w:t>
        </w:r>
        <w:r w:rsidR="002B3915">
          <w:rPr>
            <w:webHidden/>
          </w:rPr>
          <w:fldChar w:fldCharType="end"/>
        </w:r>
      </w:hyperlink>
    </w:p>
    <w:p w14:paraId="474FAA0A" w14:textId="77777777" w:rsidR="002B3915" w:rsidRDefault="00AC4BE5">
      <w:pPr>
        <w:pStyle w:val="TableofFigures"/>
        <w:rPr>
          <w:rFonts w:asciiTheme="minorHAnsi" w:eastAsiaTheme="minorEastAsia" w:hAnsiTheme="minorHAnsi" w:cstheme="minorBidi"/>
        </w:rPr>
      </w:pPr>
      <w:hyperlink w:anchor="_Toc502833106" w:history="1">
        <w:r w:rsidR="002B3915" w:rsidRPr="000B2F83">
          <w:rPr>
            <w:rStyle w:val="Hyperlink"/>
          </w:rPr>
          <w:t>Table 88</w:t>
        </w:r>
        <w:r w:rsidR="002B3915">
          <w:rPr>
            <w:rFonts w:asciiTheme="minorHAnsi" w:eastAsiaTheme="minorEastAsia" w:hAnsiTheme="minorHAnsi" w:cstheme="minorBidi"/>
          </w:rPr>
          <w:tab/>
        </w:r>
        <w:r w:rsidR="002B3915" w:rsidRPr="000B2F83">
          <w:rPr>
            <w:rStyle w:val="Hyperlink"/>
          </w:rPr>
          <w:t>Evidence profile table for the analytical validity of AMH testing for girls or women undergoing gonadotoxic treatment</w:t>
        </w:r>
        <w:r w:rsidR="002B3915">
          <w:rPr>
            <w:webHidden/>
          </w:rPr>
          <w:tab/>
        </w:r>
        <w:r w:rsidR="002B3915">
          <w:rPr>
            <w:webHidden/>
          </w:rPr>
          <w:fldChar w:fldCharType="begin"/>
        </w:r>
        <w:r w:rsidR="002B3915">
          <w:rPr>
            <w:webHidden/>
          </w:rPr>
          <w:instrText xml:space="preserve"> PAGEREF _Toc502833106 \h </w:instrText>
        </w:r>
        <w:r w:rsidR="002B3915">
          <w:rPr>
            <w:webHidden/>
          </w:rPr>
        </w:r>
        <w:r w:rsidR="002B3915">
          <w:rPr>
            <w:webHidden/>
          </w:rPr>
          <w:fldChar w:fldCharType="separate"/>
        </w:r>
        <w:r>
          <w:rPr>
            <w:webHidden/>
          </w:rPr>
          <w:t>152</w:t>
        </w:r>
        <w:r w:rsidR="002B3915">
          <w:rPr>
            <w:webHidden/>
          </w:rPr>
          <w:fldChar w:fldCharType="end"/>
        </w:r>
      </w:hyperlink>
    </w:p>
    <w:p w14:paraId="563B1FE4" w14:textId="77777777" w:rsidR="002B3915" w:rsidRDefault="00AC4BE5">
      <w:pPr>
        <w:pStyle w:val="TableofFigures"/>
        <w:rPr>
          <w:rFonts w:asciiTheme="minorHAnsi" w:eastAsiaTheme="minorEastAsia" w:hAnsiTheme="minorHAnsi" w:cstheme="minorBidi"/>
        </w:rPr>
      </w:pPr>
      <w:hyperlink w:anchor="_Toc502833107" w:history="1">
        <w:r w:rsidR="002B3915" w:rsidRPr="000B2F83">
          <w:rPr>
            <w:rStyle w:val="Hyperlink"/>
          </w:rPr>
          <w:t>Table 89</w:t>
        </w:r>
        <w:r w:rsidR="002B3915">
          <w:rPr>
            <w:rFonts w:asciiTheme="minorHAnsi" w:eastAsiaTheme="minorEastAsia" w:hAnsiTheme="minorHAnsi" w:cstheme="minorBidi"/>
          </w:rPr>
          <w:tab/>
        </w:r>
        <w:r w:rsidR="002B3915" w:rsidRPr="000B2F83">
          <w:rPr>
            <w:rStyle w:val="Hyperlink"/>
          </w:rPr>
          <w:t>Evidence profile table for the prognostic and predictive evidence of AMH testing for women undergoing gonadotoxic treatment</w:t>
        </w:r>
        <w:r w:rsidR="002B3915">
          <w:rPr>
            <w:webHidden/>
          </w:rPr>
          <w:tab/>
        </w:r>
        <w:r w:rsidR="002B3915">
          <w:rPr>
            <w:webHidden/>
          </w:rPr>
          <w:fldChar w:fldCharType="begin"/>
        </w:r>
        <w:r w:rsidR="002B3915">
          <w:rPr>
            <w:webHidden/>
          </w:rPr>
          <w:instrText xml:space="preserve"> PAGEREF _Toc502833107 \h </w:instrText>
        </w:r>
        <w:r w:rsidR="002B3915">
          <w:rPr>
            <w:webHidden/>
          </w:rPr>
        </w:r>
        <w:r w:rsidR="002B3915">
          <w:rPr>
            <w:webHidden/>
          </w:rPr>
          <w:fldChar w:fldCharType="separate"/>
        </w:r>
        <w:r>
          <w:rPr>
            <w:webHidden/>
          </w:rPr>
          <w:t>155</w:t>
        </w:r>
        <w:r w:rsidR="002B3915">
          <w:rPr>
            <w:webHidden/>
          </w:rPr>
          <w:fldChar w:fldCharType="end"/>
        </w:r>
      </w:hyperlink>
    </w:p>
    <w:p w14:paraId="35435B00" w14:textId="77777777" w:rsidR="002B3915" w:rsidRDefault="00AC4BE5">
      <w:pPr>
        <w:pStyle w:val="TableofFigures"/>
        <w:rPr>
          <w:rFonts w:asciiTheme="minorHAnsi" w:eastAsiaTheme="minorEastAsia" w:hAnsiTheme="minorHAnsi" w:cstheme="minorBidi"/>
        </w:rPr>
      </w:pPr>
      <w:hyperlink w:anchor="_Toc502833108" w:history="1">
        <w:r w:rsidR="002B3915" w:rsidRPr="000B2F83">
          <w:rPr>
            <w:rStyle w:val="Hyperlink"/>
          </w:rPr>
          <w:t>Table 90</w:t>
        </w:r>
        <w:r w:rsidR="002B3915">
          <w:rPr>
            <w:rFonts w:asciiTheme="minorHAnsi" w:eastAsiaTheme="minorEastAsia" w:hAnsiTheme="minorHAnsi" w:cstheme="minorBidi"/>
          </w:rPr>
          <w:tab/>
        </w:r>
        <w:r w:rsidR="002B3915" w:rsidRPr="000B2F83">
          <w:rPr>
            <w:rStyle w:val="Hyperlink"/>
          </w:rPr>
          <w:t>Evidence profile table for the clinical validity of AMH testing for girls or women undergoing gonadotoxic treatment</w:t>
        </w:r>
        <w:r w:rsidR="002B3915">
          <w:rPr>
            <w:webHidden/>
          </w:rPr>
          <w:tab/>
        </w:r>
        <w:r w:rsidR="002B3915">
          <w:rPr>
            <w:webHidden/>
          </w:rPr>
          <w:fldChar w:fldCharType="begin"/>
        </w:r>
        <w:r w:rsidR="002B3915">
          <w:rPr>
            <w:webHidden/>
          </w:rPr>
          <w:instrText xml:space="preserve"> PAGEREF _Toc502833108 \h </w:instrText>
        </w:r>
        <w:r w:rsidR="002B3915">
          <w:rPr>
            <w:webHidden/>
          </w:rPr>
        </w:r>
        <w:r w:rsidR="002B3915">
          <w:rPr>
            <w:webHidden/>
          </w:rPr>
          <w:fldChar w:fldCharType="separate"/>
        </w:r>
        <w:r>
          <w:rPr>
            <w:webHidden/>
          </w:rPr>
          <w:t>158</w:t>
        </w:r>
        <w:r w:rsidR="002B3915">
          <w:rPr>
            <w:webHidden/>
          </w:rPr>
          <w:fldChar w:fldCharType="end"/>
        </w:r>
      </w:hyperlink>
    </w:p>
    <w:p w14:paraId="7406DB6D" w14:textId="77777777" w:rsidR="002B3915" w:rsidRDefault="00AC4BE5">
      <w:pPr>
        <w:pStyle w:val="TableofFigures"/>
        <w:rPr>
          <w:rFonts w:asciiTheme="minorHAnsi" w:eastAsiaTheme="minorEastAsia" w:hAnsiTheme="minorHAnsi" w:cstheme="minorBidi"/>
        </w:rPr>
      </w:pPr>
      <w:hyperlink w:anchor="_Toc502833109" w:history="1">
        <w:r w:rsidR="002B3915" w:rsidRPr="000B2F83">
          <w:rPr>
            <w:rStyle w:val="Hyperlink"/>
          </w:rPr>
          <w:t>Table 91</w:t>
        </w:r>
        <w:r w:rsidR="002B3915">
          <w:rPr>
            <w:rFonts w:asciiTheme="minorHAnsi" w:eastAsiaTheme="minorEastAsia" w:hAnsiTheme="minorHAnsi" w:cstheme="minorBidi"/>
          </w:rPr>
          <w:tab/>
        </w:r>
        <w:r w:rsidR="002B3915" w:rsidRPr="000B2F83">
          <w:rPr>
            <w:rStyle w:val="Hyperlink"/>
          </w:rPr>
          <w:t>Quality appraisal for studies included in predictive and prognostic evidence section of B4, measured using QUIPS tool</w:t>
        </w:r>
        <w:r w:rsidR="002B3915">
          <w:rPr>
            <w:webHidden/>
          </w:rPr>
          <w:tab/>
        </w:r>
        <w:r w:rsidR="002B3915">
          <w:rPr>
            <w:webHidden/>
          </w:rPr>
          <w:fldChar w:fldCharType="begin"/>
        </w:r>
        <w:r w:rsidR="002B3915">
          <w:rPr>
            <w:webHidden/>
          </w:rPr>
          <w:instrText xml:space="preserve"> PAGEREF _Toc502833109 \h </w:instrText>
        </w:r>
        <w:r w:rsidR="002B3915">
          <w:rPr>
            <w:webHidden/>
          </w:rPr>
        </w:r>
        <w:r w:rsidR="002B3915">
          <w:rPr>
            <w:webHidden/>
          </w:rPr>
          <w:fldChar w:fldCharType="separate"/>
        </w:r>
        <w:r>
          <w:rPr>
            <w:webHidden/>
          </w:rPr>
          <w:t>163</w:t>
        </w:r>
        <w:r w:rsidR="002B3915">
          <w:rPr>
            <w:webHidden/>
          </w:rPr>
          <w:fldChar w:fldCharType="end"/>
        </w:r>
      </w:hyperlink>
    </w:p>
    <w:p w14:paraId="461CC8ED" w14:textId="77777777" w:rsidR="002B3915" w:rsidRDefault="00AC4BE5">
      <w:pPr>
        <w:pStyle w:val="TableofFigures"/>
        <w:rPr>
          <w:rFonts w:asciiTheme="minorHAnsi" w:eastAsiaTheme="minorEastAsia" w:hAnsiTheme="minorHAnsi" w:cstheme="minorBidi"/>
        </w:rPr>
      </w:pPr>
      <w:hyperlink w:anchor="_Toc502833110" w:history="1">
        <w:r w:rsidR="002B3915" w:rsidRPr="000B2F83">
          <w:rPr>
            <w:rStyle w:val="Hyperlink"/>
          </w:rPr>
          <w:t>Table 92</w:t>
        </w:r>
        <w:r w:rsidR="002B3915">
          <w:rPr>
            <w:rFonts w:asciiTheme="minorHAnsi" w:eastAsiaTheme="minorEastAsia" w:hAnsiTheme="minorHAnsi" w:cstheme="minorBidi"/>
          </w:rPr>
          <w:tab/>
        </w:r>
        <w:r w:rsidR="002B3915" w:rsidRPr="000B2F83">
          <w:rPr>
            <w:rStyle w:val="Hyperlink"/>
          </w:rPr>
          <w:t xml:space="preserve">Correlation of </w:t>
        </w:r>
        <w:r w:rsidR="002B3915" w:rsidRPr="000B2F83">
          <w:rPr>
            <w:rStyle w:val="Hyperlink"/>
            <w:lang w:eastAsia="en-US"/>
          </w:rPr>
          <w:t>AMH and AFC</w:t>
        </w:r>
        <w:r w:rsidR="002B3915">
          <w:rPr>
            <w:webHidden/>
          </w:rPr>
          <w:tab/>
        </w:r>
        <w:r w:rsidR="002B3915">
          <w:rPr>
            <w:webHidden/>
          </w:rPr>
          <w:fldChar w:fldCharType="begin"/>
        </w:r>
        <w:r w:rsidR="002B3915">
          <w:rPr>
            <w:webHidden/>
          </w:rPr>
          <w:instrText xml:space="preserve"> PAGEREF _Toc502833110 \h </w:instrText>
        </w:r>
        <w:r w:rsidR="002B3915">
          <w:rPr>
            <w:webHidden/>
          </w:rPr>
        </w:r>
        <w:r w:rsidR="002B3915">
          <w:rPr>
            <w:webHidden/>
          </w:rPr>
          <w:fldChar w:fldCharType="separate"/>
        </w:r>
        <w:r>
          <w:rPr>
            <w:webHidden/>
          </w:rPr>
          <w:t>164</w:t>
        </w:r>
        <w:r w:rsidR="002B3915">
          <w:rPr>
            <w:webHidden/>
          </w:rPr>
          <w:fldChar w:fldCharType="end"/>
        </w:r>
      </w:hyperlink>
    </w:p>
    <w:p w14:paraId="59550E54" w14:textId="77777777" w:rsidR="002B3915" w:rsidRDefault="00AC4BE5">
      <w:pPr>
        <w:pStyle w:val="TableofFigures"/>
        <w:rPr>
          <w:rFonts w:asciiTheme="minorHAnsi" w:eastAsiaTheme="minorEastAsia" w:hAnsiTheme="minorHAnsi" w:cstheme="minorBidi"/>
        </w:rPr>
      </w:pPr>
      <w:hyperlink w:anchor="_Toc502833111" w:history="1">
        <w:r w:rsidR="002B3915" w:rsidRPr="000B2F83">
          <w:rPr>
            <w:rStyle w:val="Hyperlink"/>
          </w:rPr>
          <w:t>Table 93</w:t>
        </w:r>
        <w:r w:rsidR="002B3915">
          <w:rPr>
            <w:rFonts w:asciiTheme="minorHAnsi" w:eastAsiaTheme="minorEastAsia" w:hAnsiTheme="minorHAnsi" w:cstheme="minorBidi"/>
          </w:rPr>
          <w:tab/>
        </w:r>
        <w:r w:rsidR="002B3915" w:rsidRPr="000B2F83">
          <w:rPr>
            <w:rStyle w:val="Hyperlink"/>
          </w:rPr>
          <w:t xml:space="preserve">Correlation between </w:t>
        </w:r>
        <w:r w:rsidR="002B3915" w:rsidRPr="000B2F83">
          <w:rPr>
            <w:rStyle w:val="Hyperlink"/>
            <w:lang w:eastAsia="en-US"/>
          </w:rPr>
          <w:t>AMH and ovarian biopsy (primoidal follicle count)</w:t>
        </w:r>
        <w:r w:rsidR="002B3915">
          <w:rPr>
            <w:webHidden/>
          </w:rPr>
          <w:tab/>
        </w:r>
        <w:r w:rsidR="002B3915">
          <w:rPr>
            <w:webHidden/>
          </w:rPr>
          <w:fldChar w:fldCharType="begin"/>
        </w:r>
        <w:r w:rsidR="002B3915">
          <w:rPr>
            <w:webHidden/>
          </w:rPr>
          <w:instrText xml:space="preserve"> PAGEREF _Toc502833111 \h </w:instrText>
        </w:r>
        <w:r w:rsidR="002B3915">
          <w:rPr>
            <w:webHidden/>
          </w:rPr>
        </w:r>
        <w:r w:rsidR="002B3915">
          <w:rPr>
            <w:webHidden/>
          </w:rPr>
          <w:fldChar w:fldCharType="separate"/>
        </w:r>
        <w:r>
          <w:rPr>
            <w:webHidden/>
          </w:rPr>
          <w:t>164</w:t>
        </w:r>
        <w:r w:rsidR="002B3915">
          <w:rPr>
            <w:webHidden/>
          </w:rPr>
          <w:fldChar w:fldCharType="end"/>
        </w:r>
      </w:hyperlink>
    </w:p>
    <w:p w14:paraId="2F138B60" w14:textId="77777777" w:rsidR="002B3915" w:rsidRDefault="00AC4BE5">
      <w:pPr>
        <w:pStyle w:val="TableofFigures"/>
        <w:rPr>
          <w:rFonts w:asciiTheme="minorHAnsi" w:eastAsiaTheme="minorEastAsia" w:hAnsiTheme="minorHAnsi" w:cstheme="minorBidi"/>
        </w:rPr>
      </w:pPr>
      <w:hyperlink w:anchor="_Toc502833112" w:history="1">
        <w:r w:rsidR="002B3915" w:rsidRPr="000B2F83">
          <w:rPr>
            <w:rStyle w:val="Hyperlink"/>
          </w:rPr>
          <w:t>Table 94</w:t>
        </w:r>
        <w:r w:rsidR="002B3915">
          <w:rPr>
            <w:rFonts w:asciiTheme="minorHAnsi" w:eastAsiaTheme="minorEastAsia" w:hAnsiTheme="minorHAnsi" w:cstheme="minorBidi"/>
          </w:rPr>
          <w:tab/>
        </w:r>
        <w:r w:rsidR="002B3915" w:rsidRPr="000B2F83">
          <w:rPr>
            <w:rStyle w:val="Hyperlink"/>
          </w:rPr>
          <w:t xml:space="preserve">Correlation between </w:t>
        </w:r>
        <w:r w:rsidR="002B3915" w:rsidRPr="000B2F83">
          <w:rPr>
            <w:rStyle w:val="Hyperlink"/>
            <w:lang w:eastAsia="en-US"/>
          </w:rPr>
          <w:t>AMH and FSH levels</w:t>
        </w:r>
        <w:r w:rsidR="002B3915">
          <w:rPr>
            <w:webHidden/>
          </w:rPr>
          <w:tab/>
        </w:r>
        <w:r w:rsidR="002B3915">
          <w:rPr>
            <w:webHidden/>
          </w:rPr>
          <w:fldChar w:fldCharType="begin"/>
        </w:r>
        <w:r w:rsidR="002B3915">
          <w:rPr>
            <w:webHidden/>
          </w:rPr>
          <w:instrText xml:space="preserve"> PAGEREF _Toc502833112 \h </w:instrText>
        </w:r>
        <w:r w:rsidR="002B3915">
          <w:rPr>
            <w:webHidden/>
          </w:rPr>
        </w:r>
        <w:r w:rsidR="002B3915">
          <w:rPr>
            <w:webHidden/>
          </w:rPr>
          <w:fldChar w:fldCharType="separate"/>
        </w:r>
        <w:r>
          <w:rPr>
            <w:webHidden/>
          </w:rPr>
          <w:t>165</w:t>
        </w:r>
        <w:r w:rsidR="002B3915">
          <w:rPr>
            <w:webHidden/>
          </w:rPr>
          <w:fldChar w:fldCharType="end"/>
        </w:r>
      </w:hyperlink>
    </w:p>
    <w:p w14:paraId="1BD6BA11" w14:textId="77777777" w:rsidR="002B3915" w:rsidRDefault="00AC4BE5">
      <w:pPr>
        <w:pStyle w:val="TableofFigures"/>
        <w:rPr>
          <w:rFonts w:asciiTheme="minorHAnsi" w:eastAsiaTheme="minorEastAsia" w:hAnsiTheme="minorHAnsi" w:cstheme="minorBidi"/>
        </w:rPr>
      </w:pPr>
      <w:hyperlink w:anchor="_Toc502833113" w:history="1">
        <w:r w:rsidR="002B3915" w:rsidRPr="000B2F83">
          <w:rPr>
            <w:rStyle w:val="Hyperlink"/>
          </w:rPr>
          <w:t>Table 95</w:t>
        </w:r>
        <w:r w:rsidR="002B3915">
          <w:rPr>
            <w:rFonts w:asciiTheme="minorHAnsi" w:eastAsiaTheme="minorEastAsia" w:hAnsiTheme="minorHAnsi" w:cstheme="minorBidi"/>
          </w:rPr>
          <w:tab/>
        </w:r>
        <w:r w:rsidR="002B3915" w:rsidRPr="000B2F83">
          <w:rPr>
            <w:rStyle w:val="Hyperlink"/>
          </w:rPr>
          <w:t>Correlation between AMH and E2 levels</w:t>
        </w:r>
        <w:r w:rsidR="002B3915">
          <w:rPr>
            <w:webHidden/>
          </w:rPr>
          <w:tab/>
        </w:r>
        <w:r w:rsidR="002B3915">
          <w:rPr>
            <w:webHidden/>
          </w:rPr>
          <w:fldChar w:fldCharType="begin"/>
        </w:r>
        <w:r w:rsidR="002B3915">
          <w:rPr>
            <w:webHidden/>
          </w:rPr>
          <w:instrText xml:space="preserve"> PAGEREF _Toc502833113 \h </w:instrText>
        </w:r>
        <w:r w:rsidR="002B3915">
          <w:rPr>
            <w:webHidden/>
          </w:rPr>
        </w:r>
        <w:r w:rsidR="002B3915">
          <w:rPr>
            <w:webHidden/>
          </w:rPr>
          <w:fldChar w:fldCharType="separate"/>
        </w:r>
        <w:r>
          <w:rPr>
            <w:webHidden/>
          </w:rPr>
          <w:t>166</w:t>
        </w:r>
        <w:r w:rsidR="002B3915">
          <w:rPr>
            <w:webHidden/>
          </w:rPr>
          <w:fldChar w:fldCharType="end"/>
        </w:r>
      </w:hyperlink>
    </w:p>
    <w:p w14:paraId="17ACF000" w14:textId="77777777" w:rsidR="002B3915" w:rsidRDefault="00AC4BE5">
      <w:pPr>
        <w:pStyle w:val="TableofFigures"/>
        <w:rPr>
          <w:rFonts w:asciiTheme="minorHAnsi" w:eastAsiaTheme="minorEastAsia" w:hAnsiTheme="minorHAnsi" w:cstheme="minorBidi"/>
        </w:rPr>
      </w:pPr>
      <w:hyperlink w:anchor="_Toc502833114" w:history="1">
        <w:r w:rsidR="002B3915" w:rsidRPr="000B2F83">
          <w:rPr>
            <w:rStyle w:val="Hyperlink"/>
          </w:rPr>
          <w:t>Table 96</w:t>
        </w:r>
        <w:r w:rsidR="002B3915">
          <w:rPr>
            <w:rFonts w:asciiTheme="minorHAnsi" w:eastAsiaTheme="minorEastAsia" w:hAnsiTheme="minorHAnsi" w:cstheme="minorBidi"/>
          </w:rPr>
          <w:tab/>
        </w:r>
        <w:r w:rsidR="002B3915" w:rsidRPr="000B2F83">
          <w:rPr>
            <w:rStyle w:val="Hyperlink"/>
          </w:rPr>
          <w:t xml:space="preserve">Correlation between </w:t>
        </w:r>
        <w:r w:rsidR="002B3915" w:rsidRPr="000B2F83">
          <w:rPr>
            <w:rStyle w:val="Hyperlink"/>
            <w:lang w:eastAsia="en-US"/>
          </w:rPr>
          <w:t>AMH and inhibin B levels</w:t>
        </w:r>
        <w:r w:rsidR="002B3915">
          <w:rPr>
            <w:webHidden/>
          </w:rPr>
          <w:tab/>
        </w:r>
        <w:r w:rsidR="002B3915">
          <w:rPr>
            <w:webHidden/>
          </w:rPr>
          <w:fldChar w:fldCharType="begin"/>
        </w:r>
        <w:r w:rsidR="002B3915">
          <w:rPr>
            <w:webHidden/>
          </w:rPr>
          <w:instrText xml:space="preserve"> PAGEREF _Toc502833114 \h </w:instrText>
        </w:r>
        <w:r w:rsidR="002B3915">
          <w:rPr>
            <w:webHidden/>
          </w:rPr>
        </w:r>
        <w:r w:rsidR="002B3915">
          <w:rPr>
            <w:webHidden/>
          </w:rPr>
          <w:fldChar w:fldCharType="separate"/>
        </w:r>
        <w:r>
          <w:rPr>
            <w:webHidden/>
          </w:rPr>
          <w:t>167</w:t>
        </w:r>
        <w:r w:rsidR="002B3915">
          <w:rPr>
            <w:webHidden/>
          </w:rPr>
          <w:fldChar w:fldCharType="end"/>
        </w:r>
      </w:hyperlink>
    </w:p>
    <w:p w14:paraId="72DAC5CA" w14:textId="23023B55" w:rsidR="008A46A4" w:rsidRPr="00183E4D" w:rsidRDefault="00503C5B" w:rsidP="00C4429D">
      <w:pPr>
        <w:rPr>
          <w:rFonts w:eastAsiaTheme="minorEastAsia"/>
        </w:rPr>
      </w:pPr>
      <w:r>
        <w:rPr>
          <w:rFonts w:eastAsiaTheme="minorEastAsia"/>
          <w:noProof/>
        </w:rPr>
        <w:fldChar w:fldCharType="end"/>
      </w:r>
      <w:bookmarkEnd w:id="21"/>
      <w:bookmarkEnd w:id="22"/>
    </w:p>
    <w:p w14:paraId="4DE2DD1A" w14:textId="34EAF190" w:rsidR="00452F32" w:rsidRPr="00183E4D" w:rsidRDefault="008F59A8" w:rsidP="00DF343F">
      <w:pPr>
        <w:pStyle w:val="Heading2"/>
        <w:jc w:val="both"/>
      </w:pPr>
      <w:bookmarkStart w:id="23" w:name="_Toc381796427"/>
      <w:bookmarkStart w:id="24" w:name="_Toc395200738"/>
      <w:bookmarkStart w:id="25" w:name="_Toc399247193"/>
      <w:bookmarkStart w:id="26" w:name="_Toc502832873"/>
      <w:r w:rsidRPr="00183E4D">
        <w:lastRenderedPageBreak/>
        <w:t>Figures</w:t>
      </w:r>
      <w:bookmarkEnd w:id="23"/>
      <w:bookmarkEnd w:id="24"/>
      <w:bookmarkEnd w:id="25"/>
      <w:bookmarkEnd w:id="26"/>
    </w:p>
    <w:p w14:paraId="20A0CE2A" w14:textId="77777777" w:rsidR="002B3915" w:rsidRDefault="0086593E">
      <w:pPr>
        <w:pStyle w:val="TableofFigures"/>
        <w:rPr>
          <w:rFonts w:asciiTheme="minorHAnsi" w:eastAsiaTheme="minorEastAsia" w:hAnsiTheme="minorHAnsi" w:cstheme="minorBidi"/>
        </w:rPr>
      </w:pPr>
      <w:r w:rsidRPr="00183E4D">
        <w:rPr>
          <w:szCs w:val="24"/>
        </w:rPr>
        <w:fldChar w:fldCharType="begin"/>
      </w:r>
      <w:r w:rsidR="00452F32" w:rsidRPr="00183E4D">
        <w:rPr>
          <w:szCs w:val="24"/>
        </w:rPr>
        <w:instrText xml:space="preserve"> TOC \h \z \c "Figure" </w:instrText>
      </w:r>
      <w:r w:rsidRPr="00183E4D">
        <w:rPr>
          <w:szCs w:val="24"/>
        </w:rPr>
        <w:fldChar w:fldCharType="separate"/>
      </w:r>
      <w:hyperlink w:anchor="_Toc502833115" w:history="1">
        <w:r w:rsidR="002B3915" w:rsidRPr="00B7299A">
          <w:rPr>
            <w:rStyle w:val="Hyperlink"/>
          </w:rPr>
          <w:t>Figure 1</w:t>
        </w:r>
        <w:r w:rsidR="002B3915">
          <w:rPr>
            <w:rFonts w:asciiTheme="minorHAnsi" w:eastAsiaTheme="minorEastAsia" w:hAnsiTheme="minorHAnsi" w:cstheme="minorBidi"/>
          </w:rPr>
          <w:tab/>
        </w:r>
        <w:r w:rsidR="002B3915" w:rsidRPr="00B7299A">
          <w:rPr>
            <w:rStyle w:val="Hyperlink"/>
          </w:rPr>
          <w:t>Changes in hormone levels and AFC with decreasing ovarian reserve approaching menopause and post-menopause.</w:t>
        </w:r>
        <w:r w:rsidR="002B3915">
          <w:rPr>
            <w:webHidden/>
          </w:rPr>
          <w:tab/>
        </w:r>
        <w:r w:rsidR="002B3915">
          <w:rPr>
            <w:webHidden/>
          </w:rPr>
          <w:fldChar w:fldCharType="begin"/>
        </w:r>
        <w:r w:rsidR="002B3915">
          <w:rPr>
            <w:webHidden/>
          </w:rPr>
          <w:instrText xml:space="preserve"> PAGEREF _Toc502833115 \h </w:instrText>
        </w:r>
        <w:r w:rsidR="002B3915">
          <w:rPr>
            <w:webHidden/>
          </w:rPr>
        </w:r>
        <w:r w:rsidR="002B3915">
          <w:rPr>
            <w:webHidden/>
          </w:rPr>
          <w:fldChar w:fldCharType="separate"/>
        </w:r>
        <w:r w:rsidR="00AC4BE5">
          <w:rPr>
            <w:webHidden/>
          </w:rPr>
          <w:t>19</w:t>
        </w:r>
        <w:r w:rsidR="002B3915">
          <w:rPr>
            <w:webHidden/>
          </w:rPr>
          <w:fldChar w:fldCharType="end"/>
        </w:r>
      </w:hyperlink>
    </w:p>
    <w:p w14:paraId="5411E764" w14:textId="77777777" w:rsidR="002B3915" w:rsidRDefault="00AC4BE5">
      <w:pPr>
        <w:pStyle w:val="TableofFigures"/>
        <w:rPr>
          <w:rFonts w:asciiTheme="minorHAnsi" w:eastAsiaTheme="minorEastAsia" w:hAnsiTheme="minorHAnsi" w:cstheme="minorBidi"/>
        </w:rPr>
      </w:pPr>
      <w:hyperlink w:anchor="_Toc502833116" w:history="1">
        <w:r w:rsidR="002B3915" w:rsidRPr="00B7299A">
          <w:rPr>
            <w:rStyle w:val="Hyperlink"/>
          </w:rPr>
          <w:t>Figure 2</w:t>
        </w:r>
        <w:r w:rsidR="002B3915">
          <w:rPr>
            <w:rFonts w:asciiTheme="minorHAnsi" w:eastAsiaTheme="minorEastAsia" w:hAnsiTheme="minorHAnsi" w:cstheme="minorBidi"/>
          </w:rPr>
          <w:tab/>
        </w:r>
        <w:r w:rsidR="002B3915" w:rsidRPr="00B7299A">
          <w:rPr>
            <w:rStyle w:val="Hyperlink"/>
          </w:rPr>
          <w:t>Clinical management algorithm for assessment of ovarian reserve and cryopreservation of oocytes or ovarian tissue. Pathway showing cryopreservation of oocytes is current practice in post-pubertal cases. Pathway showing cryopreservation of ovarian tissue is for the proposed service. The relevant population for both pathways includes females aged 0 to 45 years, pre-gonadotoxic treatment</w:t>
        </w:r>
        <w:r w:rsidR="002B3915">
          <w:rPr>
            <w:webHidden/>
          </w:rPr>
          <w:tab/>
        </w:r>
        <w:r w:rsidR="002B3915">
          <w:rPr>
            <w:webHidden/>
          </w:rPr>
          <w:fldChar w:fldCharType="begin"/>
        </w:r>
        <w:r w:rsidR="002B3915">
          <w:rPr>
            <w:webHidden/>
          </w:rPr>
          <w:instrText xml:space="preserve"> PAGEREF _Toc502833116 \h </w:instrText>
        </w:r>
        <w:r w:rsidR="002B3915">
          <w:rPr>
            <w:webHidden/>
          </w:rPr>
        </w:r>
        <w:r w:rsidR="002B3915">
          <w:rPr>
            <w:webHidden/>
          </w:rPr>
          <w:fldChar w:fldCharType="separate"/>
        </w:r>
        <w:r>
          <w:rPr>
            <w:webHidden/>
          </w:rPr>
          <w:t>29</w:t>
        </w:r>
        <w:r w:rsidR="002B3915">
          <w:rPr>
            <w:webHidden/>
          </w:rPr>
          <w:fldChar w:fldCharType="end"/>
        </w:r>
      </w:hyperlink>
    </w:p>
    <w:p w14:paraId="4DE6C1C4" w14:textId="77777777" w:rsidR="002B3915" w:rsidRDefault="00AC4BE5">
      <w:pPr>
        <w:pStyle w:val="TableofFigures"/>
        <w:rPr>
          <w:rFonts w:asciiTheme="minorHAnsi" w:eastAsiaTheme="minorEastAsia" w:hAnsiTheme="minorHAnsi" w:cstheme="minorBidi"/>
        </w:rPr>
      </w:pPr>
      <w:hyperlink w:anchor="_Toc502833117" w:history="1">
        <w:r w:rsidR="002B3915" w:rsidRPr="00B7299A">
          <w:rPr>
            <w:rStyle w:val="Hyperlink"/>
          </w:rPr>
          <w:t>Figure 3</w:t>
        </w:r>
        <w:r w:rsidR="002B3915">
          <w:rPr>
            <w:rFonts w:asciiTheme="minorHAnsi" w:eastAsiaTheme="minorEastAsia" w:hAnsiTheme="minorHAnsi" w:cstheme="minorBidi"/>
          </w:rPr>
          <w:tab/>
        </w:r>
        <w:r w:rsidR="002B3915" w:rsidRPr="00B7299A">
          <w:rPr>
            <w:rStyle w:val="Hyperlink"/>
          </w:rPr>
          <w:t>Current clinical management algorithm for the assessment of ovarian reserve and post-pubertal cryopreservation oocytes for females aged 0 to 45 years, following completion of gonadotoxic treatment</w:t>
        </w:r>
        <w:r w:rsidR="002B3915">
          <w:rPr>
            <w:webHidden/>
          </w:rPr>
          <w:tab/>
        </w:r>
        <w:r w:rsidR="002B3915">
          <w:rPr>
            <w:webHidden/>
          </w:rPr>
          <w:fldChar w:fldCharType="begin"/>
        </w:r>
        <w:r w:rsidR="002B3915">
          <w:rPr>
            <w:webHidden/>
          </w:rPr>
          <w:instrText xml:space="preserve"> PAGEREF _Toc502833117 \h </w:instrText>
        </w:r>
        <w:r w:rsidR="002B3915">
          <w:rPr>
            <w:webHidden/>
          </w:rPr>
        </w:r>
        <w:r w:rsidR="002B3915">
          <w:rPr>
            <w:webHidden/>
          </w:rPr>
          <w:fldChar w:fldCharType="separate"/>
        </w:r>
        <w:r>
          <w:rPr>
            <w:webHidden/>
          </w:rPr>
          <w:t>30</w:t>
        </w:r>
        <w:r w:rsidR="002B3915">
          <w:rPr>
            <w:webHidden/>
          </w:rPr>
          <w:fldChar w:fldCharType="end"/>
        </w:r>
      </w:hyperlink>
    </w:p>
    <w:p w14:paraId="28A45F43" w14:textId="77777777" w:rsidR="002B3915" w:rsidRDefault="00AC4BE5">
      <w:pPr>
        <w:pStyle w:val="TableofFigures"/>
        <w:rPr>
          <w:rFonts w:asciiTheme="minorHAnsi" w:eastAsiaTheme="minorEastAsia" w:hAnsiTheme="minorHAnsi" w:cstheme="minorBidi"/>
        </w:rPr>
      </w:pPr>
      <w:hyperlink w:anchor="_Toc502833118" w:history="1">
        <w:r w:rsidR="002B3915" w:rsidRPr="00B7299A">
          <w:rPr>
            <w:rStyle w:val="Hyperlink"/>
          </w:rPr>
          <w:t>Figure 4</w:t>
        </w:r>
        <w:r w:rsidR="002B3915">
          <w:rPr>
            <w:rFonts w:asciiTheme="minorHAnsi" w:eastAsiaTheme="minorEastAsia" w:hAnsiTheme="minorHAnsi" w:cstheme="minorBidi"/>
          </w:rPr>
          <w:tab/>
        </w:r>
        <w:r w:rsidR="002B3915" w:rsidRPr="00B7299A">
          <w:rPr>
            <w:rStyle w:val="Hyperlink"/>
          </w:rPr>
          <w:t>Proposed clinical management algorithm for the assessment of ovarian reserve and cryopreservation of oocytes or ovarian tissue for females aged 0 to 45 years, following completion of gonadotoxic treatment</w:t>
        </w:r>
        <w:r w:rsidR="002B3915">
          <w:rPr>
            <w:webHidden/>
          </w:rPr>
          <w:tab/>
        </w:r>
        <w:r w:rsidR="002B3915">
          <w:rPr>
            <w:webHidden/>
          </w:rPr>
          <w:fldChar w:fldCharType="begin"/>
        </w:r>
        <w:r w:rsidR="002B3915">
          <w:rPr>
            <w:webHidden/>
          </w:rPr>
          <w:instrText xml:space="preserve"> PAGEREF _Toc502833118 \h </w:instrText>
        </w:r>
        <w:r w:rsidR="002B3915">
          <w:rPr>
            <w:webHidden/>
          </w:rPr>
        </w:r>
        <w:r w:rsidR="002B3915">
          <w:rPr>
            <w:webHidden/>
          </w:rPr>
          <w:fldChar w:fldCharType="separate"/>
        </w:r>
        <w:r>
          <w:rPr>
            <w:webHidden/>
          </w:rPr>
          <w:t>31</w:t>
        </w:r>
        <w:r w:rsidR="002B3915">
          <w:rPr>
            <w:webHidden/>
          </w:rPr>
          <w:fldChar w:fldCharType="end"/>
        </w:r>
      </w:hyperlink>
    </w:p>
    <w:p w14:paraId="44E745C3" w14:textId="77777777" w:rsidR="002B3915" w:rsidRDefault="00AC4BE5">
      <w:pPr>
        <w:pStyle w:val="TableofFigures"/>
        <w:rPr>
          <w:rFonts w:asciiTheme="minorHAnsi" w:eastAsiaTheme="minorEastAsia" w:hAnsiTheme="minorHAnsi" w:cstheme="minorBidi"/>
        </w:rPr>
      </w:pPr>
      <w:hyperlink w:anchor="_Toc502833119" w:history="1">
        <w:r w:rsidR="002B3915" w:rsidRPr="00B7299A">
          <w:rPr>
            <w:rStyle w:val="Hyperlink"/>
          </w:rPr>
          <w:t>Figure 5</w:t>
        </w:r>
        <w:r w:rsidR="002B3915">
          <w:rPr>
            <w:rFonts w:asciiTheme="minorHAnsi" w:eastAsiaTheme="minorEastAsia" w:hAnsiTheme="minorHAnsi" w:cstheme="minorBidi"/>
          </w:rPr>
          <w:tab/>
        </w:r>
        <w:r w:rsidR="002B3915" w:rsidRPr="00B7299A">
          <w:rPr>
            <w:rStyle w:val="Hyperlink"/>
          </w:rPr>
          <w:t>Summary of the process used to identify and select studies for the assessment</w:t>
        </w:r>
        <w:r w:rsidR="002B3915">
          <w:rPr>
            <w:webHidden/>
          </w:rPr>
          <w:tab/>
        </w:r>
        <w:r w:rsidR="002B3915">
          <w:rPr>
            <w:webHidden/>
          </w:rPr>
          <w:fldChar w:fldCharType="begin"/>
        </w:r>
        <w:r w:rsidR="002B3915">
          <w:rPr>
            <w:webHidden/>
          </w:rPr>
          <w:instrText xml:space="preserve"> PAGEREF _Toc502833119 \h </w:instrText>
        </w:r>
        <w:r w:rsidR="002B3915">
          <w:rPr>
            <w:webHidden/>
          </w:rPr>
        </w:r>
        <w:r w:rsidR="002B3915">
          <w:rPr>
            <w:webHidden/>
          </w:rPr>
          <w:fldChar w:fldCharType="separate"/>
        </w:r>
        <w:r>
          <w:rPr>
            <w:webHidden/>
          </w:rPr>
          <w:t>43</w:t>
        </w:r>
        <w:r w:rsidR="002B3915">
          <w:rPr>
            <w:webHidden/>
          </w:rPr>
          <w:fldChar w:fldCharType="end"/>
        </w:r>
      </w:hyperlink>
    </w:p>
    <w:p w14:paraId="776C1B0F" w14:textId="77777777" w:rsidR="002B3915" w:rsidRDefault="00AC4BE5">
      <w:pPr>
        <w:pStyle w:val="TableofFigures"/>
        <w:rPr>
          <w:rFonts w:asciiTheme="minorHAnsi" w:eastAsiaTheme="minorEastAsia" w:hAnsiTheme="minorHAnsi" w:cstheme="minorBidi"/>
        </w:rPr>
      </w:pPr>
      <w:hyperlink w:anchor="_Toc502833120" w:history="1">
        <w:r w:rsidR="002B3915" w:rsidRPr="00B7299A">
          <w:rPr>
            <w:rStyle w:val="Hyperlink"/>
          </w:rPr>
          <w:t>Figure 6</w:t>
        </w:r>
        <w:r w:rsidR="002B3915">
          <w:rPr>
            <w:rFonts w:asciiTheme="minorHAnsi" w:eastAsiaTheme="minorEastAsia" w:hAnsiTheme="minorHAnsi" w:cstheme="minorBidi"/>
          </w:rPr>
          <w:tab/>
        </w:r>
        <w:r w:rsidR="002B3915" w:rsidRPr="00B7299A">
          <w:rPr>
            <w:rStyle w:val="Hyperlink"/>
          </w:rPr>
          <w:t>PPV values with increasing prevalence of treatment-induced ovarian failure from 20% to 80%, AMH measured prior to treatment</w:t>
        </w:r>
        <w:r w:rsidR="002B3915">
          <w:rPr>
            <w:webHidden/>
          </w:rPr>
          <w:tab/>
        </w:r>
        <w:r w:rsidR="002B3915">
          <w:rPr>
            <w:webHidden/>
          </w:rPr>
          <w:fldChar w:fldCharType="begin"/>
        </w:r>
        <w:r w:rsidR="002B3915">
          <w:rPr>
            <w:webHidden/>
          </w:rPr>
          <w:instrText xml:space="preserve"> PAGEREF _Toc502833120 \h </w:instrText>
        </w:r>
        <w:r w:rsidR="002B3915">
          <w:rPr>
            <w:webHidden/>
          </w:rPr>
        </w:r>
        <w:r w:rsidR="002B3915">
          <w:rPr>
            <w:webHidden/>
          </w:rPr>
          <w:fldChar w:fldCharType="separate"/>
        </w:r>
        <w:r>
          <w:rPr>
            <w:webHidden/>
          </w:rPr>
          <w:t>87</w:t>
        </w:r>
        <w:r w:rsidR="002B3915">
          <w:rPr>
            <w:webHidden/>
          </w:rPr>
          <w:fldChar w:fldCharType="end"/>
        </w:r>
      </w:hyperlink>
    </w:p>
    <w:p w14:paraId="09570AC2" w14:textId="77777777" w:rsidR="002B3915" w:rsidRDefault="00AC4BE5">
      <w:pPr>
        <w:pStyle w:val="TableofFigures"/>
        <w:rPr>
          <w:rFonts w:asciiTheme="minorHAnsi" w:eastAsiaTheme="minorEastAsia" w:hAnsiTheme="minorHAnsi" w:cstheme="minorBidi"/>
        </w:rPr>
      </w:pPr>
      <w:hyperlink w:anchor="_Toc502833121" w:history="1">
        <w:r w:rsidR="002B3915" w:rsidRPr="00B7299A">
          <w:rPr>
            <w:rStyle w:val="Hyperlink"/>
          </w:rPr>
          <w:t>Figure 7</w:t>
        </w:r>
        <w:r w:rsidR="002B3915">
          <w:rPr>
            <w:rFonts w:asciiTheme="minorHAnsi" w:eastAsiaTheme="minorEastAsia" w:hAnsiTheme="minorHAnsi" w:cstheme="minorBidi"/>
          </w:rPr>
          <w:tab/>
        </w:r>
        <w:r w:rsidR="002B3915" w:rsidRPr="00B7299A">
          <w:rPr>
            <w:rStyle w:val="Hyperlink"/>
          </w:rPr>
          <w:t>NPV values with increasing prevalence of treatment-induced ovarian failure from 20% to 80%, AMH measured prior to treatment</w:t>
        </w:r>
        <w:r w:rsidR="002B3915">
          <w:rPr>
            <w:webHidden/>
          </w:rPr>
          <w:tab/>
        </w:r>
        <w:r w:rsidR="002B3915">
          <w:rPr>
            <w:webHidden/>
          </w:rPr>
          <w:fldChar w:fldCharType="begin"/>
        </w:r>
        <w:r w:rsidR="002B3915">
          <w:rPr>
            <w:webHidden/>
          </w:rPr>
          <w:instrText xml:space="preserve"> PAGEREF _Toc502833121 \h </w:instrText>
        </w:r>
        <w:r w:rsidR="002B3915">
          <w:rPr>
            <w:webHidden/>
          </w:rPr>
        </w:r>
        <w:r w:rsidR="002B3915">
          <w:rPr>
            <w:webHidden/>
          </w:rPr>
          <w:fldChar w:fldCharType="separate"/>
        </w:r>
        <w:r>
          <w:rPr>
            <w:webHidden/>
          </w:rPr>
          <w:t>88</w:t>
        </w:r>
        <w:r w:rsidR="002B3915">
          <w:rPr>
            <w:webHidden/>
          </w:rPr>
          <w:fldChar w:fldCharType="end"/>
        </w:r>
      </w:hyperlink>
    </w:p>
    <w:p w14:paraId="6B447523" w14:textId="77777777" w:rsidR="002B3915" w:rsidRDefault="00AC4BE5">
      <w:pPr>
        <w:pStyle w:val="TableofFigures"/>
        <w:rPr>
          <w:rFonts w:asciiTheme="minorHAnsi" w:eastAsiaTheme="minorEastAsia" w:hAnsiTheme="minorHAnsi" w:cstheme="minorBidi"/>
        </w:rPr>
      </w:pPr>
      <w:hyperlink w:anchor="_Toc502833122" w:history="1">
        <w:r w:rsidR="002B3915" w:rsidRPr="00B7299A">
          <w:rPr>
            <w:rStyle w:val="Hyperlink"/>
          </w:rPr>
          <w:t>Figure 8</w:t>
        </w:r>
        <w:r w:rsidR="002B3915">
          <w:rPr>
            <w:rFonts w:asciiTheme="minorHAnsi" w:eastAsiaTheme="minorEastAsia" w:hAnsiTheme="minorHAnsi" w:cstheme="minorBidi"/>
          </w:rPr>
          <w:tab/>
        </w:r>
        <w:r w:rsidR="002B3915" w:rsidRPr="00B7299A">
          <w:rPr>
            <w:rStyle w:val="Hyperlink"/>
          </w:rPr>
          <w:t>PPV values with increasing prevalence of treatment-induced ovarian failure from 20% to 80% (AMH measured post-treatment)</w:t>
        </w:r>
        <w:r w:rsidR="002B3915">
          <w:rPr>
            <w:webHidden/>
          </w:rPr>
          <w:tab/>
        </w:r>
        <w:r w:rsidR="002B3915">
          <w:rPr>
            <w:webHidden/>
          </w:rPr>
          <w:fldChar w:fldCharType="begin"/>
        </w:r>
        <w:r w:rsidR="002B3915">
          <w:rPr>
            <w:webHidden/>
          </w:rPr>
          <w:instrText xml:space="preserve"> PAGEREF _Toc502833122 \h </w:instrText>
        </w:r>
        <w:r w:rsidR="002B3915">
          <w:rPr>
            <w:webHidden/>
          </w:rPr>
        </w:r>
        <w:r w:rsidR="002B3915">
          <w:rPr>
            <w:webHidden/>
          </w:rPr>
          <w:fldChar w:fldCharType="separate"/>
        </w:r>
        <w:r>
          <w:rPr>
            <w:webHidden/>
          </w:rPr>
          <w:t>91</w:t>
        </w:r>
        <w:r w:rsidR="002B3915">
          <w:rPr>
            <w:webHidden/>
          </w:rPr>
          <w:fldChar w:fldCharType="end"/>
        </w:r>
      </w:hyperlink>
    </w:p>
    <w:p w14:paraId="3C4EB68D" w14:textId="77777777" w:rsidR="002B3915" w:rsidRDefault="00AC4BE5">
      <w:pPr>
        <w:pStyle w:val="TableofFigures"/>
        <w:rPr>
          <w:rFonts w:asciiTheme="minorHAnsi" w:eastAsiaTheme="minorEastAsia" w:hAnsiTheme="minorHAnsi" w:cstheme="minorBidi"/>
        </w:rPr>
      </w:pPr>
      <w:hyperlink w:anchor="_Toc502833123" w:history="1">
        <w:r w:rsidR="002B3915" w:rsidRPr="00B7299A">
          <w:rPr>
            <w:rStyle w:val="Hyperlink"/>
          </w:rPr>
          <w:t>Figure 9</w:t>
        </w:r>
        <w:r w:rsidR="002B3915">
          <w:rPr>
            <w:rFonts w:asciiTheme="minorHAnsi" w:eastAsiaTheme="minorEastAsia" w:hAnsiTheme="minorHAnsi" w:cstheme="minorBidi"/>
          </w:rPr>
          <w:tab/>
        </w:r>
        <w:r w:rsidR="002B3915" w:rsidRPr="00B7299A">
          <w:rPr>
            <w:rStyle w:val="Hyperlink"/>
          </w:rPr>
          <w:t>NPV values with increasing prevalence of treatment-induced ovarian failure from 20% to 80% (AMH measured post-treatment)</w:t>
        </w:r>
        <w:r w:rsidR="002B3915">
          <w:rPr>
            <w:webHidden/>
          </w:rPr>
          <w:tab/>
        </w:r>
        <w:r w:rsidR="002B3915">
          <w:rPr>
            <w:webHidden/>
          </w:rPr>
          <w:fldChar w:fldCharType="begin"/>
        </w:r>
        <w:r w:rsidR="002B3915">
          <w:rPr>
            <w:webHidden/>
          </w:rPr>
          <w:instrText xml:space="preserve"> PAGEREF _Toc502833123 \h </w:instrText>
        </w:r>
        <w:r w:rsidR="002B3915">
          <w:rPr>
            <w:webHidden/>
          </w:rPr>
        </w:r>
        <w:r w:rsidR="002B3915">
          <w:rPr>
            <w:webHidden/>
          </w:rPr>
          <w:fldChar w:fldCharType="separate"/>
        </w:r>
        <w:r>
          <w:rPr>
            <w:webHidden/>
          </w:rPr>
          <w:t>91</w:t>
        </w:r>
        <w:r w:rsidR="002B3915">
          <w:rPr>
            <w:webHidden/>
          </w:rPr>
          <w:fldChar w:fldCharType="end"/>
        </w:r>
      </w:hyperlink>
    </w:p>
    <w:p w14:paraId="25EC116B" w14:textId="213BBA64" w:rsidR="00B20BAC" w:rsidRDefault="0086593E" w:rsidP="00B20BAC">
      <w:pPr>
        <w:ind w:left="414"/>
        <w:jc w:val="both"/>
        <w:rPr>
          <w:szCs w:val="24"/>
        </w:rPr>
      </w:pPr>
      <w:r w:rsidRPr="00183E4D">
        <w:rPr>
          <w:szCs w:val="24"/>
        </w:rPr>
        <w:fldChar w:fldCharType="end"/>
      </w:r>
    </w:p>
    <w:p w14:paraId="1E46C866" w14:textId="77777777" w:rsidR="0013076C" w:rsidRDefault="0013076C">
      <w:pPr>
        <w:spacing w:after="0" w:line="240" w:lineRule="auto"/>
        <w:rPr>
          <w:szCs w:val="24"/>
        </w:rPr>
        <w:sectPr w:rsidR="0013076C" w:rsidSect="0013076C">
          <w:pgSz w:w="11906" w:h="16838"/>
          <w:pgMar w:top="1440" w:right="1440" w:bottom="1440" w:left="1440" w:header="720" w:footer="720" w:gutter="0"/>
          <w:paperSrc w:first="2" w:other="2"/>
          <w:pgNumType w:fmt="lowerRoman"/>
          <w:cols w:space="720"/>
        </w:sectPr>
      </w:pPr>
    </w:p>
    <w:p w14:paraId="6C64F9FB" w14:textId="50E3FB99" w:rsidR="002F5F9B" w:rsidRPr="00183E4D" w:rsidRDefault="00DD53E7" w:rsidP="00DF343F">
      <w:pPr>
        <w:pStyle w:val="Heading1"/>
        <w:jc w:val="both"/>
      </w:pPr>
      <w:bookmarkStart w:id="27" w:name="_Toc236559502"/>
      <w:bookmarkStart w:id="28" w:name="_Toc379118056"/>
      <w:bookmarkStart w:id="29" w:name="_Toc381796428"/>
      <w:bookmarkStart w:id="30" w:name="_Toc502832874"/>
      <w:r>
        <w:lastRenderedPageBreak/>
        <w:t>Executive s</w:t>
      </w:r>
      <w:r w:rsidR="002F5F9B" w:rsidRPr="00183E4D">
        <w:t>ummary</w:t>
      </w:r>
      <w:bookmarkEnd w:id="27"/>
      <w:bookmarkEnd w:id="28"/>
      <w:bookmarkEnd w:id="29"/>
      <w:bookmarkEnd w:id="30"/>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434B1C" w14:paraId="26FBDF6E" w14:textId="77777777" w:rsidTr="00C374D6">
        <w:trPr>
          <w:tblHeader/>
        </w:trPr>
        <w:tc>
          <w:tcPr>
            <w:tcW w:w="9016" w:type="dxa"/>
            <w:tcBorders>
              <w:bottom w:val="nil"/>
            </w:tcBorders>
          </w:tcPr>
          <w:p w14:paraId="68CD4C7A" w14:textId="77777777" w:rsidR="00434B1C" w:rsidRPr="004446E6" w:rsidRDefault="00434B1C" w:rsidP="00DB0410">
            <w:pPr>
              <w:ind w:left="0"/>
              <w:rPr>
                <w:b/>
                <w:i/>
              </w:rPr>
            </w:pPr>
            <w:bookmarkStart w:id="31" w:name="_Toc381796429"/>
            <w:r w:rsidRPr="004446E6">
              <w:rPr>
                <w:b/>
                <w:i/>
              </w:rPr>
              <w:t>Main issues for MSAC consideration</w:t>
            </w:r>
          </w:p>
        </w:tc>
      </w:tr>
      <w:tr w:rsidR="00434B1C" w14:paraId="6DF29501" w14:textId="77777777" w:rsidTr="00C374D6">
        <w:tc>
          <w:tcPr>
            <w:tcW w:w="9016" w:type="dxa"/>
            <w:tcBorders>
              <w:top w:val="nil"/>
            </w:tcBorders>
          </w:tcPr>
          <w:p w14:paraId="4D241797" w14:textId="75D8279A" w:rsidR="007518CF" w:rsidRDefault="00A86490" w:rsidP="00B7183E">
            <w:pPr>
              <w:pStyle w:val="ListParagraph"/>
              <w:numPr>
                <w:ilvl w:val="0"/>
                <w:numId w:val="39"/>
              </w:numPr>
              <w:spacing w:after="0"/>
              <w:ind w:left="1021" w:hanging="567"/>
              <w:jc w:val="both"/>
            </w:pPr>
            <w:r w:rsidRPr="00A86490">
              <w:t xml:space="preserve">No direct evidence was identified to determine the safety and incremental effectiveness of </w:t>
            </w:r>
            <w:r w:rsidR="00166D3B">
              <w:t>anti-Mϋllerian hormone (</w:t>
            </w:r>
            <w:r w:rsidRPr="00A86490">
              <w:t>AMH</w:t>
            </w:r>
            <w:r w:rsidR="00166D3B">
              <w:t>)</w:t>
            </w:r>
            <w:r w:rsidRPr="00A86490">
              <w:t xml:space="preserve"> testing </w:t>
            </w:r>
            <w:r w:rsidRPr="00166D3B">
              <w:rPr>
                <w:b/>
              </w:rPr>
              <w:t>in addition</w:t>
            </w:r>
            <w:r w:rsidRPr="00A86490">
              <w:t xml:space="preserve"> to other standard tests, or compared to other standard tests alone, in patients prior to or following co</w:t>
            </w:r>
            <w:r w:rsidR="00166D3B">
              <w:t>mpletion of gonadotoxic therapy.</w:t>
            </w:r>
          </w:p>
          <w:p w14:paraId="1C6C08D6" w14:textId="0EF9E38A" w:rsidR="007518CF" w:rsidRDefault="00A86490" w:rsidP="00B7183E">
            <w:pPr>
              <w:pStyle w:val="ListParagraph"/>
              <w:numPr>
                <w:ilvl w:val="0"/>
                <w:numId w:val="39"/>
              </w:numPr>
              <w:spacing w:after="0"/>
              <w:ind w:left="1021" w:hanging="567"/>
              <w:jc w:val="both"/>
            </w:pPr>
            <w:r w:rsidRPr="00A86490">
              <w:t>The te</w:t>
            </w:r>
            <w:r w:rsidR="00166D3B">
              <w:t>st is generally considered to be safe.</w:t>
            </w:r>
          </w:p>
          <w:p w14:paraId="40FFDE55" w14:textId="3127F823" w:rsidR="00A86490" w:rsidRPr="00A86490" w:rsidRDefault="00A86490" w:rsidP="00B7183E">
            <w:pPr>
              <w:pStyle w:val="ListParagraph"/>
              <w:numPr>
                <w:ilvl w:val="0"/>
                <w:numId w:val="39"/>
              </w:numPr>
              <w:spacing w:after="0"/>
              <w:ind w:left="1021" w:hanging="567"/>
              <w:jc w:val="both"/>
            </w:pPr>
            <w:r w:rsidRPr="00A86490">
              <w:t xml:space="preserve">Different AMH assays correlated highly with each other, although they differed greatly in </w:t>
            </w:r>
            <w:r w:rsidR="00166D3B">
              <w:t>sensitivity.</w:t>
            </w:r>
          </w:p>
          <w:p w14:paraId="2C05FB5C" w14:textId="77777777" w:rsidR="007518CF" w:rsidRDefault="00A86490" w:rsidP="00B7183E">
            <w:pPr>
              <w:pStyle w:val="ListParagraph"/>
              <w:numPr>
                <w:ilvl w:val="0"/>
                <w:numId w:val="39"/>
              </w:numPr>
              <w:spacing w:after="0"/>
              <w:ind w:left="1021" w:hanging="567"/>
              <w:jc w:val="both"/>
            </w:pPr>
            <w:r w:rsidRPr="00A86490">
              <w:t>AMH testing does provide some incremental information for predicting ovarian functioning. However, the relationship between AMH testing and the most clinically relevant outcome of pregnancy or a live birth was not significant.</w:t>
            </w:r>
          </w:p>
          <w:p w14:paraId="53E1B53A" w14:textId="2A37D76F" w:rsidR="00A86490" w:rsidRPr="00A86490" w:rsidRDefault="00A86490" w:rsidP="00B7183E">
            <w:pPr>
              <w:pStyle w:val="ListParagraph"/>
              <w:numPr>
                <w:ilvl w:val="0"/>
                <w:numId w:val="39"/>
              </w:numPr>
              <w:spacing w:after="0"/>
              <w:ind w:left="1021" w:hanging="567"/>
              <w:jc w:val="both"/>
            </w:pPr>
            <w:r w:rsidRPr="00A86490">
              <w:t>No studies were identified which reported on how the prognostic information is being</w:t>
            </w:r>
            <w:r w:rsidR="00166D3B">
              <w:t xml:space="preserve"> used in the target population, </w:t>
            </w:r>
            <w:r>
              <w:t xml:space="preserve">i.e. </w:t>
            </w:r>
            <w:r w:rsidRPr="00A86490">
              <w:t>no evidence on how AMH results impact on the management of women u</w:t>
            </w:r>
            <w:r w:rsidR="00166D3B">
              <w:t>ndergoing gonadotoxic treatment</w:t>
            </w:r>
            <w:r w:rsidRPr="00A86490">
              <w:t>.</w:t>
            </w:r>
          </w:p>
          <w:p w14:paraId="303145FB" w14:textId="32DED10E" w:rsidR="00A86490" w:rsidRPr="00A86490" w:rsidRDefault="00A86490" w:rsidP="00B7183E">
            <w:pPr>
              <w:pStyle w:val="ListParagraph"/>
              <w:numPr>
                <w:ilvl w:val="0"/>
                <w:numId w:val="39"/>
              </w:numPr>
              <w:spacing w:after="0"/>
              <w:ind w:left="1021" w:hanging="567"/>
              <w:jc w:val="both"/>
            </w:pPr>
            <w:r w:rsidRPr="00A86490">
              <w:t>In women undergoing IVF</w:t>
            </w:r>
            <w:r w:rsidR="00166D3B">
              <w:t xml:space="preserve">, but </w:t>
            </w:r>
            <w:r>
              <w:t>not</w:t>
            </w:r>
            <w:r w:rsidR="00166D3B">
              <w:t xml:space="preserve"> the target population</w:t>
            </w:r>
            <w:r w:rsidRPr="00A86490">
              <w:t xml:space="preserve">, there is evidence that AMH values may influence the starting dosage of recombinant </w:t>
            </w:r>
            <w:r w:rsidR="00166D3B">
              <w:t>follicle</w:t>
            </w:r>
            <w:r w:rsidR="00DE6DD5">
              <w:t>-</w:t>
            </w:r>
            <w:r w:rsidR="00166D3B">
              <w:t>stimulating hormone</w:t>
            </w:r>
            <w:r w:rsidRPr="00A86490">
              <w:t xml:space="preserve"> or </w:t>
            </w:r>
            <w:r w:rsidR="00166D3B">
              <w:t>human menopausal gonadotropin</w:t>
            </w:r>
            <w:r w:rsidRPr="00A86490">
              <w:t xml:space="preserve"> d</w:t>
            </w:r>
            <w:r w:rsidR="00166D3B">
              <w:t>uring ovarian hyperstimulation for the retrieval of oocytes</w:t>
            </w:r>
            <w:r w:rsidRPr="00A86490">
              <w:t>. However, the studies showed a lack of standardisation regarding how the AMH score was used or should be used in this broader population.</w:t>
            </w:r>
          </w:p>
          <w:p w14:paraId="2608BC42" w14:textId="77777777" w:rsidR="007518CF" w:rsidRDefault="00A86490" w:rsidP="00B7183E">
            <w:pPr>
              <w:pStyle w:val="ListParagraph"/>
              <w:numPr>
                <w:ilvl w:val="0"/>
                <w:numId w:val="39"/>
              </w:numPr>
              <w:spacing w:after="0"/>
              <w:ind w:left="1021" w:hanging="567"/>
              <w:jc w:val="both"/>
            </w:pPr>
            <w:r w:rsidRPr="00A86490">
              <w:t>Given the lack of incremental outcome data, only a cost-analysis could be undertaken for the economic evaluation.</w:t>
            </w:r>
          </w:p>
          <w:p w14:paraId="25CE146E" w14:textId="7C88C55F" w:rsidR="00434B1C" w:rsidRPr="00163EC8" w:rsidRDefault="00A86490" w:rsidP="00B7183E">
            <w:pPr>
              <w:pStyle w:val="ListParagraph"/>
              <w:numPr>
                <w:ilvl w:val="0"/>
                <w:numId w:val="39"/>
              </w:numPr>
              <w:spacing w:after="0"/>
              <w:ind w:left="1021" w:hanging="567"/>
              <w:jc w:val="both"/>
            </w:pPr>
            <w:r w:rsidRPr="00A86490">
              <w:t>The major challenge for clinicians attempting to interpret AMH values for use in clinical care is the lack of standardisation. It is recommended that clinicians should always use the same laboratory to avoid problems with result interpretation. It is also critical to understand how that laboratory calibrates their clinical thresholds to ensure accurate interpretation of the result. A good quality assurance program would be essential for implementation and development of standardised clinically relevant thresholds for AMH testing in Australia.</w:t>
            </w:r>
          </w:p>
        </w:tc>
      </w:tr>
    </w:tbl>
    <w:p w14:paraId="10FB175F" w14:textId="5544B983" w:rsidR="008C7152" w:rsidRPr="004446E6" w:rsidRDefault="00DC5CE5" w:rsidP="004446E6">
      <w:pPr>
        <w:pStyle w:val="Heading2"/>
      </w:pPr>
      <w:bookmarkStart w:id="32" w:name="_Toc502832875"/>
      <w:bookmarkEnd w:id="31"/>
      <w:r>
        <w:t>Anti-Müllerian h</w:t>
      </w:r>
      <w:r w:rsidR="000A186E" w:rsidRPr="004446E6">
        <w:t xml:space="preserve">ormone testing for female patients </w:t>
      </w:r>
      <w:r w:rsidR="003B6B21">
        <w:t>preceding or following</w:t>
      </w:r>
      <w:r w:rsidR="000A186E" w:rsidRPr="004446E6">
        <w:t xml:space="preserve"> gonadotoxic treatment</w:t>
      </w:r>
      <w:bookmarkEnd w:id="32"/>
    </w:p>
    <w:p w14:paraId="63168BC6" w14:textId="1F7C5774" w:rsidR="007518CF" w:rsidRDefault="009C69F5" w:rsidP="009C69F5">
      <w:pPr>
        <w:jc w:val="both"/>
      </w:pPr>
      <w:r w:rsidRPr="00E36E28">
        <w:t xml:space="preserve">This contracted assessment examines the evidence to support the listing of </w:t>
      </w:r>
      <w:r w:rsidR="009847E1">
        <w:t>anti-Mϋllerian hormone (</w:t>
      </w:r>
      <w:r w:rsidRPr="00E36E28">
        <w:t>AMH</w:t>
      </w:r>
      <w:r w:rsidR="009847E1">
        <w:t>)</w:t>
      </w:r>
      <w:r w:rsidRPr="00E36E28">
        <w:t xml:space="preserve"> testing on the Medicare Benefits Schedule (MBS). The service would be exclusively used in women</w:t>
      </w:r>
      <w:r w:rsidR="003148CA">
        <w:t xml:space="preserve"> who</w:t>
      </w:r>
      <w:r w:rsidRPr="00E36E28">
        <w:t xml:space="preserve"> have </w:t>
      </w:r>
      <w:r w:rsidR="00B532A4">
        <w:t>had</w:t>
      </w:r>
      <w:r w:rsidR="00B532A4" w:rsidRPr="00E36E28">
        <w:t xml:space="preserve"> </w:t>
      </w:r>
      <w:r w:rsidR="009847E1">
        <w:t xml:space="preserve">or will </w:t>
      </w:r>
      <w:r w:rsidR="00B532A4">
        <w:t>have</w:t>
      </w:r>
      <w:r w:rsidR="009847E1" w:rsidRPr="00E36E28">
        <w:t xml:space="preserve"> </w:t>
      </w:r>
      <w:r w:rsidRPr="00E36E28">
        <w:t xml:space="preserve">gonadotoxic treatment. The applicant has claimed that the successful listing of the technology in the target population may lead to better assessments of </w:t>
      </w:r>
      <w:r w:rsidRPr="00E36E28">
        <w:lastRenderedPageBreak/>
        <w:t xml:space="preserve">ovarian function prior to cancer treatment, </w:t>
      </w:r>
      <w:r>
        <w:t xml:space="preserve">enable better </w:t>
      </w:r>
      <w:r w:rsidRPr="00E36E28">
        <w:t xml:space="preserve">prediction </w:t>
      </w:r>
      <w:r>
        <w:t xml:space="preserve">of the return of </w:t>
      </w:r>
      <w:r w:rsidRPr="00E36E28">
        <w:t xml:space="preserve">reproductive function following gonadotoxic treatment, and/or </w:t>
      </w:r>
      <w:r>
        <w:t xml:space="preserve">improve </w:t>
      </w:r>
      <w:r w:rsidR="009847E1">
        <w:t>decision-</w:t>
      </w:r>
      <w:r w:rsidRPr="00E36E28">
        <w:t>making regarding the need for fertility preservation following or prior to gonadotoxic treatment.</w:t>
      </w:r>
    </w:p>
    <w:p w14:paraId="70DD7D87" w14:textId="458F8EF5" w:rsidR="007518CF" w:rsidRDefault="00A3397E" w:rsidP="004446E6">
      <w:pPr>
        <w:pStyle w:val="Heading3"/>
      </w:pPr>
      <w:bookmarkStart w:id="33" w:name="_Toc502832876"/>
      <w:r>
        <w:t>A</w:t>
      </w:r>
      <w:r w:rsidR="00BA5C98">
        <w:t xml:space="preserve">lignment with agreed </w:t>
      </w:r>
      <w:r w:rsidR="003E7EA1">
        <w:t>PICO Confirmation</w:t>
      </w:r>
      <w:bookmarkEnd w:id="33"/>
    </w:p>
    <w:p w14:paraId="4B46F95D" w14:textId="416CAF85" w:rsidR="008A6152" w:rsidRPr="00183E4D" w:rsidRDefault="008A6152" w:rsidP="00DF343F">
      <w:pPr>
        <w:jc w:val="both"/>
      </w:pPr>
      <w:r w:rsidRPr="00183E4D">
        <w:t xml:space="preserve">This </w:t>
      </w:r>
      <w:r w:rsidR="00F3042C">
        <w:t>contracted</w:t>
      </w:r>
      <w:r w:rsidRPr="00183E4D">
        <w:t xml:space="preserve"> assessment </w:t>
      </w:r>
      <w:r w:rsidR="00B313E2" w:rsidRPr="00183E4D">
        <w:t xml:space="preserve">of </w:t>
      </w:r>
      <w:r w:rsidR="00F3042C">
        <w:t>AMH testing</w:t>
      </w:r>
      <w:r w:rsidR="00B313E2" w:rsidRPr="00183E4D">
        <w:t xml:space="preserve"> </w:t>
      </w:r>
      <w:r w:rsidRPr="00183E4D">
        <w:t xml:space="preserve">addresses </w:t>
      </w:r>
      <w:r w:rsidR="00F3042C">
        <w:t>most</w:t>
      </w:r>
      <w:r w:rsidRPr="00183E4D">
        <w:t xml:space="preserve"> of the PICO</w:t>
      </w:r>
      <w:r w:rsidR="00B313E2" w:rsidRPr="00183E4D">
        <w:rPr>
          <w:rStyle w:val="FootnoteReference"/>
        </w:rPr>
        <w:footnoteReference w:id="1"/>
      </w:r>
      <w:r w:rsidRPr="00183E4D">
        <w:t xml:space="preserve"> elements </w:t>
      </w:r>
      <w:r w:rsidR="00B313E2" w:rsidRPr="00183E4D">
        <w:t xml:space="preserve">that were </w:t>
      </w:r>
      <w:r w:rsidR="00593423">
        <w:t>pre-</w:t>
      </w:r>
      <w:r w:rsidRPr="00183E4D">
        <w:t xml:space="preserve">specified in the </w:t>
      </w:r>
      <w:r w:rsidR="003E7EA1">
        <w:t>PICO Confirmation</w:t>
      </w:r>
      <w:r w:rsidRPr="00183E4D">
        <w:t xml:space="preserve"> </w:t>
      </w:r>
      <w:r w:rsidR="00B313E2" w:rsidRPr="00183E4D">
        <w:t xml:space="preserve">that was </w:t>
      </w:r>
      <w:r w:rsidR="00F3042C">
        <w:t>approved</w:t>
      </w:r>
      <w:r w:rsidR="00B313E2" w:rsidRPr="00183E4D">
        <w:t xml:space="preserve"> the P</w:t>
      </w:r>
      <w:r w:rsidR="00C0767C">
        <w:t>ICO</w:t>
      </w:r>
      <w:r w:rsidR="00B313E2" w:rsidRPr="00183E4D">
        <w:t xml:space="preserve"> Advisory Sub</w:t>
      </w:r>
      <w:r w:rsidR="00415491">
        <w:t>-Committee</w:t>
      </w:r>
      <w:r w:rsidR="00B313E2" w:rsidRPr="00183E4D">
        <w:t xml:space="preserve"> (PASC)</w:t>
      </w:r>
      <w:r w:rsidRPr="00183E4D">
        <w:t>.</w:t>
      </w:r>
      <w:r w:rsidR="00F3042C">
        <w:t xml:space="preserve"> Due to lack of evidence in some of the steps of the linked analysis, a </w:t>
      </w:r>
      <w:r w:rsidR="009C69F5">
        <w:t>modified</w:t>
      </w:r>
      <w:r w:rsidR="00F3042C">
        <w:t xml:space="preserve"> approach has been presented in the results section.</w:t>
      </w:r>
      <w:r w:rsidR="00B313E2" w:rsidRPr="00183E4D">
        <w:t xml:space="preserve"> </w:t>
      </w:r>
      <w:r w:rsidR="009847E1">
        <w:t xml:space="preserve">As evidence was limited, </w:t>
      </w:r>
      <w:r w:rsidR="00F3042C">
        <w:t>e</w:t>
      </w:r>
      <w:r w:rsidR="009847E1">
        <w:t>specially regarding young girls</w:t>
      </w:r>
      <w:r w:rsidR="00F3042C">
        <w:t>, data could not be separated in</w:t>
      </w:r>
      <w:r w:rsidR="006C32CD">
        <w:t>to</w:t>
      </w:r>
      <w:r w:rsidR="00F3042C">
        <w:t xml:space="preserve"> subgroups. Where possible, studies were divided in a pre-treatment AMH testing group and a post-treatment AMH testing group.</w:t>
      </w:r>
    </w:p>
    <w:p w14:paraId="7CD93255" w14:textId="4562B1AB" w:rsidR="008C7152" w:rsidRPr="00183E4D" w:rsidRDefault="008A6152" w:rsidP="004446E6">
      <w:pPr>
        <w:pStyle w:val="Heading3"/>
      </w:pPr>
      <w:bookmarkStart w:id="34" w:name="_Toc395200742"/>
      <w:bookmarkStart w:id="35" w:name="_Toc502832877"/>
      <w:r w:rsidRPr="00183E4D">
        <w:t xml:space="preserve">Proposed </w:t>
      </w:r>
      <w:r w:rsidR="00DC5CE5">
        <w:t>m</w:t>
      </w:r>
      <w:r w:rsidRPr="00183E4D">
        <w:t xml:space="preserve">edical </w:t>
      </w:r>
      <w:r w:rsidR="00DC5CE5">
        <w:t>s</w:t>
      </w:r>
      <w:r w:rsidRPr="00183E4D">
        <w:t>ervice</w:t>
      </w:r>
      <w:bookmarkEnd w:id="34"/>
      <w:bookmarkEnd w:id="35"/>
    </w:p>
    <w:p w14:paraId="48D07104" w14:textId="765F7506" w:rsidR="007518CF" w:rsidRDefault="00C00843" w:rsidP="00C00843">
      <w:pPr>
        <w:jc w:val="both"/>
      </w:pPr>
      <w:bookmarkStart w:id="36" w:name="_Toc379118249"/>
      <w:bookmarkStart w:id="37" w:name="_Toc381796433"/>
      <w:r>
        <w:t xml:space="preserve">Ovarian failure is associated with the absence of primordial follicles in the ovarian cortex, </w:t>
      </w:r>
      <w:r w:rsidR="004F09F2">
        <w:t>leading to</w:t>
      </w:r>
      <w:r>
        <w:t xml:space="preserve"> </w:t>
      </w:r>
      <w:r w:rsidR="004F09F2">
        <w:t>a lack</w:t>
      </w:r>
      <w:r>
        <w:t xml:space="preserve"> of </w:t>
      </w:r>
      <w:r w:rsidR="004F09F2">
        <w:t>m</w:t>
      </w:r>
      <w:r>
        <w:t xml:space="preserve">aturing follicles, which is linked to menopause </w:t>
      </w:r>
      <w:r>
        <w:fldChar w:fldCharType="begin"/>
      </w:r>
      <w:r w:rsidR="00577E24">
        <w:instrText xml:space="preserve"> ADDIN EN.CITE &lt;EndNote&gt;&lt;Cite&gt;&lt;Author&gt;Amir&lt;/Author&gt;&lt;Year&gt;2010&lt;/Year&gt;&lt;RecNum&gt;22&lt;/RecNum&gt;&lt;IDText&gt;545-8&lt;/IDText&gt;&lt;DisplayText&gt;(Amir et al. 2010)&lt;/DisplayText&gt;&lt;record&gt;&lt;rec-number&gt;22&lt;/rec-number&gt;&lt;foreign-keys&gt;&lt;key app="EN" db-id="s2dftfxw1fvsr1efx58vfvxtvfwzxea0td02" timestamp="1511748061"&gt;22&lt;/key&gt;&lt;/foreign-keys&gt;&lt;ref-type name="Journal Article"&gt;17&lt;/ref-type&gt;&lt;contributors&gt;&lt;authors&gt;&lt;author&gt;Amir, E.&lt;/author&gt;&lt;author&gt;Freedman, O.&lt;/author&gt;&lt;author&gt;Allen, L.&lt;/author&gt;&lt;author&gt;Colgan, T.&lt;/author&gt;&lt;author&gt;Clemons, M.&lt;/author&gt;&lt;/authors&gt;&lt;/contributors&gt;&lt;auth-address&gt;Division of Medical Oncology, Princess Margaret Hospital, Toronto, Canada. eitan.amir@uhn.on.ca&lt;/auth-address&gt;&lt;titles&gt;&lt;title&gt;Defining ovarian failure in amenorrheic young breast cancer patients&lt;/title&gt;&lt;secondary-title&gt;Breast&lt;/secondary-title&gt;&lt;/titles&gt;&lt;periodical&gt;&lt;full-title&gt;Breast&lt;/full-title&gt;&lt;/periodical&gt;&lt;pages&gt;545-8&lt;/pages&gt;&lt;volume&gt;19&lt;/volume&gt;&lt;number&gt;6&lt;/number&gt;&lt;keywords&gt;&lt;keyword&gt;Amenorrhea/*chemically induced&lt;/keyword&gt;&lt;keyword&gt;Antineoplastic Agents/*adverse effects/pharmacology/therapeutic use&lt;/keyword&gt;&lt;keyword&gt;Breast Neoplasms/*drug therapy&lt;/keyword&gt;&lt;keyword&gt;Female&lt;/keyword&gt;&lt;keyword&gt;Humans&lt;/keyword&gt;&lt;keyword&gt;*Menopause&lt;/keyword&gt;&lt;keyword&gt;Ovary/*physiology&lt;/keyword&gt;&lt;keyword&gt;Premenopause/*drug effects&lt;/keyword&gt;&lt;/keywords&gt;&lt;dates&gt;&lt;year&gt;2010&lt;/year&gt;&lt;pub-dates&gt;&lt;date&gt;Dec&lt;/date&gt;&lt;/pub-dates&gt;&lt;/dates&gt;&lt;isbn&gt;1532-3080 (Electronic)&amp;#xD;0960-9776 (Linking)&lt;/isbn&gt;&lt;accession-num&gt;20615705&lt;/accession-num&gt;&lt;urls&gt;&lt;related-urls&gt;&lt;url&gt;http://www.ncbi.nlm.nih.gov/pubmed/20615705&lt;/url&gt;&lt;/related-urls&gt;&lt;/urls&gt;&lt;electronic-resource-num&gt;10.1016/j.breast.2010.06.003&lt;/electronic-resource-num&gt;&lt;/record&gt;&lt;/Cite&gt;&lt;/EndNote&gt;</w:instrText>
      </w:r>
      <w:r>
        <w:fldChar w:fldCharType="separate"/>
      </w:r>
      <w:r>
        <w:rPr>
          <w:noProof/>
        </w:rPr>
        <w:t>(</w:t>
      </w:r>
      <w:hyperlink w:anchor="_ENREF_4" w:tooltip="Amir, 2010 #22" w:history="1">
        <w:r w:rsidR="00835BA6">
          <w:rPr>
            <w:noProof/>
          </w:rPr>
          <w:t>Amir et al. 2010</w:t>
        </w:r>
      </w:hyperlink>
      <w:r>
        <w:rPr>
          <w:noProof/>
        </w:rPr>
        <w:t>)</w:t>
      </w:r>
      <w:r>
        <w:fldChar w:fldCharType="end"/>
      </w:r>
      <w:r>
        <w:t xml:space="preserve">. </w:t>
      </w:r>
      <w:r w:rsidR="00FC777B">
        <w:t>AMH</w:t>
      </w:r>
      <w:r>
        <w:t xml:space="preserve"> is a glycoprotein </w:t>
      </w:r>
      <w:r w:rsidR="00FC777B">
        <w:t>believed</w:t>
      </w:r>
      <w:r w:rsidR="009847E1">
        <w:t xml:space="preserve"> to represent </w:t>
      </w:r>
      <w:r>
        <w:t>non-cyclical, continu</w:t>
      </w:r>
      <w:r w:rsidR="00FC777B">
        <w:t xml:space="preserve">ous primordial follicle growth and is </w:t>
      </w:r>
      <w:r>
        <w:t xml:space="preserve">an indirect </w:t>
      </w:r>
      <w:r w:rsidR="00FC777B">
        <w:t>measure</w:t>
      </w:r>
      <w:r>
        <w:t xml:space="preserve"> of the resting ovarian follic</w:t>
      </w:r>
      <w:r w:rsidR="009847E1">
        <w:t>le pool, i.e. the ovarian reserve</w:t>
      </w:r>
      <w:r>
        <w:t xml:space="preserve"> </w:t>
      </w:r>
      <w:r>
        <w:fldChar w:fldCharType="begin"/>
      </w:r>
      <w:r w:rsidR="00577E24">
        <w:instrText xml:space="preserve"> ADDIN EN.CITE &lt;EndNote&gt;&lt;Cite&gt;&lt;Author&gt;Bozza&lt;/Author&gt;&lt;Year&gt;2014&lt;/Year&gt;&lt;RecNum&gt;72&lt;/RecNum&gt;&lt;IDText&gt;R51-R65&lt;/IDText&gt;&lt;DisplayText&gt;(Bozza et al. 2014)&lt;/DisplayText&gt;&lt;record&gt;&lt;rec-number&gt;72&lt;/rec-number&gt;&lt;foreign-keys&gt;&lt;key app="EN" db-id="s2dftfxw1fvsr1efx58vfvxtvfwzxea0td02" timestamp="1511748066"&gt;72&lt;/key&gt;&lt;/foreign-keys&gt;&lt;ref-type name="Journal Article"&gt;17&lt;/ref-type&gt;&lt;contributors&gt;&lt;authors&gt;&lt;author&gt;Bozza, C.&lt;/author&gt;&lt;author&gt;Puglisi, F.&lt;/author&gt;&lt;author&gt;Lambertini, M.&lt;/author&gt;&lt;author&gt;Osa, E. O.&lt;/author&gt;&lt;author&gt;Manno, M.&lt;/author&gt;&lt;author&gt;Del Mastro, L.&lt;/author&gt;&lt;/authors&gt;&lt;/contributors&gt;&lt;titles&gt;&lt;title&gt;Anti-Müllerian hormone: Determination of ovarian reserve in early breast cancer patients&lt;/title&gt;&lt;secondary-title&gt;Endocrine-Related Cancer&lt;/secondary-title&gt;&lt;/titles&gt;&lt;periodical&gt;&lt;full-title&gt;Endocrine-Related Cancer&lt;/full-title&gt;&lt;/periodical&gt;&lt;pages&gt;R51-R65&lt;/pages&gt;&lt;volume&gt;21&lt;/volume&gt;&lt;number&gt;1&lt;/number&gt;&lt;keywords&gt;&lt;keyword&gt;Biological Markers&lt;/keyword&gt;&lt;keyword&gt;Breast Neoplasms&lt;/keyword&gt;&lt;/keywords&gt;&lt;dates&gt;&lt;year&gt;2014&lt;/year&gt;&lt;pub-dates&gt;&lt;date&gt;2014-1-1&lt;/date&gt;&lt;/pub-dates&gt;&lt;/dates&gt;&lt;isbn&gt;1351-0088&lt;/isbn&gt;&lt;accession-num&gt;rayyan-6672835&lt;/accession-num&gt;&lt;urls&gt;&lt;related-urls&gt;&lt;url&gt;http://www.embase.com/search/results?subaction=viewrecord&amp;amp;from=export&amp;amp;id=L372324162 http://dx.doi.org/10.1530/ERC-13-0335&lt;/url&gt;&lt;url&gt;http://erc.endocrinology-journals.org/content/21/1/R51.full.pdf&lt;/url&gt;&lt;/related-urls&gt;&lt;/urls&gt;&lt;custom1&gt;RAYYAN-INCLUSION: {&amp;quot;Sharon&amp;quot;=&amp;gt;true, &amp;quot;Joanne&amp;quot;=&amp;gt;true}&lt;/custom1&gt;&lt;/record&gt;&lt;/Cite&gt;&lt;/EndNote&gt;</w:instrText>
      </w:r>
      <w:r>
        <w:fldChar w:fldCharType="separate"/>
      </w:r>
      <w:r>
        <w:rPr>
          <w:noProof/>
        </w:rPr>
        <w:t>(</w:t>
      </w:r>
      <w:hyperlink w:anchor="_ENREF_12" w:tooltip="Bozza, 2014 #72" w:history="1">
        <w:r w:rsidR="00835BA6">
          <w:rPr>
            <w:noProof/>
          </w:rPr>
          <w:t>Bozza et al. 2014</w:t>
        </w:r>
      </w:hyperlink>
      <w:r>
        <w:rPr>
          <w:noProof/>
        </w:rPr>
        <w:t>)</w:t>
      </w:r>
      <w:r>
        <w:fldChar w:fldCharType="end"/>
      </w:r>
      <w:r>
        <w:t>. AMH is present in blood and can be measured from birth until menopause.</w:t>
      </w:r>
    </w:p>
    <w:p w14:paraId="4CA1093A" w14:textId="61D1604F" w:rsidR="007518CF" w:rsidRDefault="00C00843" w:rsidP="00C00843">
      <w:pPr>
        <w:jc w:val="both"/>
      </w:pPr>
      <w:r>
        <w:t>In women undergoing gonadotoxic therapy or surgery, the primordial follicles in the ovaries</w:t>
      </w:r>
      <w:r w:rsidR="004F09F2">
        <w:t xml:space="preserve"> can be damaged</w:t>
      </w:r>
      <w:r>
        <w:t xml:space="preserve">, which </w:t>
      </w:r>
      <w:r w:rsidR="004F09F2">
        <w:t>may</w:t>
      </w:r>
      <w:r>
        <w:t xml:space="preserve"> lead to ovarian failure, infertility and early menopause. Usually AMH levels drop dur</w:t>
      </w:r>
      <w:r w:rsidR="00ED601A">
        <w:t>ing gonadotoxic treatment, with the possibility of</w:t>
      </w:r>
      <w:r>
        <w:t xml:space="preserve"> </w:t>
      </w:r>
      <w:r w:rsidR="00ED601A">
        <w:t>some</w:t>
      </w:r>
      <w:r>
        <w:t xml:space="preserve"> recovery after finishing treatment</w:t>
      </w:r>
      <w:r w:rsidR="00ED601A">
        <w:t>. This is dependent</w:t>
      </w:r>
      <w:r>
        <w:t xml:space="preserve"> on age, dose and type of treatment </w:t>
      </w:r>
      <w:r>
        <w:fldChar w:fldCharType="begin"/>
      </w:r>
      <w:r w:rsidR="00577E24">
        <w:instrText xml:space="preserve"> ADDIN EN.CITE &lt;EndNote&gt;&lt;Cite&gt;&lt;Author&gt;Bozza&lt;/Author&gt;&lt;Year&gt;2014&lt;/Year&gt;&lt;RecNum&gt;72&lt;/RecNum&gt;&lt;IDText&gt;R51-R65&lt;/IDText&gt;&lt;DisplayText&gt;(Bozza et al. 2014)&lt;/DisplayText&gt;&lt;record&gt;&lt;rec-number&gt;72&lt;/rec-number&gt;&lt;foreign-keys&gt;&lt;key app="EN" db-id="s2dftfxw1fvsr1efx58vfvxtvfwzxea0td02" timestamp="1511748066"&gt;72&lt;/key&gt;&lt;/foreign-keys&gt;&lt;ref-type name="Journal Article"&gt;17&lt;/ref-type&gt;&lt;contributors&gt;&lt;authors&gt;&lt;author&gt;Bozza, C.&lt;/author&gt;&lt;author&gt;Puglisi, F.&lt;/author&gt;&lt;author&gt;Lambertini, M.&lt;/author&gt;&lt;author&gt;Osa, E. O.&lt;/author&gt;&lt;author&gt;Manno, M.&lt;/author&gt;&lt;author&gt;Del Mastro, L.&lt;/author&gt;&lt;/authors&gt;&lt;/contributors&gt;&lt;titles&gt;&lt;title&gt;Anti-Müllerian hormone: Determination of ovarian reserve in early breast cancer patients&lt;/title&gt;&lt;secondary-title&gt;Endocrine-Related Cancer&lt;/secondary-title&gt;&lt;/titles&gt;&lt;periodical&gt;&lt;full-title&gt;Endocrine-Related Cancer&lt;/full-title&gt;&lt;/periodical&gt;&lt;pages&gt;R51-R65&lt;/pages&gt;&lt;volume&gt;21&lt;/volume&gt;&lt;number&gt;1&lt;/number&gt;&lt;keywords&gt;&lt;keyword&gt;Biological Markers&lt;/keyword&gt;&lt;keyword&gt;Breast Neoplasms&lt;/keyword&gt;&lt;/keywords&gt;&lt;dates&gt;&lt;year&gt;2014&lt;/year&gt;&lt;pub-dates&gt;&lt;date&gt;2014-1-1&lt;/date&gt;&lt;/pub-dates&gt;&lt;/dates&gt;&lt;isbn&gt;1351-0088&lt;/isbn&gt;&lt;accession-num&gt;rayyan-6672835&lt;/accession-num&gt;&lt;urls&gt;&lt;related-urls&gt;&lt;url&gt;http://www.embase.com/search/results?subaction=viewrecord&amp;amp;from=export&amp;amp;id=L372324162 http://dx.doi.org/10.1530/ERC-13-0335&lt;/url&gt;&lt;url&gt;http://erc.endocrinology-journals.org/content/21/1/R51.full.pdf&lt;/url&gt;&lt;/related-urls&gt;&lt;/urls&gt;&lt;custom1&gt;RAYYAN-INCLUSION: {&amp;quot;Sharon&amp;quot;=&amp;gt;true, &amp;quot;Joanne&amp;quot;=&amp;gt;true}&lt;/custom1&gt;&lt;/record&gt;&lt;/Cite&gt;&lt;/EndNote&gt;</w:instrText>
      </w:r>
      <w:r>
        <w:fldChar w:fldCharType="separate"/>
      </w:r>
      <w:r>
        <w:rPr>
          <w:noProof/>
        </w:rPr>
        <w:t>(</w:t>
      </w:r>
      <w:hyperlink w:anchor="_ENREF_12" w:tooltip="Bozza, 2014 #72" w:history="1">
        <w:r w:rsidR="00835BA6">
          <w:rPr>
            <w:noProof/>
          </w:rPr>
          <w:t>Bozza et al. 2014</w:t>
        </w:r>
      </w:hyperlink>
      <w:r>
        <w:rPr>
          <w:noProof/>
        </w:rPr>
        <w:t>)</w:t>
      </w:r>
      <w:r>
        <w:fldChar w:fldCharType="end"/>
      </w:r>
      <w:r>
        <w:t>.</w:t>
      </w:r>
    </w:p>
    <w:p w14:paraId="6B1ADDBA" w14:textId="5C505D89" w:rsidR="007518CF" w:rsidRDefault="00ED601A" w:rsidP="00C00843">
      <w:pPr>
        <w:jc w:val="both"/>
      </w:pPr>
      <w:r>
        <w:t>A</w:t>
      </w:r>
      <w:r w:rsidR="009C69F5">
        <w:t xml:space="preserve"> series of biochemical</w:t>
      </w:r>
      <w:r w:rsidR="00C00843">
        <w:t xml:space="preserve"> and ultrasonographic tests have been developed as indirect markers</w:t>
      </w:r>
      <w:r>
        <w:t xml:space="preserve"> to measure ovarian reserve</w:t>
      </w:r>
      <w:r w:rsidR="00C00843">
        <w:t>, such as AMH, follicle-stimulating hormone (FSH), estradiol (E2), inhibin B, antral follicle count (AFC)</w:t>
      </w:r>
      <w:r w:rsidR="009847E1">
        <w:t>,</w:t>
      </w:r>
      <w:r w:rsidR="00C00843">
        <w:t xml:space="preserve"> and measurement of ovarian volume</w:t>
      </w:r>
      <w:r w:rsidR="009847E1">
        <w:t xml:space="preserve">, as </w:t>
      </w:r>
      <w:r>
        <w:t>ovarian rese</w:t>
      </w:r>
      <w:r w:rsidR="009847E1">
        <w:t>rve cannot be measured directly</w:t>
      </w:r>
      <w:r w:rsidR="00C00843">
        <w:t>.</w:t>
      </w:r>
    </w:p>
    <w:p w14:paraId="56CBEECD" w14:textId="31724F18" w:rsidR="007518CF" w:rsidRDefault="00C00843" w:rsidP="00C00843">
      <w:pPr>
        <w:jc w:val="both"/>
      </w:pPr>
      <w:r>
        <w:t xml:space="preserve">Different commercial assays are used in clinical practice to measure serum AMH </w:t>
      </w:r>
      <w:r w:rsidR="00ED601A">
        <w:t>levels</w:t>
      </w:r>
      <w:r>
        <w:t>.</w:t>
      </w:r>
      <w:r w:rsidR="00ED601A">
        <w:t xml:space="preserve"> Scores of different assays are not necessarily comparable, so</w:t>
      </w:r>
      <w:r>
        <w:t xml:space="preserve"> </w:t>
      </w:r>
      <w:r w:rsidR="00ED601A">
        <w:t>w</w:t>
      </w:r>
      <w:r>
        <w:t xml:space="preserve">hen interpreting AMH values, </w:t>
      </w:r>
      <w:r w:rsidR="009847E1">
        <w:t>clinicians</w:t>
      </w:r>
      <w:r>
        <w:t xml:space="preserve"> should be aware of which AMH assay was used.</w:t>
      </w:r>
    </w:p>
    <w:p w14:paraId="3A528C58" w14:textId="77777777" w:rsidR="007518CF" w:rsidRDefault="00C00843" w:rsidP="00C00843">
      <w:pPr>
        <w:jc w:val="both"/>
      </w:pPr>
      <w:r>
        <w:t>AMH tests are</w:t>
      </w:r>
      <w:r w:rsidR="00ED601A">
        <w:t xml:space="preserve"> currently</w:t>
      </w:r>
      <w:r>
        <w:t xml:space="preserve"> paid for out-of-pocket by the patient.</w:t>
      </w:r>
    </w:p>
    <w:p w14:paraId="005AD338" w14:textId="748999FD" w:rsidR="00680EE9" w:rsidRPr="00183E4D" w:rsidRDefault="00680EE9" w:rsidP="004446E6">
      <w:pPr>
        <w:pStyle w:val="Heading3"/>
      </w:pPr>
      <w:bookmarkStart w:id="38" w:name="_Toc502832878"/>
      <w:r w:rsidRPr="00183E4D">
        <w:lastRenderedPageBreak/>
        <w:t xml:space="preserve">Proposal for </w:t>
      </w:r>
      <w:r w:rsidR="00DC5CE5">
        <w:t>public funding</w:t>
      </w:r>
      <w:bookmarkEnd w:id="38"/>
    </w:p>
    <w:p w14:paraId="7EFB20B3" w14:textId="77777777" w:rsidR="007518CF" w:rsidRDefault="00E83789" w:rsidP="00680EE9">
      <w:pPr>
        <w:jc w:val="both"/>
      </w:pPr>
      <w:r>
        <w:t>The</w:t>
      </w:r>
      <w:r w:rsidR="00C00843">
        <w:t xml:space="preserve"> scheduled fee for an AMH test</w:t>
      </w:r>
      <w:r>
        <w:t xml:space="preserve"> as proposed by the applicant is $100, which</w:t>
      </w:r>
      <w:r w:rsidR="00C00843">
        <w:t xml:space="preserve"> is higher than </w:t>
      </w:r>
      <w:r>
        <w:t>the amount</w:t>
      </w:r>
      <w:r w:rsidR="00C00843">
        <w:t xml:space="preserve"> currently charged by providers offering the service </w:t>
      </w:r>
      <w:r>
        <w:t>in the private sector</w:t>
      </w:r>
      <w:r w:rsidR="00C00843">
        <w:t xml:space="preserve">. The proposed item descriptor is shown below in </w:t>
      </w:r>
      <w:r w:rsidR="00C00843">
        <w:fldChar w:fldCharType="begin"/>
      </w:r>
      <w:r w:rsidR="00C00843">
        <w:instrText xml:space="preserve"> REF _Ref497919644 \h </w:instrText>
      </w:r>
      <w:r w:rsidR="00C00843">
        <w:fldChar w:fldCharType="separate"/>
      </w:r>
      <w:r w:rsidR="00AC4BE5" w:rsidRPr="00646731">
        <w:t xml:space="preserve">Table </w:t>
      </w:r>
      <w:r w:rsidR="00AC4BE5">
        <w:rPr>
          <w:noProof/>
        </w:rPr>
        <w:t>1</w:t>
      </w:r>
      <w:r w:rsidR="00C00843">
        <w:fldChar w:fldCharType="end"/>
      </w:r>
      <w:r w:rsidR="00C00843">
        <w:t>.</w:t>
      </w:r>
    </w:p>
    <w:p w14:paraId="695FA078" w14:textId="0BDED76D" w:rsidR="00C00843" w:rsidRPr="00646731" w:rsidRDefault="00C00843" w:rsidP="00C00843">
      <w:pPr>
        <w:pStyle w:val="Caption"/>
        <w:tabs>
          <w:tab w:val="left" w:pos="1134"/>
        </w:tabs>
        <w:ind w:left="1134" w:hanging="1134"/>
      </w:pPr>
      <w:bookmarkStart w:id="39" w:name="_Ref497919644"/>
      <w:bookmarkStart w:id="40" w:name="_Toc502833019"/>
      <w:r w:rsidRPr="00646731">
        <w:t xml:space="preserve">Table </w:t>
      </w:r>
      <w:r w:rsidR="00AC4BE5">
        <w:fldChar w:fldCharType="begin"/>
      </w:r>
      <w:r w:rsidR="00AC4BE5">
        <w:instrText xml:space="preserve"> SEQ Table \* ARABIC </w:instrText>
      </w:r>
      <w:r w:rsidR="00AC4BE5">
        <w:fldChar w:fldCharType="separate"/>
      </w:r>
      <w:r w:rsidR="00AC4BE5">
        <w:rPr>
          <w:noProof/>
        </w:rPr>
        <w:t>1</w:t>
      </w:r>
      <w:r w:rsidR="00AC4BE5">
        <w:rPr>
          <w:noProof/>
        </w:rPr>
        <w:fldChar w:fldCharType="end"/>
      </w:r>
      <w:bookmarkEnd w:id="39"/>
      <w:r w:rsidRPr="00646731">
        <w:tab/>
        <w:t>Proposed MBS item descriptor</w:t>
      </w:r>
      <w:bookmarkEnd w:id="40"/>
    </w:p>
    <w:tbl>
      <w:tblPr>
        <w:tblStyle w:val="TableGrid1"/>
        <w:tblW w:w="0" w:type="auto"/>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8888"/>
      </w:tblGrid>
      <w:tr w:rsidR="00C00843" w:rsidRPr="00183E4D" w14:paraId="406DDA9D"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8888" w:type="dxa"/>
          </w:tcPr>
          <w:p w14:paraId="149C04B9" w14:textId="328C1EB3" w:rsidR="00C00843" w:rsidRPr="00183E4D" w:rsidRDefault="00C00843" w:rsidP="0023752D">
            <w:pPr>
              <w:pStyle w:val="Tabletext1"/>
            </w:pPr>
            <w:r w:rsidRPr="00183E4D">
              <w:t>Category</w:t>
            </w:r>
            <w:r>
              <w:t xml:space="preserve"> 6</w:t>
            </w:r>
            <w:r w:rsidRPr="00183E4D">
              <w:t xml:space="preserve"> </w:t>
            </w:r>
            <w:r w:rsidR="0023752D">
              <w:t>-</w:t>
            </w:r>
            <w:r>
              <w:t xml:space="preserve"> Pathology services</w:t>
            </w:r>
          </w:p>
        </w:tc>
      </w:tr>
      <w:tr w:rsidR="00C00843" w:rsidRPr="00183E4D" w14:paraId="6EA5FE8B" w14:textId="77777777" w:rsidTr="004D6D0A">
        <w:tc>
          <w:tcPr>
            <w:tcW w:w="8888" w:type="dxa"/>
          </w:tcPr>
          <w:p w14:paraId="516895B9" w14:textId="77777777" w:rsidR="00C00843" w:rsidRPr="00545629" w:rsidRDefault="00C00843" w:rsidP="00913A53">
            <w:pPr>
              <w:autoSpaceDE w:val="0"/>
              <w:autoSpaceDN w:val="0"/>
              <w:adjustRightInd w:val="0"/>
              <w:spacing w:after="0" w:line="240" w:lineRule="auto"/>
              <w:rPr>
                <w:rFonts w:ascii="Arial Narrow" w:hAnsi="Arial Narrow"/>
                <w:sz w:val="20"/>
                <w:szCs w:val="20"/>
              </w:rPr>
            </w:pPr>
            <w:r w:rsidRPr="00545629">
              <w:rPr>
                <w:rFonts w:ascii="Arial Narrow" w:hAnsi="Arial Narrow"/>
                <w:sz w:val="20"/>
                <w:szCs w:val="20"/>
              </w:rPr>
              <w:t>MBS [item number]</w:t>
            </w:r>
          </w:p>
          <w:p w14:paraId="3444A822" w14:textId="77777777" w:rsidR="00C00843" w:rsidRDefault="00C00843" w:rsidP="00913A53">
            <w:pPr>
              <w:autoSpaceDE w:val="0"/>
              <w:autoSpaceDN w:val="0"/>
              <w:adjustRightInd w:val="0"/>
              <w:spacing w:after="0" w:line="240" w:lineRule="auto"/>
              <w:rPr>
                <w:rFonts w:ascii="Arial Narrow" w:hAnsi="Arial Narrow"/>
                <w:sz w:val="20"/>
                <w:szCs w:val="20"/>
              </w:rPr>
            </w:pPr>
          </w:p>
          <w:p w14:paraId="597249C9" w14:textId="77777777" w:rsidR="007518CF" w:rsidRDefault="00C00843" w:rsidP="00913A53">
            <w:pPr>
              <w:autoSpaceDE w:val="0"/>
              <w:autoSpaceDN w:val="0"/>
              <w:adjustRightInd w:val="0"/>
              <w:spacing w:after="0" w:line="240" w:lineRule="auto"/>
              <w:rPr>
                <w:rFonts w:ascii="Arial Narrow" w:hAnsi="Arial Narrow"/>
                <w:sz w:val="20"/>
                <w:szCs w:val="20"/>
              </w:rPr>
            </w:pPr>
            <w:r w:rsidRPr="00545629">
              <w:rPr>
                <w:rFonts w:ascii="Arial Narrow" w:hAnsi="Arial Narrow"/>
                <w:sz w:val="20"/>
                <w:szCs w:val="20"/>
              </w:rPr>
              <w:t>Anti-M</w:t>
            </w:r>
            <w:r w:rsidRPr="00545629">
              <w:rPr>
                <w:rFonts w:ascii="Arial Narrow" w:hAnsi="Arial Narrow" w:hint="eastAsia"/>
                <w:sz w:val="20"/>
                <w:szCs w:val="20"/>
              </w:rPr>
              <w:t>ü</w:t>
            </w:r>
            <w:r w:rsidRPr="00545629">
              <w:rPr>
                <w:rFonts w:ascii="Arial Narrow" w:hAnsi="Arial Narrow"/>
                <w:sz w:val="20"/>
                <w:szCs w:val="20"/>
              </w:rPr>
              <w:t>llerian Hormone (AMH) for female patients who will or have received gonadotoxic</w:t>
            </w:r>
            <w:r>
              <w:rPr>
                <w:rFonts w:ascii="Arial Narrow" w:hAnsi="Arial Narrow"/>
                <w:sz w:val="20"/>
                <w:szCs w:val="20"/>
              </w:rPr>
              <w:t xml:space="preserve"> </w:t>
            </w:r>
            <w:r w:rsidRPr="00545629">
              <w:rPr>
                <w:rFonts w:ascii="Arial Narrow" w:hAnsi="Arial Narrow"/>
                <w:sz w:val="20"/>
                <w:szCs w:val="20"/>
              </w:rPr>
              <w:t>treatment.</w:t>
            </w:r>
          </w:p>
          <w:p w14:paraId="2BEB01AF" w14:textId="03226466" w:rsidR="00C00843" w:rsidRDefault="00C00843" w:rsidP="00913A53">
            <w:pPr>
              <w:autoSpaceDE w:val="0"/>
              <w:autoSpaceDN w:val="0"/>
              <w:adjustRightInd w:val="0"/>
              <w:spacing w:after="0" w:line="240" w:lineRule="auto"/>
              <w:rPr>
                <w:rFonts w:ascii="Arial Narrow" w:hAnsi="Arial Narrow"/>
                <w:sz w:val="20"/>
                <w:szCs w:val="20"/>
              </w:rPr>
            </w:pPr>
          </w:p>
          <w:p w14:paraId="71AC4F98" w14:textId="77777777" w:rsidR="00C00843" w:rsidRPr="00545629" w:rsidRDefault="00C00843" w:rsidP="00913A53">
            <w:pPr>
              <w:autoSpaceDE w:val="0"/>
              <w:autoSpaceDN w:val="0"/>
              <w:adjustRightInd w:val="0"/>
              <w:spacing w:after="0" w:line="240" w:lineRule="auto"/>
              <w:rPr>
                <w:rFonts w:ascii="Arial Narrow" w:hAnsi="Arial Narrow"/>
                <w:sz w:val="20"/>
                <w:szCs w:val="20"/>
              </w:rPr>
            </w:pPr>
            <w:r w:rsidRPr="00545629">
              <w:rPr>
                <w:rFonts w:ascii="Arial Narrow" w:hAnsi="Arial Narrow"/>
                <w:sz w:val="20"/>
                <w:szCs w:val="20"/>
              </w:rPr>
              <w:t>Fee: $100</w:t>
            </w:r>
          </w:p>
          <w:p w14:paraId="7A765CD2" w14:textId="77777777" w:rsidR="00C00843" w:rsidRDefault="00C00843" w:rsidP="00913A53">
            <w:pPr>
              <w:autoSpaceDE w:val="0"/>
              <w:autoSpaceDN w:val="0"/>
              <w:adjustRightInd w:val="0"/>
              <w:spacing w:after="0" w:line="240" w:lineRule="auto"/>
              <w:rPr>
                <w:rFonts w:ascii="Arial Narrow" w:hAnsi="Arial Narrow"/>
                <w:sz w:val="20"/>
                <w:szCs w:val="20"/>
              </w:rPr>
            </w:pPr>
          </w:p>
          <w:p w14:paraId="29D3E5FE" w14:textId="77777777" w:rsidR="00C00843" w:rsidRPr="00545629" w:rsidRDefault="00C00843" w:rsidP="00913A53">
            <w:pPr>
              <w:autoSpaceDE w:val="0"/>
              <w:autoSpaceDN w:val="0"/>
              <w:adjustRightInd w:val="0"/>
              <w:spacing w:after="0" w:line="240" w:lineRule="auto"/>
              <w:rPr>
                <w:rFonts w:ascii="Arial Narrow" w:hAnsi="Arial Narrow"/>
                <w:sz w:val="20"/>
                <w:szCs w:val="20"/>
              </w:rPr>
            </w:pPr>
            <w:r w:rsidRPr="00545629">
              <w:rPr>
                <w:rFonts w:ascii="Arial Narrow" w:hAnsi="Arial Narrow"/>
                <w:sz w:val="20"/>
                <w:szCs w:val="20"/>
              </w:rPr>
              <w:t>Explanatory notes:</w:t>
            </w:r>
          </w:p>
          <w:p w14:paraId="6EC10C7F" w14:textId="33805A0A" w:rsidR="007518CF" w:rsidRDefault="00C00843" w:rsidP="00D366DE">
            <w:pPr>
              <w:pStyle w:val="ListParagraph"/>
              <w:numPr>
                <w:ilvl w:val="2"/>
                <w:numId w:val="23"/>
              </w:numPr>
              <w:autoSpaceDE w:val="0"/>
              <w:autoSpaceDN w:val="0"/>
              <w:adjustRightInd w:val="0"/>
              <w:spacing w:after="0" w:line="240" w:lineRule="auto"/>
              <w:ind w:left="465" w:hanging="283"/>
              <w:rPr>
                <w:rFonts w:ascii="Arial Narrow" w:hAnsi="Arial Narrow"/>
                <w:sz w:val="20"/>
                <w:szCs w:val="20"/>
              </w:rPr>
            </w:pPr>
            <w:r w:rsidRPr="00AE0AAE">
              <w:rPr>
                <w:rFonts w:ascii="Arial Narrow" w:hAnsi="Arial Narrow"/>
                <w:sz w:val="20"/>
                <w:szCs w:val="20"/>
              </w:rPr>
              <w:t>Diagnosis requiring treatment with gonadotoxic therapy</w:t>
            </w:r>
            <w:r w:rsidR="0064098D">
              <w:rPr>
                <w:rFonts w:ascii="Arial Narrow" w:hAnsi="Arial Narrow"/>
                <w:sz w:val="20"/>
                <w:szCs w:val="20"/>
              </w:rPr>
              <w:t>.</w:t>
            </w:r>
          </w:p>
          <w:p w14:paraId="23F40B08" w14:textId="5E0AF0A5" w:rsidR="007518CF" w:rsidRDefault="00C00843" w:rsidP="00D366DE">
            <w:pPr>
              <w:pStyle w:val="ListParagraph"/>
              <w:numPr>
                <w:ilvl w:val="2"/>
                <w:numId w:val="23"/>
              </w:numPr>
              <w:autoSpaceDE w:val="0"/>
              <w:autoSpaceDN w:val="0"/>
              <w:adjustRightInd w:val="0"/>
              <w:spacing w:after="0" w:line="240" w:lineRule="auto"/>
              <w:ind w:left="465" w:hanging="283"/>
              <w:rPr>
                <w:rFonts w:ascii="Arial Narrow" w:hAnsi="Arial Narrow"/>
                <w:sz w:val="20"/>
                <w:szCs w:val="20"/>
              </w:rPr>
            </w:pPr>
            <w:r w:rsidRPr="00AE0AAE">
              <w:rPr>
                <w:rFonts w:ascii="Arial Narrow" w:hAnsi="Arial Narrow"/>
                <w:sz w:val="20"/>
                <w:szCs w:val="20"/>
              </w:rPr>
              <w:t>Service to be provided by a suitably trained and accredited fertility specialist</w:t>
            </w:r>
            <w:r w:rsidR="0064098D">
              <w:rPr>
                <w:rFonts w:ascii="Arial Narrow" w:hAnsi="Arial Narrow"/>
                <w:sz w:val="20"/>
                <w:szCs w:val="20"/>
              </w:rPr>
              <w:t>.</w:t>
            </w:r>
          </w:p>
          <w:p w14:paraId="1DE9D002" w14:textId="3217E3DA" w:rsidR="00C00843" w:rsidRDefault="0023752D" w:rsidP="00D366DE">
            <w:pPr>
              <w:pStyle w:val="ListParagraph"/>
              <w:numPr>
                <w:ilvl w:val="2"/>
                <w:numId w:val="23"/>
              </w:numPr>
              <w:autoSpaceDE w:val="0"/>
              <w:autoSpaceDN w:val="0"/>
              <w:adjustRightInd w:val="0"/>
              <w:spacing w:after="0" w:line="240" w:lineRule="auto"/>
              <w:ind w:left="465" w:hanging="283"/>
              <w:rPr>
                <w:rFonts w:ascii="Arial Narrow" w:hAnsi="Arial Narrow"/>
                <w:sz w:val="20"/>
                <w:szCs w:val="20"/>
              </w:rPr>
            </w:pPr>
            <w:r>
              <w:rPr>
                <w:rFonts w:ascii="Arial Narrow" w:hAnsi="Arial Narrow"/>
                <w:sz w:val="20"/>
                <w:szCs w:val="20"/>
              </w:rPr>
              <w:t>Female patient aged 0</w:t>
            </w:r>
            <w:r w:rsidRPr="00183E4D">
              <w:t>–</w:t>
            </w:r>
            <w:r w:rsidR="00C00843" w:rsidRPr="00AE0AAE">
              <w:rPr>
                <w:rFonts w:ascii="Arial Narrow" w:hAnsi="Arial Narrow"/>
                <w:sz w:val="20"/>
                <w:szCs w:val="20"/>
              </w:rPr>
              <w:t>45 years of age will eligible for this service.</w:t>
            </w:r>
          </w:p>
          <w:p w14:paraId="2DDDAF26" w14:textId="77777777" w:rsidR="00C00843" w:rsidRDefault="00C00843" w:rsidP="00D366DE">
            <w:pPr>
              <w:pStyle w:val="ListParagraph"/>
              <w:numPr>
                <w:ilvl w:val="2"/>
                <w:numId w:val="23"/>
              </w:numPr>
              <w:autoSpaceDE w:val="0"/>
              <w:autoSpaceDN w:val="0"/>
              <w:adjustRightInd w:val="0"/>
              <w:spacing w:after="0" w:line="240" w:lineRule="auto"/>
              <w:ind w:left="465" w:hanging="283"/>
              <w:rPr>
                <w:rFonts w:ascii="Arial Narrow" w:hAnsi="Arial Narrow"/>
                <w:sz w:val="20"/>
                <w:szCs w:val="20"/>
              </w:rPr>
            </w:pPr>
            <w:r w:rsidRPr="00AE0AAE">
              <w:rPr>
                <w:rFonts w:ascii="Arial Narrow" w:hAnsi="Arial Narrow"/>
                <w:sz w:val="20"/>
                <w:szCs w:val="20"/>
              </w:rPr>
              <w:t>Maximum of one AMH test in female prior to initial or relapse treatment with gonadotoxic treatment for malignant or non-malignant disease.</w:t>
            </w:r>
          </w:p>
          <w:p w14:paraId="2C951727" w14:textId="77777777" w:rsidR="00C00843" w:rsidRPr="00183E4D" w:rsidRDefault="00C00843" w:rsidP="00D366DE">
            <w:pPr>
              <w:pStyle w:val="ListParagraph"/>
              <w:numPr>
                <w:ilvl w:val="2"/>
                <w:numId w:val="23"/>
              </w:numPr>
              <w:autoSpaceDE w:val="0"/>
              <w:autoSpaceDN w:val="0"/>
              <w:adjustRightInd w:val="0"/>
              <w:spacing w:after="0" w:line="240" w:lineRule="auto"/>
              <w:ind w:left="465" w:hanging="283"/>
            </w:pPr>
            <w:r w:rsidRPr="00AE0AAE">
              <w:rPr>
                <w:rFonts w:ascii="Arial Narrow" w:hAnsi="Arial Narrow"/>
                <w:sz w:val="20"/>
                <w:szCs w:val="20"/>
              </w:rPr>
              <w:t>Assessment of ovarian reserve with a maximum of one AMH test per year following treatment in patients who have had gonadotoxic treatment to assess the gonadotoxic effects of treatment, to assess pubertal delay, to assess ovarian failure, to assess the</w:t>
            </w:r>
            <w:r>
              <w:rPr>
                <w:rFonts w:ascii="Arial Narrow" w:hAnsi="Arial Narrow"/>
                <w:sz w:val="20"/>
                <w:szCs w:val="20"/>
              </w:rPr>
              <w:t xml:space="preserve"> </w:t>
            </w:r>
            <w:r w:rsidRPr="00AE0AAE">
              <w:rPr>
                <w:rFonts w:ascii="Arial Narrow" w:hAnsi="Arial Narrow"/>
                <w:sz w:val="20"/>
                <w:szCs w:val="20"/>
              </w:rPr>
              <w:t>need for fertility preservation following treatment and to assess the need for assisted</w:t>
            </w:r>
            <w:r>
              <w:rPr>
                <w:rFonts w:ascii="Arial Narrow" w:hAnsi="Arial Narrow"/>
                <w:sz w:val="20"/>
                <w:szCs w:val="20"/>
              </w:rPr>
              <w:t xml:space="preserve"> </w:t>
            </w:r>
            <w:r w:rsidRPr="00545629">
              <w:rPr>
                <w:rFonts w:ascii="Arial Narrow" w:hAnsi="Arial Narrow"/>
                <w:sz w:val="20"/>
                <w:szCs w:val="20"/>
              </w:rPr>
              <w:t>reproductive treatment for family planning.</w:t>
            </w:r>
          </w:p>
        </w:tc>
      </w:tr>
    </w:tbl>
    <w:p w14:paraId="36B7CF7A" w14:textId="77777777" w:rsidR="00E15BB1" w:rsidRPr="00680EE9" w:rsidRDefault="00E15BB1" w:rsidP="004446E6">
      <w:pPr>
        <w:pStyle w:val="Heading3"/>
      </w:pPr>
      <w:bookmarkStart w:id="41" w:name="_Toc502832879"/>
      <w:r w:rsidRPr="00680EE9">
        <w:t>Population</w:t>
      </w:r>
      <w:bookmarkEnd w:id="41"/>
    </w:p>
    <w:p w14:paraId="0AE857A2" w14:textId="5C60DEB4" w:rsidR="00932B33" w:rsidRDefault="00932B33" w:rsidP="00932B33">
      <w:pPr>
        <w:jc w:val="both"/>
      </w:pPr>
      <w:r>
        <w:t>The proposed population is female</w:t>
      </w:r>
      <w:r w:rsidR="00E83789">
        <w:t xml:space="preserve"> pre</w:t>
      </w:r>
      <w:r w:rsidR="003036C4">
        <w:t>-menopausal</w:t>
      </w:r>
      <w:r w:rsidR="00E83789">
        <w:t xml:space="preserve"> </w:t>
      </w:r>
      <w:r>
        <w:t xml:space="preserve">patients </w:t>
      </w:r>
      <w:r w:rsidR="00E83789">
        <w:t>who</w:t>
      </w:r>
      <w:r>
        <w:t xml:space="preserve"> will be having, or have had, gonadotoxic treatment. Gonadotoxic treatment includes any treatment which is associated with a risk of ovarian damage or sterility. This inc</w:t>
      </w:r>
      <w:r w:rsidR="009847E1">
        <w:t>ludes treatment for malignancy, e.g. chemotherapy, irradiation</w:t>
      </w:r>
      <w:r>
        <w:t xml:space="preserve">, as well as </w:t>
      </w:r>
      <w:r w:rsidR="009847E1">
        <w:t xml:space="preserve">treatment </w:t>
      </w:r>
      <w:r>
        <w:t>for precancerous or beni</w:t>
      </w:r>
      <w:r w:rsidR="009847E1">
        <w:t>gn conditions, e.g. pelvic surgery</w:t>
      </w:r>
      <w:r>
        <w:t>.</w:t>
      </w:r>
    </w:p>
    <w:p w14:paraId="7C8767BE" w14:textId="245EF0BD" w:rsidR="00932B33" w:rsidRDefault="00932B33" w:rsidP="00932B33">
      <w:pPr>
        <w:jc w:val="both"/>
      </w:pPr>
      <w:r>
        <w:t xml:space="preserve">In Australia, the </w:t>
      </w:r>
      <w:r w:rsidR="00657039">
        <w:t xml:space="preserve">estimated </w:t>
      </w:r>
      <w:r>
        <w:t xml:space="preserve">number of new cases of </w:t>
      </w:r>
      <w:r w:rsidR="009847E1">
        <w:t>cancer to be diagnosed in 2017 among</w:t>
      </w:r>
      <w:r>
        <w:t xml:space="preserve"> women aged </w:t>
      </w:r>
      <w:r w:rsidR="00657039">
        <w:t>under 45 years</w:t>
      </w:r>
      <w:r>
        <w:t xml:space="preserve"> is 6,520.</w:t>
      </w:r>
      <w:r w:rsidRPr="00932B33">
        <w:t xml:space="preserve"> </w:t>
      </w:r>
      <w:r>
        <w:t xml:space="preserve">It was estimated that 22% of women </w:t>
      </w:r>
      <w:r w:rsidR="00657039">
        <w:t>indicated for</w:t>
      </w:r>
      <w:r>
        <w:t xml:space="preserve"> AMH testing h</w:t>
      </w:r>
      <w:r w:rsidR="009847E1">
        <w:t xml:space="preserve">ave a non-malignant condition. </w:t>
      </w:r>
      <w:r w:rsidR="008D6327">
        <w:t>Information</w:t>
      </w:r>
      <w:r>
        <w:t xml:space="preserve"> on estimated upta</w:t>
      </w:r>
      <w:r w:rsidR="008D6327">
        <w:t>ke of AMH testing in Australia among females seeking specialist fertility with non-malignant conditions requiring gonadotoxic treatment was unavailable. However, the available evidence suggests that uptake of AMH testing among female oncology patients up to 44 years, currently about 50%, would increase to 90% if the service were made available without out-of-pocket costs to patients.</w:t>
      </w:r>
    </w:p>
    <w:p w14:paraId="1BF367AC" w14:textId="1EA2FDB3" w:rsidR="007518CF" w:rsidRDefault="005602D3" w:rsidP="004446E6">
      <w:pPr>
        <w:pStyle w:val="Heading3"/>
      </w:pPr>
      <w:bookmarkStart w:id="42" w:name="_Toc395200744"/>
      <w:bookmarkStart w:id="43" w:name="_Toc502832880"/>
      <w:r w:rsidRPr="00183E4D">
        <w:t xml:space="preserve">Comparator </w:t>
      </w:r>
      <w:r w:rsidR="004446E6">
        <w:t>d</w:t>
      </w:r>
      <w:r w:rsidRPr="00183E4D">
        <w:t>etail</w:t>
      </w:r>
      <w:r w:rsidR="00753141" w:rsidRPr="00183E4D">
        <w:t>s</w:t>
      </w:r>
      <w:bookmarkEnd w:id="42"/>
      <w:bookmarkEnd w:id="43"/>
    </w:p>
    <w:p w14:paraId="415334FB" w14:textId="29C9C86F" w:rsidR="00E73D7C" w:rsidRPr="00183E4D" w:rsidRDefault="00932B33" w:rsidP="00E73D7C">
      <w:pPr>
        <w:jc w:val="both"/>
      </w:pPr>
      <w:r w:rsidRPr="005A30D7">
        <w:t xml:space="preserve">AMH testing would be done in addition to the current standard tests </w:t>
      </w:r>
      <w:r w:rsidR="00612F50" w:rsidRPr="005A30D7">
        <w:t>for measuring</w:t>
      </w:r>
      <w:r w:rsidRPr="005A30D7">
        <w:t xml:space="preserve"> ovarian reserve. Ovarian reserve test</w:t>
      </w:r>
      <w:r w:rsidR="00612F50" w:rsidRPr="005A30D7">
        <w:t>s</w:t>
      </w:r>
      <w:r w:rsidRPr="005A30D7">
        <w:t xml:space="preserve"> include both biochemical tests and </w:t>
      </w:r>
      <w:r w:rsidR="00612F50" w:rsidRPr="005A30D7">
        <w:t xml:space="preserve">ovary </w:t>
      </w:r>
      <w:r w:rsidRPr="005A30D7">
        <w:t xml:space="preserve">ultrasound imaging. The </w:t>
      </w:r>
      <w:r w:rsidR="003E7EA1" w:rsidRPr="005A30D7">
        <w:t>PICO Confirmation</w:t>
      </w:r>
      <w:r w:rsidR="005A30D7">
        <w:t xml:space="preserve"> listed basal </w:t>
      </w:r>
      <w:r w:rsidR="00057106">
        <w:t>FSH</w:t>
      </w:r>
      <w:r w:rsidRPr="005A30D7">
        <w:t xml:space="preserve">, </w:t>
      </w:r>
      <w:r w:rsidR="00057106">
        <w:t>E2</w:t>
      </w:r>
      <w:r w:rsidRPr="005A30D7">
        <w:t xml:space="preserve"> </w:t>
      </w:r>
      <w:r w:rsidR="00245A4A">
        <w:t xml:space="preserve">and </w:t>
      </w:r>
      <w:r w:rsidR="003C2616" w:rsidRPr="005A30D7">
        <w:t>inhibin B</w:t>
      </w:r>
      <w:r w:rsidR="005A30D7">
        <w:t xml:space="preserve"> measurement and </w:t>
      </w:r>
      <w:r w:rsidR="00057106">
        <w:t>AFC</w:t>
      </w:r>
      <w:r w:rsidRPr="005A30D7">
        <w:t xml:space="preserve"> as valid comparators. </w:t>
      </w:r>
      <w:r w:rsidR="00612F50" w:rsidRPr="005A30D7">
        <w:t xml:space="preserve">The measurement of </w:t>
      </w:r>
      <w:r w:rsidR="003C2616" w:rsidRPr="005A30D7">
        <w:t>inhibin B</w:t>
      </w:r>
      <w:r w:rsidR="00E73D7C" w:rsidRPr="005A30D7">
        <w:t xml:space="preserve"> </w:t>
      </w:r>
      <w:r w:rsidR="00612F50" w:rsidRPr="005A30D7">
        <w:t>is</w:t>
      </w:r>
      <w:r w:rsidR="00E73D7C" w:rsidRPr="005A30D7">
        <w:t xml:space="preserve"> currently not listed on the MBS, however FSH and E2</w:t>
      </w:r>
      <w:r w:rsidR="00612F50" w:rsidRPr="005A30D7">
        <w:t xml:space="preserve"> tests</w:t>
      </w:r>
      <w:r w:rsidR="00E73D7C" w:rsidRPr="005A30D7">
        <w:t xml:space="preserve"> are listed under MBS number 66695. AFC using ultrasound</w:t>
      </w:r>
      <w:r w:rsidR="00612F50" w:rsidRPr="005A30D7">
        <w:t xml:space="preserve"> is listed</w:t>
      </w:r>
      <w:r w:rsidR="00E73D7C" w:rsidRPr="005A30D7">
        <w:t xml:space="preserve"> under MBS item number 55065.</w:t>
      </w:r>
    </w:p>
    <w:p w14:paraId="1570C8D8" w14:textId="50E84760" w:rsidR="008C7152" w:rsidRPr="00183E4D" w:rsidRDefault="00145631" w:rsidP="004446E6">
      <w:pPr>
        <w:pStyle w:val="Heading3"/>
      </w:pPr>
      <w:bookmarkStart w:id="44" w:name="_Toc502832881"/>
      <w:bookmarkEnd w:id="36"/>
      <w:bookmarkEnd w:id="37"/>
      <w:r>
        <w:lastRenderedPageBreak/>
        <w:t>Clinical management algorithm</w:t>
      </w:r>
      <w:r w:rsidR="0042187F">
        <w:t>(s)</w:t>
      </w:r>
      <w:bookmarkEnd w:id="44"/>
    </w:p>
    <w:bookmarkStart w:id="45" w:name="_Toc395200746"/>
    <w:bookmarkStart w:id="46" w:name="_Toc379118058"/>
    <w:bookmarkStart w:id="47" w:name="_Toc379118250"/>
    <w:bookmarkStart w:id="48" w:name="_Toc381796434"/>
    <w:p w14:paraId="7F50CF2E" w14:textId="3D1B13E8" w:rsidR="00925A55" w:rsidRDefault="00925A55" w:rsidP="00925A55">
      <w:pPr>
        <w:jc w:val="both"/>
      </w:pPr>
      <w:r>
        <w:fldChar w:fldCharType="begin"/>
      </w:r>
      <w:r>
        <w:instrText xml:space="preserve"> REF _Ref379455005 \h  \* MERGEFORMAT </w:instrText>
      </w:r>
      <w:r>
        <w:fldChar w:fldCharType="separate"/>
      </w:r>
      <w:r w:rsidR="00AC4BE5" w:rsidRPr="00183E4D">
        <w:t xml:space="preserve">Figure </w:t>
      </w:r>
      <w:r w:rsidR="00AC4BE5">
        <w:rPr>
          <w:noProof/>
        </w:rPr>
        <w:t>2</w:t>
      </w:r>
      <w:r>
        <w:fldChar w:fldCharType="end"/>
      </w:r>
      <w:r>
        <w:t xml:space="preserve"> shows the current and proposed clinical management algorithm for </w:t>
      </w:r>
      <w:r w:rsidR="0062620B">
        <w:t xml:space="preserve">females undergoing testing </w:t>
      </w:r>
      <w:r>
        <w:t>prior to gonadotoxic treatment. The current and proposed clinical management algorithms for females</w:t>
      </w:r>
      <w:r w:rsidR="0062620B">
        <w:t xml:space="preserve"> tested</w:t>
      </w:r>
      <w:r>
        <w:t xml:space="preserve"> </w:t>
      </w:r>
      <w:r w:rsidR="0062620B">
        <w:t xml:space="preserve">after undergoing </w:t>
      </w:r>
      <w:r>
        <w:t xml:space="preserve">gonadotoxic treatment are shown in </w:t>
      </w:r>
      <w:r>
        <w:fldChar w:fldCharType="begin"/>
      </w:r>
      <w:r>
        <w:instrText xml:space="preserve"> REF _Ref477853455 \h  \* MERGEFORMAT </w:instrText>
      </w:r>
      <w:r>
        <w:fldChar w:fldCharType="separate"/>
      </w:r>
      <w:r w:rsidR="00AC4BE5" w:rsidRPr="00CE368C">
        <w:t xml:space="preserve">Figure </w:t>
      </w:r>
      <w:r w:rsidR="00AC4BE5">
        <w:rPr>
          <w:noProof/>
        </w:rPr>
        <w:t>3</w:t>
      </w:r>
      <w:r>
        <w:fldChar w:fldCharType="end"/>
      </w:r>
      <w:r>
        <w:t xml:space="preserve"> and </w:t>
      </w:r>
      <w:r>
        <w:fldChar w:fldCharType="begin"/>
      </w:r>
      <w:r>
        <w:instrText xml:space="preserve"> REF _Ref477853594 \h  \* MERGEFORMAT </w:instrText>
      </w:r>
      <w:r>
        <w:fldChar w:fldCharType="separate"/>
      </w:r>
      <w:r w:rsidR="00AC4BE5" w:rsidRPr="00CE368C">
        <w:t xml:space="preserve">Figure </w:t>
      </w:r>
      <w:r w:rsidR="00AC4BE5">
        <w:rPr>
          <w:noProof/>
        </w:rPr>
        <w:t>4</w:t>
      </w:r>
      <w:r>
        <w:fldChar w:fldCharType="end"/>
      </w:r>
      <w:r w:rsidR="0062620B">
        <w:t>, respectively. In most cases</w:t>
      </w:r>
      <w:r w:rsidR="00245A4A">
        <w:t>,</w:t>
      </w:r>
      <w:r w:rsidR="0062620B">
        <w:t xml:space="preserve"> </w:t>
      </w:r>
      <w:r>
        <w:t xml:space="preserve">AMH will be </w:t>
      </w:r>
      <w:r w:rsidR="0062620B">
        <w:t>measured</w:t>
      </w:r>
      <w:r>
        <w:t xml:space="preserve"> in addition to ovarian reserve tests</w:t>
      </w:r>
      <w:r w:rsidR="0062620B">
        <w:t xml:space="preserve"> already done in clinical practice</w:t>
      </w:r>
      <w:r>
        <w:t xml:space="preserve"> (mainly FSH, E2 and AFC).</w:t>
      </w:r>
    </w:p>
    <w:p w14:paraId="23DA85BC" w14:textId="45730E14" w:rsidR="002440A5" w:rsidRPr="00183E4D" w:rsidRDefault="00DC5CE5" w:rsidP="004446E6">
      <w:pPr>
        <w:pStyle w:val="Heading3"/>
      </w:pPr>
      <w:bookmarkStart w:id="49" w:name="_Toc395200747"/>
      <w:bookmarkStart w:id="50" w:name="_Toc502832882"/>
      <w:bookmarkEnd w:id="45"/>
      <w:r>
        <w:t>Clinical c</w:t>
      </w:r>
      <w:r w:rsidR="002440A5" w:rsidRPr="00183E4D">
        <w:t>laim</w:t>
      </w:r>
      <w:bookmarkEnd w:id="49"/>
      <w:bookmarkEnd w:id="50"/>
    </w:p>
    <w:p w14:paraId="2D50F724" w14:textId="708BF556" w:rsidR="007518CF" w:rsidRDefault="003E7EA1" w:rsidP="00B21FEB">
      <w:pPr>
        <w:jc w:val="both"/>
      </w:pPr>
      <w:r>
        <w:t>The f</w:t>
      </w:r>
      <w:r w:rsidR="00012330">
        <w:t xml:space="preserve">inal </w:t>
      </w:r>
      <w:r>
        <w:t>PICO Confirmation</w:t>
      </w:r>
      <w:r w:rsidR="00012330">
        <w:t xml:space="preserve"> did not state a clear clinical claim. </w:t>
      </w:r>
      <w:r w:rsidR="00B21FEB">
        <w:t xml:space="preserve">Based on the available information in the </w:t>
      </w:r>
      <w:r>
        <w:t>PICO Confirmation</w:t>
      </w:r>
      <w:r w:rsidR="00B21FEB">
        <w:t xml:space="preserve">s, the evidence and the </w:t>
      </w:r>
      <w:r w:rsidR="0062620B">
        <w:t xml:space="preserve">public </w:t>
      </w:r>
      <w:r w:rsidR="00B21FEB">
        <w:t xml:space="preserve">consultation feedback, the assessment group identified </w:t>
      </w:r>
      <w:r w:rsidR="00E35AF2">
        <w:t>several</w:t>
      </w:r>
      <w:r w:rsidR="00B21FEB">
        <w:t xml:space="preserve"> </w:t>
      </w:r>
      <w:r w:rsidR="00E35AF2">
        <w:t>uses for</w:t>
      </w:r>
      <w:r w:rsidR="0062620B">
        <w:t xml:space="preserve"> AMH testing</w:t>
      </w:r>
      <w:r w:rsidR="00E35AF2">
        <w:t>.</w:t>
      </w:r>
    </w:p>
    <w:p w14:paraId="40E250AF" w14:textId="52D52793" w:rsidR="00E35AF2" w:rsidRDefault="00E35AF2" w:rsidP="00E35AF2">
      <w:pPr>
        <w:jc w:val="both"/>
      </w:pPr>
      <w:r>
        <w:t>Prior to gonadotoxic treatment, an AMH test is used to provide prognostic information about risk of infertility, thereby informing the decision whether to undergo fertility preservation. Or, in other words, whether fertility is likely to be sufficient after gonadotoxic therapy such that fertility preservation is unnecessary, versus a scenario requiring that patients are counselled that they are likely to have a low number of oocytes, and that the chance of conception is low. Pre-gonadotoxic treatment, an AMH test may also be used to predict the response to superovulation, thereby enabling the yield of good quality oocytes to be maximised while reducing the risk of ovarian hyper</w:t>
      </w:r>
      <w:r w:rsidR="00916047">
        <w:t>stimulation</w:t>
      </w:r>
      <w:r>
        <w:t xml:space="preserve"> by adjusting starting doses of rFSH.</w:t>
      </w:r>
    </w:p>
    <w:p w14:paraId="22F4A024" w14:textId="453E176D" w:rsidR="007518CF" w:rsidRDefault="00E35AF2" w:rsidP="00E35AF2">
      <w:pPr>
        <w:spacing w:before="240" w:after="0"/>
        <w:jc w:val="both"/>
      </w:pPr>
      <w:r>
        <w:t>Following gonadotoxic treatment, an AMH test is used to monitor the level of ovarian function. Monitoring ovarian function may inform whether patients are candidates for natural conception or may need assisted reproductive therapy (ART), using previously cryopreserved ovarian tissue, oocytes or embryos to conceive. Other claimed benefits of monitoring ovarian function include the ability to guide HRT based on information on ovarian reserve (i.e. is there premature ovarian insufficient), to diagnose ovarian failure, and to assist with counselling and supportive care of early menopause.</w:t>
      </w:r>
    </w:p>
    <w:p w14:paraId="447898B5" w14:textId="57608D18" w:rsidR="00C96FE9" w:rsidRPr="00183E4D" w:rsidRDefault="004446E6" w:rsidP="00612283">
      <w:pPr>
        <w:pStyle w:val="Heading3"/>
        <w:jc w:val="both"/>
      </w:pPr>
      <w:bookmarkStart w:id="51" w:name="_Toc395200748"/>
      <w:bookmarkStart w:id="52" w:name="_Toc502832883"/>
      <w:r>
        <w:rPr>
          <w:rStyle w:val="Heading3Char"/>
          <w:b/>
          <w:smallCaps/>
        </w:rPr>
        <w:t>Approach t</w:t>
      </w:r>
      <w:r w:rsidR="00AE1CBE" w:rsidRPr="00183E4D">
        <w:t xml:space="preserve">aken to the </w:t>
      </w:r>
      <w:r>
        <w:rPr>
          <w:rStyle w:val="Heading3Char"/>
          <w:b/>
          <w:smallCaps/>
        </w:rPr>
        <w:t>e</w:t>
      </w:r>
      <w:r w:rsidR="00AE1CBE" w:rsidRPr="00183E4D">
        <w:t xml:space="preserve">vidence </w:t>
      </w:r>
      <w:r>
        <w:rPr>
          <w:rStyle w:val="Heading3Char"/>
          <w:b/>
          <w:smallCaps/>
        </w:rPr>
        <w:t>a</w:t>
      </w:r>
      <w:r w:rsidR="00AE1CBE" w:rsidRPr="00183E4D">
        <w:t>ssessment</w:t>
      </w:r>
      <w:bookmarkEnd w:id="51"/>
      <w:bookmarkEnd w:id="52"/>
    </w:p>
    <w:p w14:paraId="516236F8" w14:textId="56A586C1" w:rsidR="00D12E15" w:rsidRPr="003B4200" w:rsidRDefault="00AE1CBE" w:rsidP="003B4200">
      <w:pPr>
        <w:jc w:val="both"/>
      </w:pPr>
      <w:r w:rsidRPr="00910B3A">
        <w:t xml:space="preserve">A </w:t>
      </w:r>
      <w:r w:rsidR="00B21FEB" w:rsidRPr="00910B3A">
        <w:t>systematic review of published and unpublished</w:t>
      </w:r>
      <w:r w:rsidRPr="00910B3A">
        <w:t xml:space="preserve"> literature was undertaken.</w:t>
      </w:r>
      <w:r w:rsidR="00012330" w:rsidRPr="00910B3A">
        <w:t xml:space="preserve"> </w:t>
      </w:r>
      <w:r w:rsidR="00D12E15" w:rsidRPr="00910B3A">
        <w:t xml:space="preserve">The medical literature was searched on the 6th of June 2017 to identify relevant studies and systematic reviews published </w:t>
      </w:r>
      <w:r w:rsidR="00D12E15" w:rsidRPr="003B4200">
        <w:t xml:space="preserve">during the period 1990 to June 2017. Searches were conducted of the databases and sources </w:t>
      </w:r>
      <w:r w:rsidR="00B9160A">
        <w:t>as per</w:t>
      </w:r>
      <w:r w:rsidR="00D12E15" w:rsidRPr="003B4200">
        <w:t xml:space="preserve"> Appendix B. Attempts were also made to source </w:t>
      </w:r>
      <w:r w:rsidR="00B9160A">
        <w:t>unpublished or grey literature.</w:t>
      </w:r>
    </w:p>
    <w:p w14:paraId="01055AE0" w14:textId="111FA7C0" w:rsidR="00012330" w:rsidRDefault="00C450F0" w:rsidP="00B21FEB">
      <w:pPr>
        <w:jc w:val="both"/>
      </w:pPr>
      <w:r w:rsidRPr="00183E4D">
        <w:t xml:space="preserve">Studies were </w:t>
      </w:r>
      <w:r w:rsidRPr="00942881">
        <w:t>selected by a single reviewer with a second</w:t>
      </w:r>
      <w:r>
        <w:t xml:space="preserve"> reviewer assessing 10</w:t>
      </w:r>
      <w:r w:rsidR="00B169D7">
        <w:t>%</w:t>
      </w:r>
      <w:r>
        <w:t xml:space="preserve"> of the most relevant citations, as determined by the algorithm within Rayyan. </w:t>
      </w:r>
      <w:r w:rsidRPr="00183E4D">
        <w:t xml:space="preserve">Appraisal of the evidence was conducted in </w:t>
      </w:r>
      <w:r w:rsidR="00B9160A">
        <w:t>four</w:t>
      </w:r>
      <w:r w:rsidRPr="00183E4D">
        <w:t xml:space="preserve"> </w:t>
      </w:r>
      <w:r>
        <w:t>stages: (1) a</w:t>
      </w:r>
      <w:r w:rsidRPr="00183E4D">
        <w:t xml:space="preserve">ppraisal of the </w:t>
      </w:r>
      <w:r>
        <w:t>risk of bias within</w:t>
      </w:r>
      <w:r w:rsidR="00D65BD1">
        <w:t xml:space="preserve"> individual studies </w:t>
      </w:r>
      <w:r w:rsidRPr="00183E4D">
        <w:t>included in the review</w:t>
      </w:r>
      <w:r w:rsidR="00B9160A">
        <w:t>;</w:t>
      </w:r>
      <w:r>
        <w:t xml:space="preserve"> (2) a</w:t>
      </w:r>
      <w:r w:rsidRPr="00183E4D">
        <w:t>ppraisal of the precision, size of effect and clinical importance of the results reported in the evidence base as they relate to the pre-specified primary outcomes for this assessment</w:t>
      </w:r>
      <w:r w:rsidR="00B9160A">
        <w:t>;</w:t>
      </w:r>
      <w:r>
        <w:t xml:space="preserve"> (3) </w:t>
      </w:r>
      <w:r>
        <w:lastRenderedPageBreak/>
        <w:t>rating the overall quality of the evidence per outcome, across studies, based on the s</w:t>
      </w:r>
      <w:r w:rsidR="00B9160A">
        <w:t>tudy limitations (risk of bias),</w:t>
      </w:r>
      <w:r>
        <w:t xml:space="preserve"> imprecision, inconsistency of results, indirectness of evidence, and the likelihood of publication bias, and</w:t>
      </w:r>
      <w:r w:rsidR="00B9160A">
        <w:t>;</w:t>
      </w:r>
      <w:r>
        <w:t xml:space="preserve"> (4) </w:t>
      </w:r>
      <w:r w:rsidR="00B9160A">
        <w:t>i</w:t>
      </w:r>
      <w:r w:rsidRPr="00183E4D">
        <w:t xml:space="preserve">ntegration of this evidence </w:t>
      </w:r>
      <w:r w:rsidR="00B9160A">
        <w:t>across outcomes</w:t>
      </w:r>
      <w:r>
        <w:t xml:space="preserve"> </w:t>
      </w:r>
      <w:r w:rsidRPr="00183E4D">
        <w:t xml:space="preserve">for conclusions about the net clinical benefit of the </w:t>
      </w:r>
      <w:r>
        <w:t xml:space="preserve">test </w:t>
      </w:r>
      <w:r w:rsidRPr="00183E4D">
        <w:t>in the context of Australian clinical practice</w:t>
      </w:r>
      <w:r>
        <w:t>.</w:t>
      </w:r>
    </w:p>
    <w:p w14:paraId="10590484" w14:textId="77777777" w:rsidR="007518CF" w:rsidRDefault="00C450F0" w:rsidP="00C450F0">
      <w:r>
        <w:t>No studies meeting the PICO criteria for direct evidence were identified. Therefore, a linked evidence approach was used to evaluate the evidence.</w:t>
      </w:r>
    </w:p>
    <w:p w14:paraId="35E4690B" w14:textId="4EDEB7B3" w:rsidR="008C7152" w:rsidRPr="00183E4D" w:rsidRDefault="004446E6" w:rsidP="00DF343F">
      <w:pPr>
        <w:pStyle w:val="Heading3"/>
        <w:jc w:val="both"/>
      </w:pPr>
      <w:bookmarkStart w:id="53" w:name="_Toc395200749"/>
      <w:bookmarkStart w:id="54" w:name="_Toc502832884"/>
      <w:r>
        <w:rPr>
          <w:rStyle w:val="Heading3Char"/>
          <w:b/>
          <w:smallCaps/>
        </w:rPr>
        <w:t>Characteristics of the evidence b</w:t>
      </w:r>
      <w:r w:rsidR="00A36EB9" w:rsidRPr="00183E4D">
        <w:rPr>
          <w:rStyle w:val="Heading3Char"/>
          <w:b/>
          <w:smallCaps/>
        </w:rPr>
        <w:t>ase</w:t>
      </w:r>
      <w:bookmarkEnd w:id="46"/>
      <w:bookmarkEnd w:id="47"/>
      <w:bookmarkEnd w:id="48"/>
      <w:bookmarkEnd w:id="53"/>
      <w:bookmarkEnd w:id="54"/>
    </w:p>
    <w:p w14:paraId="50FBAC88" w14:textId="77777777" w:rsidR="007518CF" w:rsidRDefault="00531E78" w:rsidP="00913A53">
      <w:pPr>
        <w:jc w:val="both"/>
      </w:pPr>
      <w:r>
        <w:t xml:space="preserve">The number of studies included in each </w:t>
      </w:r>
      <w:r w:rsidR="00B974AC">
        <w:t>step</w:t>
      </w:r>
      <w:r>
        <w:t xml:space="preserve"> of the linked evidence is shown </w:t>
      </w:r>
      <w:r w:rsidRPr="00531E78">
        <w:t xml:space="preserve">in </w:t>
      </w:r>
      <w:r w:rsidRPr="00531E78">
        <w:fldChar w:fldCharType="begin"/>
      </w:r>
      <w:r w:rsidRPr="00531E78">
        <w:instrText xml:space="preserve"> REF _Ref497925576 \h </w:instrText>
      </w:r>
      <w:r>
        <w:instrText xml:space="preserve"> \* MERGEFORMAT </w:instrText>
      </w:r>
      <w:r w:rsidRPr="00531E78">
        <w:fldChar w:fldCharType="separate"/>
      </w:r>
      <w:r w:rsidR="00AC4BE5" w:rsidRPr="00531E78">
        <w:t xml:space="preserve">Table </w:t>
      </w:r>
      <w:r w:rsidR="00AC4BE5">
        <w:rPr>
          <w:noProof/>
        </w:rPr>
        <w:t>2</w:t>
      </w:r>
      <w:r w:rsidRPr="00531E78">
        <w:fldChar w:fldCharType="end"/>
      </w:r>
      <w:r>
        <w:t xml:space="preserve">. Most identified studies enrolled patients with </w:t>
      </w:r>
      <w:r w:rsidR="0062620B">
        <w:t>malignancies</w:t>
      </w:r>
      <w:r>
        <w:t xml:space="preserve">, with the most common form of cancer being breast cancer. </w:t>
      </w:r>
      <w:r w:rsidR="00FF7F40">
        <w:t>Some studies enrolled patients with endometriosis undergoing surgery.</w:t>
      </w:r>
    </w:p>
    <w:p w14:paraId="1BC30619" w14:textId="7A6A65D9" w:rsidR="007518CF" w:rsidRDefault="00FF7F40" w:rsidP="00913A53">
      <w:pPr>
        <w:jc w:val="both"/>
      </w:pPr>
      <w:r>
        <w:t xml:space="preserve">No evidence was found in the target population on therapeutic efficacy or therapeutic effectiveness. The evidence presented in these sections did not match the proposed MBS populations and was therefore not included in </w:t>
      </w:r>
      <w:r w:rsidRPr="00531E78">
        <w:fldChar w:fldCharType="begin"/>
      </w:r>
      <w:r w:rsidRPr="00531E78">
        <w:instrText xml:space="preserve"> REF _Ref497925576 \h </w:instrText>
      </w:r>
      <w:r>
        <w:instrText xml:space="preserve"> \* MERGEFORMAT </w:instrText>
      </w:r>
      <w:r w:rsidRPr="00531E78">
        <w:fldChar w:fldCharType="separate"/>
      </w:r>
      <w:r w:rsidR="00AC4BE5" w:rsidRPr="00531E78">
        <w:t xml:space="preserve">Table </w:t>
      </w:r>
      <w:r w:rsidR="00AC4BE5">
        <w:rPr>
          <w:noProof/>
        </w:rPr>
        <w:t>2</w:t>
      </w:r>
      <w:r w:rsidRPr="00531E78">
        <w:fldChar w:fldCharType="end"/>
      </w:r>
      <w:r>
        <w:t>. Most studies did not evaluate the incrementa</w:t>
      </w:r>
      <w:r w:rsidR="00985EF8">
        <w:t xml:space="preserve">l value of AMH testing </w:t>
      </w:r>
      <w:r>
        <w:t>in addition to tests currently availab</w:t>
      </w:r>
      <w:r w:rsidR="00985EF8">
        <w:t>le in current clinical practice</w:t>
      </w:r>
      <w:r>
        <w:t xml:space="preserve">. Due to </w:t>
      </w:r>
      <w:r w:rsidR="00985EF8">
        <w:t xml:space="preserve">the </w:t>
      </w:r>
      <w:r>
        <w:t xml:space="preserve">indirectness of most results, most of the evidence was considered very low quality using </w:t>
      </w:r>
      <w:r w:rsidR="00985EF8">
        <w:t xml:space="preserve">the </w:t>
      </w:r>
      <w:r>
        <w:t>GRADE</w:t>
      </w:r>
      <w:r w:rsidR="00985EF8">
        <w:t xml:space="preserve"> system</w:t>
      </w:r>
      <w:r>
        <w:t>.</w:t>
      </w:r>
    </w:p>
    <w:p w14:paraId="697AA442" w14:textId="1513F9CE" w:rsidR="00C5525F" w:rsidRPr="00183E4D" w:rsidRDefault="00C5525F" w:rsidP="00C5525F">
      <w:pPr>
        <w:pStyle w:val="Caption"/>
        <w:keepNext/>
        <w:rPr>
          <w:snapToGrid w:val="0"/>
          <w:lang w:eastAsia="en-US"/>
        </w:rPr>
      </w:pPr>
      <w:bookmarkStart w:id="55" w:name="_Ref497925576"/>
      <w:bookmarkStart w:id="56" w:name="_Toc502833020"/>
      <w:r w:rsidRPr="00531E78">
        <w:t xml:space="preserve">Table </w:t>
      </w:r>
      <w:r w:rsidR="00AC4BE5">
        <w:fldChar w:fldCharType="begin"/>
      </w:r>
      <w:r w:rsidR="00AC4BE5">
        <w:instrText xml:space="preserve"> SEQ Table \* ARABIC </w:instrText>
      </w:r>
      <w:r w:rsidR="00AC4BE5">
        <w:fldChar w:fldCharType="separate"/>
      </w:r>
      <w:r w:rsidR="00AC4BE5">
        <w:rPr>
          <w:noProof/>
        </w:rPr>
        <w:t>2</w:t>
      </w:r>
      <w:r w:rsidR="00AC4BE5">
        <w:rPr>
          <w:noProof/>
        </w:rPr>
        <w:fldChar w:fldCharType="end"/>
      </w:r>
      <w:bookmarkEnd w:id="55"/>
      <w:r w:rsidRPr="00531E78">
        <w:tab/>
      </w:r>
      <w:r w:rsidRPr="00531E78">
        <w:tab/>
      </w:r>
      <w:r w:rsidRPr="00531E78">
        <w:rPr>
          <w:snapToGrid w:val="0"/>
          <w:lang w:eastAsia="en-US"/>
        </w:rPr>
        <w:t>Key features of the included linked evidence</w:t>
      </w:r>
      <w:bookmarkEnd w:id="56"/>
    </w:p>
    <w:tbl>
      <w:tblPr>
        <w:tblStyle w:val="TableGrid1"/>
        <w:tblW w:w="4985" w:type="pct"/>
        <w:tblLook w:val="04A0" w:firstRow="1" w:lastRow="0" w:firstColumn="1" w:lastColumn="0" w:noHBand="0" w:noVBand="1"/>
        <w:tblCaption w:val="Table 2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048"/>
        <w:gridCol w:w="6229"/>
        <w:gridCol w:w="937"/>
      </w:tblGrid>
      <w:tr w:rsidR="00C5525F" w:rsidRPr="00183E4D" w14:paraId="6DD44D58"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1112" w:type="pct"/>
          </w:tcPr>
          <w:p w14:paraId="20FC63CD" w14:textId="77777777" w:rsidR="00C5525F" w:rsidRPr="00183E4D" w:rsidRDefault="00C5525F" w:rsidP="0023752D">
            <w:pPr>
              <w:pStyle w:val="TableHeading"/>
              <w:rPr>
                <w:snapToGrid w:val="0"/>
                <w:lang w:eastAsia="en-US"/>
              </w:rPr>
            </w:pPr>
            <w:r>
              <w:rPr>
                <w:snapToGrid w:val="0"/>
                <w:lang w:eastAsia="en-US"/>
              </w:rPr>
              <w:t>Type of evidence</w:t>
            </w:r>
          </w:p>
        </w:tc>
        <w:tc>
          <w:tcPr>
            <w:tcW w:w="3380" w:type="pct"/>
          </w:tcPr>
          <w:p w14:paraId="0D8D7190" w14:textId="77777777" w:rsidR="00C5525F" w:rsidRPr="00183E4D" w:rsidRDefault="00C5525F" w:rsidP="0023752D">
            <w:pPr>
              <w:pStyle w:val="TableHeading"/>
              <w:rPr>
                <w:snapToGrid w:val="0"/>
                <w:lang w:eastAsia="en-US"/>
              </w:rPr>
            </w:pPr>
            <w:r>
              <w:rPr>
                <w:snapToGrid w:val="0"/>
                <w:lang w:eastAsia="en-US"/>
              </w:rPr>
              <w:t>Description</w:t>
            </w:r>
          </w:p>
        </w:tc>
        <w:tc>
          <w:tcPr>
            <w:tcW w:w="508" w:type="pct"/>
          </w:tcPr>
          <w:p w14:paraId="064A5CBC" w14:textId="7DACCB21" w:rsidR="00C5525F" w:rsidRPr="00183E4D" w:rsidRDefault="007E5032" w:rsidP="0023752D">
            <w:pPr>
              <w:pStyle w:val="TableHeading"/>
              <w:rPr>
                <w:snapToGrid w:val="0"/>
                <w:lang w:eastAsia="en-US"/>
              </w:rPr>
            </w:pPr>
            <w:r>
              <w:rPr>
                <w:snapToGrid w:val="0"/>
                <w:lang w:eastAsia="en-US"/>
              </w:rPr>
              <w:t>Evidence base</w:t>
            </w:r>
          </w:p>
        </w:tc>
      </w:tr>
      <w:tr w:rsidR="007E5032" w:rsidRPr="00F50BD0" w14:paraId="20E2029F" w14:textId="77777777" w:rsidTr="004D6D0A">
        <w:tc>
          <w:tcPr>
            <w:tcW w:w="1112" w:type="pct"/>
          </w:tcPr>
          <w:p w14:paraId="0DC93BD1" w14:textId="2B73F5F8" w:rsidR="007E5032" w:rsidRPr="00F50BD0" w:rsidRDefault="007E5032" w:rsidP="007A49EE">
            <w:pPr>
              <w:pStyle w:val="TableHeading"/>
              <w:rPr>
                <w:b w:val="0"/>
                <w:snapToGrid w:val="0"/>
                <w:lang w:eastAsia="en-US"/>
              </w:rPr>
            </w:pPr>
            <w:r w:rsidRPr="00F50BD0">
              <w:rPr>
                <w:b w:val="0"/>
                <w:snapToGrid w:val="0"/>
                <w:lang w:eastAsia="en-US"/>
              </w:rPr>
              <w:t>Analytical validity (Section B3)</w:t>
            </w:r>
          </w:p>
        </w:tc>
        <w:tc>
          <w:tcPr>
            <w:tcW w:w="3380" w:type="pct"/>
          </w:tcPr>
          <w:p w14:paraId="07B6EFAC" w14:textId="4C2BBF6A" w:rsidR="007E5032" w:rsidRDefault="00C521F1" w:rsidP="00C521F1">
            <w:pPr>
              <w:pStyle w:val="TableHeading"/>
              <w:jc w:val="both"/>
              <w:rPr>
                <w:b w:val="0"/>
                <w:snapToGrid w:val="0"/>
                <w:lang w:eastAsia="en-US"/>
              </w:rPr>
            </w:pPr>
            <w:r>
              <w:rPr>
                <w:b w:val="0"/>
                <w:snapToGrid w:val="0"/>
                <w:lang w:eastAsia="en-US"/>
              </w:rPr>
              <w:t>Two studies compared different AMH assays (correlation)</w:t>
            </w:r>
            <w:r w:rsidR="00200176">
              <w:rPr>
                <w:b w:val="0"/>
                <w:snapToGrid w:val="0"/>
                <w:lang w:eastAsia="en-US"/>
              </w:rPr>
              <w:t>.</w:t>
            </w:r>
          </w:p>
          <w:p w14:paraId="19F48509" w14:textId="30A29628" w:rsidR="00C521F1" w:rsidRDefault="00C521F1" w:rsidP="00C521F1">
            <w:pPr>
              <w:pStyle w:val="TableHeading"/>
              <w:rPr>
                <w:b w:val="0"/>
                <w:snapToGrid w:val="0"/>
                <w:lang w:eastAsia="en-US"/>
              </w:rPr>
            </w:pPr>
            <w:r>
              <w:rPr>
                <w:b w:val="0"/>
                <w:snapToGrid w:val="0"/>
                <w:lang w:eastAsia="en-US"/>
              </w:rPr>
              <w:t>Two studies reported the accuracy of AMH compared to other tests with ovarian failure as the reference standard.</w:t>
            </w:r>
          </w:p>
          <w:p w14:paraId="7C087A05" w14:textId="017D8B1C" w:rsidR="00C521F1" w:rsidRPr="00F50BD0" w:rsidRDefault="00C521F1" w:rsidP="00C521F1">
            <w:pPr>
              <w:pStyle w:val="TableHeading"/>
              <w:rPr>
                <w:b w:val="0"/>
                <w:snapToGrid w:val="0"/>
                <w:lang w:eastAsia="en-US"/>
              </w:rPr>
            </w:pPr>
            <w:r>
              <w:rPr>
                <w:b w:val="0"/>
                <w:snapToGrid w:val="0"/>
                <w:lang w:eastAsia="en-US"/>
              </w:rPr>
              <w:t>Twelve studies reported concordance / correlation data of the AMH test results with one or more comparator tests.</w:t>
            </w:r>
          </w:p>
        </w:tc>
        <w:tc>
          <w:tcPr>
            <w:tcW w:w="508" w:type="pct"/>
          </w:tcPr>
          <w:p w14:paraId="20038547" w14:textId="0E3D884E" w:rsidR="007E5032" w:rsidRDefault="00F50BD0" w:rsidP="0023752D">
            <w:pPr>
              <w:pStyle w:val="TableHeading"/>
              <w:rPr>
                <w:b w:val="0"/>
                <w:snapToGrid w:val="0"/>
                <w:lang w:eastAsia="en-US"/>
              </w:rPr>
            </w:pPr>
            <w:r>
              <w:rPr>
                <w:b w:val="0"/>
                <w:snapToGrid w:val="0"/>
                <w:lang w:eastAsia="en-US"/>
              </w:rPr>
              <w:t>k</w:t>
            </w:r>
            <w:r w:rsidRPr="00F50BD0">
              <w:rPr>
                <w:b w:val="0"/>
                <w:snapToGrid w:val="0"/>
                <w:lang w:eastAsia="en-US"/>
              </w:rPr>
              <w:t>=</w:t>
            </w:r>
            <w:r>
              <w:rPr>
                <w:b w:val="0"/>
                <w:snapToGrid w:val="0"/>
                <w:lang w:eastAsia="en-US"/>
              </w:rPr>
              <w:t>14</w:t>
            </w:r>
          </w:p>
          <w:p w14:paraId="6C3DFB63" w14:textId="0D5BD472" w:rsidR="00F50BD0" w:rsidRPr="00F50BD0" w:rsidRDefault="00F50BD0" w:rsidP="0023752D">
            <w:pPr>
              <w:pStyle w:val="TableHeading"/>
              <w:rPr>
                <w:b w:val="0"/>
                <w:snapToGrid w:val="0"/>
                <w:lang w:eastAsia="en-US"/>
              </w:rPr>
            </w:pPr>
            <w:r>
              <w:rPr>
                <w:b w:val="0"/>
                <w:snapToGrid w:val="0"/>
                <w:lang w:eastAsia="en-US"/>
              </w:rPr>
              <w:t>n=</w:t>
            </w:r>
            <w:r w:rsidR="00531E78">
              <w:rPr>
                <w:b w:val="0"/>
                <w:snapToGrid w:val="0"/>
                <w:lang w:eastAsia="en-US"/>
              </w:rPr>
              <w:t>914</w:t>
            </w:r>
          </w:p>
        </w:tc>
      </w:tr>
      <w:tr w:rsidR="00C5525F" w:rsidRPr="007E5032" w14:paraId="2CCF508D" w14:textId="77777777" w:rsidTr="004D6D0A">
        <w:tc>
          <w:tcPr>
            <w:tcW w:w="1112" w:type="pct"/>
          </w:tcPr>
          <w:p w14:paraId="04A819E4" w14:textId="3D8FB3E9" w:rsidR="00C5525F" w:rsidRPr="007E5032" w:rsidRDefault="007E5032" w:rsidP="007A49EE">
            <w:pPr>
              <w:pStyle w:val="TableText0"/>
              <w:rPr>
                <w:snapToGrid w:val="0"/>
              </w:rPr>
            </w:pPr>
            <w:r w:rsidRPr="007E5032">
              <w:rPr>
                <w:snapToGrid w:val="0"/>
              </w:rPr>
              <w:t>Prognostic and predictive evidence (Section B4.1.5)</w:t>
            </w:r>
          </w:p>
        </w:tc>
        <w:tc>
          <w:tcPr>
            <w:tcW w:w="3380" w:type="pct"/>
          </w:tcPr>
          <w:p w14:paraId="1B996541" w14:textId="19D0C331" w:rsidR="00C5525F" w:rsidRDefault="00685A44" w:rsidP="00C521F1">
            <w:pPr>
              <w:pStyle w:val="TableText0"/>
              <w:rPr>
                <w:snapToGrid w:val="0"/>
              </w:rPr>
            </w:pPr>
            <w:r>
              <w:rPr>
                <w:snapToGrid w:val="0"/>
              </w:rPr>
              <w:t>Eleven studies reported on the prognostic value of AMH testing in predicting ovarian failure in the target population.</w:t>
            </w:r>
          </w:p>
          <w:p w14:paraId="0D159CFF" w14:textId="5475563A" w:rsidR="00685A44" w:rsidRDefault="00685A44" w:rsidP="00C521F1">
            <w:pPr>
              <w:pStyle w:val="TableText0"/>
              <w:rPr>
                <w:snapToGrid w:val="0"/>
              </w:rPr>
            </w:pPr>
            <w:r>
              <w:rPr>
                <w:snapToGrid w:val="0"/>
              </w:rPr>
              <w:t>Six studies reported on the prognostic value of AMH testing in predicting pregnancy or live births in the target population.</w:t>
            </w:r>
          </w:p>
          <w:p w14:paraId="3FF5E91D" w14:textId="78EC4DB4" w:rsidR="00685A44" w:rsidRPr="007E5032" w:rsidRDefault="00685A44" w:rsidP="00C521F1">
            <w:pPr>
              <w:pStyle w:val="TableText0"/>
              <w:rPr>
                <w:snapToGrid w:val="0"/>
              </w:rPr>
            </w:pPr>
            <w:r>
              <w:rPr>
                <w:snapToGrid w:val="0"/>
              </w:rPr>
              <w:t>Four studies reported on the predictive value of AMH testing in predicting ovarian response to hyperstimulation in the target population.</w:t>
            </w:r>
          </w:p>
        </w:tc>
        <w:tc>
          <w:tcPr>
            <w:tcW w:w="508" w:type="pct"/>
          </w:tcPr>
          <w:p w14:paraId="57FCDA98" w14:textId="6FA67F4F" w:rsidR="00C5525F" w:rsidRPr="007E5032" w:rsidRDefault="00C5525F" w:rsidP="0023752D">
            <w:pPr>
              <w:pStyle w:val="TableText0"/>
              <w:rPr>
                <w:snapToGrid w:val="0"/>
              </w:rPr>
            </w:pPr>
            <w:r w:rsidRPr="007E5032">
              <w:rPr>
                <w:snapToGrid w:val="0"/>
              </w:rPr>
              <w:t>k=</w:t>
            </w:r>
            <w:r w:rsidR="00F50BD0">
              <w:rPr>
                <w:snapToGrid w:val="0"/>
              </w:rPr>
              <w:t>21</w:t>
            </w:r>
          </w:p>
          <w:p w14:paraId="1A5AE9FD" w14:textId="7EA4D7D3" w:rsidR="00C5525F" w:rsidRPr="007E5032" w:rsidRDefault="00C5525F" w:rsidP="0023752D">
            <w:pPr>
              <w:pStyle w:val="TableText0"/>
              <w:rPr>
                <w:snapToGrid w:val="0"/>
              </w:rPr>
            </w:pPr>
            <w:r w:rsidRPr="007E5032">
              <w:rPr>
                <w:snapToGrid w:val="0"/>
              </w:rPr>
              <w:t>n=</w:t>
            </w:r>
            <w:r w:rsidR="00531E78">
              <w:rPr>
                <w:snapToGrid w:val="0"/>
              </w:rPr>
              <w:t>1,760</w:t>
            </w:r>
          </w:p>
        </w:tc>
      </w:tr>
      <w:tr w:rsidR="00C5525F" w:rsidRPr="007E5032" w14:paraId="43C683F9" w14:textId="77777777" w:rsidTr="004D6D0A">
        <w:tc>
          <w:tcPr>
            <w:tcW w:w="1112" w:type="pct"/>
          </w:tcPr>
          <w:p w14:paraId="2851E932" w14:textId="4401660F" w:rsidR="00C5525F" w:rsidRPr="007E5032" w:rsidRDefault="00CC5900" w:rsidP="006E5AED">
            <w:pPr>
              <w:pStyle w:val="TableText0"/>
              <w:rPr>
                <w:snapToGrid w:val="0"/>
              </w:rPr>
            </w:pPr>
            <w:r>
              <w:rPr>
                <w:snapToGrid w:val="0"/>
              </w:rPr>
              <w:t>Clinical v</w:t>
            </w:r>
            <w:r w:rsidR="007E5032" w:rsidRPr="007E5032">
              <w:rPr>
                <w:snapToGrid w:val="0"/>
              </w:rPr>
              <w:t>alidity (Section B4.1.5)</w:t>
            </w:r>
          </w:p>
        </w:tc>
        <w:tc>
          <w:tcPr>
            <w:tcW w:w="3380" w:type="pct"/>
          </w:tcPr>
          <w:p w14:paraId="1D749222" w14:textId="77777777" w:rsidR="00C5525F" w:rsidRDefault="00685A44" w:rsidP="00685A44">
            <w:pPr>
              <w:pStyle w:val="TableText0"/>
              <w:rPr>
                <w:color w:val="000000" w:themeColor="text1"/>
              </w:rPr>
            </w:pPr>
            <w:r>
              <w:rPr>
                <w:color w:val="000000" w:themeColor="text1"/>
              </w:rPr>
              <w:t>Three studies reported on the clinical validity of AMH testing prior to gonadotoxic treatment in predicting the resumption of menses after treatment.</w:t>
            </w:r>
          </w:p>
          <w:p w14:paraId="696BF0F0" w14:textId="399B74D9" w:rsidR="00685A44" w:rsidRPr="00685A44" w:rsidRDefault="00685A44" w:rsidP="00685A44">
            <w:pPr>
              <w:pStyle w:val="TableText0"/>
              <w:rPr>
                <w:color w:val="000000" w:themeColor="text1"/>
              </w:rPr>
            </w:pPr>
            <w:r>
              <w:rPr>
                <w:color w:val="000000" w:themeColor="text1"/>
              </w:rPr>
              <w:t>Four studies reported on the clinical validity of AMH testing after gonadotoxic treatment in determining the resumption of menses after treatment.</w:t>
            </w:r>
          </w:p>
        </w:tc>
        <w:tc>
          <w:tcPr>
            <w:tcW w:w="508" w:type="pct"/>
          </w:tcPr>
          <w:p w14:paraId="6D0715DB" w14:textId="49EBFEEC" w:rsidR="00C5525F" w:rsidRPr="007E5032" w:rsidRDefault="00C5525F" w:rsidP="0023752D">
            <w:pPr>
              <w:pStyle w:val="TableText0"/>
              <w:rPr>
                <w:snapToGrid w:val="0"/>
              </w:rPr>
            </w:pPr>
            <w:r w:rsidRPr="007E5032">
              <w:rPr>
                <w:snapToGrid w:val="0"/>
              </w:rPr>
              <w:t>k=</w:t>
            </w:r>
            <w:r w:rsidR="00F50BD0">
              <w:rPr>
                <w:snapToGrid w:val="0"/>
              </w:rPr>
              <w:t>7</w:t>
            </w:r>
          </w:p>
          <w:p w14:paraId="43DE5743" w14:textId="60D8036A" w:rsidR="00C5525F" w:rsidRPr="007E5032" w:rsidRDefault="00C5525F" w:rsidP="0023752D">
            <w:pPr>
              <w:pStyle w:val="TableText0"/>
              <w:rPr>
                <w:snapToGrid w:val="0"/>
              </w:rPr>
            </w:pPr>
            <w:r w:rsidRPr="007E5032">
              <w:rPr>
                <w:snapToGrid w:val="0"/>
              </w:rPr>
              <w:t>n=</w:t>
            </w:r>
            <w:r w:rsidR="00531E78">
              <w:rPr>
                <w:snapToGrid w:val="0"/>
              </w:rPr>
              <w:t>310</w:t>
            </w:r>
          </w:p>
        </w:tc>
      </w:tr>
      <w:tr w:rsidR="00C5525F" w:rsidRPr="007E5032" w14:paraId="45EC5F19" w14:textId="77777777" w:rsidTr="004D6D0A">
        <w:tc>
          <w:tcPr>
            <w:tcW w:w="1112" w:type="pct"/>
          </w:tcPr>
          <w:p w14:paraId="11A0DDA0" w14:textId="1C16ED35" w:rsidR="00C5525F" w:rsidRPr="00531E78" w:rsidRDefault="000237FD" w:rsidP="00531E78">
            <w:pPr>
              <w:pStyle w:val="TableText0"/>
              <w:rPr>
                <w:szCs w:val="20"/>
                <w:lang w:eastAsia="en-AU"/>
              </w:rPr>
            </w:pPr>
            <w:r w:rsidRPr="00531E78">
              <w:rPr>
                <w:szCs w:val="20"/>
                <w:lang w:eastAsia="en-AU"/>
              </w:rPr>
              <w:t>Therapeutic efficacy</w:t>
            </w:r>
            <w:r w:rsidR="007E5032" w:rsidRPr="00531E78">
              <w:rPr>
                <w:szCs w:val="20"/>
                <w:lang w:eastAsia="en-AU"/>
              </w:rPr>
              <w:t xml:space="preserve"> (Section B5.1)</w:t>
            </w:r>
          </w:p>
        </w:tc>
        <w:tc>
          <w:tcPr>
            <w:tcW w:w="3380" w:type="pct"/>
          </w:tcPr>
          <w:p w14:paraId="63630942" w14:textId="15E4D2A5" w:rsidR="00C5525F" w:rsidRPr="00531E78" w:rsidRDefault="00531E78" w:rsidP="00531E78">
            <w:pPr>
              <w:pStyle w:val="TableHeading"/>
              <w:rPr>
                <w:b w:val="0"/>
              </w:rPr>
            </w:pPr>
            <w:r>
              <w:rPr>
                <w:b w:val="0"/>
              </w:rPr>
              <w:t>No evidence was found on AMH informing change in management in women un</w:t>
            </w:r>
            <w:r w:rsidR="0023752D">
              <w:rPr>
                <w:b w:val="0"/>
              </w:rPr>
              <w:t>dergoing gonadotoxic treatment.</w:t>
            </w:r>
          </w:p>
        </w:tc>
        <w:tc>
          <w:tcPr>
            <w:tcW w:w="508" w:type="pct"/>
          </w:tcPr>
          <w:p w14:paraId="6967036A" w14:textId="6E85359C" w:rsidR="00C5525F" w:rsidRPr="007E5032" w:rsidRDefault="00C5525F" w:rsidP="0023752D">
            <w:pPr>
              <w:pStyle w:val="TableText0"/>
              <w:rPr>
                <w:snapToGrid w:val="0"/>
              </w:rPr>
            </w:pPr>
            <w:r w:rsidRPr="007E5032">
              <w:rPr>
                <w:snapToGrid w:val="0"/>
              </w:rPr>
              <w:t>k=</w:t>
            </w:r>
            <w:r w:rsidR="00F50BD0">
              <w:rPr>
                <w:snapToGrid w:val="0"/>
              </w:rPr>
              <w:t>0</w:t>
            </w:r>
          </w:p>
          <w:p w14:paraId="2FFADC90" w14:textId="30F283ED" w:rsidR="00C5525F" w:rsidRPr="007E5032" w:rsidRDefault="00C5525F" w:rsidP="0023752D">
            <w:pPr>
              <w:pStyle w:val="TableText0"/>
              <w:rPr>
                <w:snapToGrid w:val="0"/>
              </w:rPr>
            </w:pPr>
            <w:r w:rsidRPr="007E5032">
              <w:rPr>
                <w:snapToGrid w:val="0"/>
              </w:rPr>
              <w:t>n=</w:t>
            </w:r>
            <w:r w:rsidR="00F50BD0">
              <w:rPr>
                <w:snapToGrid w:val="0"/>
              </w:rPr>
              <w:t>0</w:t>
            </w:r>
          </w:p>
        </w:tc>
      </w:tr>
      <w:tr w:rsidR="00C5525F" w:rsidRPr="00183E4D" w14:paraId="033F4EF0" w14:textId="77777777" w:rsidTr="004D6D0A">
        <w:tc>
          <w:tcPr>
            <w:tcW w:w="1112" w:type="pct"/>
          </w:tcPr>
          <w:p w14:paraId="1809134F" w14:textId="028B1989" w:rsidR="00C5525F" w:rsidRPr="007E5032" w:rsidRDefault="000237FD" w:rsidP="007A49EE">
            <w:pPr>
              <w:pStyle w:val="TableText0"/>
              <w:rPr>
                <w:snapToGrid w:val="0"/>
              </w:rPr>
            </w:pPr>
            <w:r w:rsidRPr="007E5032">
              <w:rPr>
                <w:snapToGrid w:val="0"/>
              </w:rPr>
              <w:t>Therapeutic effectiveness</w:t>
            </w:r>
            <w:r w:rsidR="007E5032">
              <w:rPr>
                <w:snapToGrid w:val="0"/>
              </w:rPr>
              <w:t xml:space="preserve"> (Section B5.2)</w:t>
            </w:r>
          </w:p>
        </w:tc>
        <w:tc>
          <w:tcPr>
            <w:tcW w:w="3380" w:type="pct"/>
          </w:tcPr>
          <w:p w14:paraId="2F366D48" w14:textId="7CB2E695" w:rsidR="00C5525F" w:rsidRPr="007E5032" w:rsidRDefault="00531E78" w:rsidP="00531E78">
            <w:pPr>
              <w:pStyle w:val="TableText0"/>
              <w:rPr>
                <w:snapToGrid w:val="0"/>
              </w:rPr>
            </w:pPr>
            <w:r w:rsidRPr="00531E78">
              <w:rPr>
                <w:szCs w:val="20"/>
                <w:lang w:eastAsia="en-AU"/>
              </w:rPr>
              <w:t>No evidence was found to determine how change in management due to AMH testing impacts health outcomes in women undergoing gonadotoxic treatment.</w:t>
            </w:r>
          </w:p>
        </w:tc>
        <w:tc>
          <w:tcPr>
            <w:tcW w:w="508" w:type="pct"/>
          </w:tcPr>
          <w:p w14:paraId="560B23BE" w14:textId="62BBE580" w:rsidR="00C5525F" w:rsidRPr="007E5032" w:rsidRDefault="00C5525F" w:rsidP="0023752D">
            <w:pPr>
              <w:pStyle w:val="TableText0"/>
              <w:rPr>
                <w:snapToGrid w:val="0"/>
              </w:rPr>
            </w:pPr>
            <w:r w:rsidRPr="007E5032">
              <w:rPr>
                <w:snapToGrid w:val="0"/>
              </w:rPr>
              <w:t>k=</w:t>
            </w:r>
            <w:r w:rsidR="00F50BD0">
              <w:rPr>
                <w:snapToGrid w:val="0"/>
              </w:rPr>
              <w:t>0</w:t>
            </w:r>
          </w:p>
          <w:p w14:paraId="04671FE5" w14:textId="5D604780" w:rsidR="00C5525F" w:rsidRPr="007E5032" w:rsidRDefault="00C5525F" w:rsidP="0023752D">
            <w:pPr>
              <w:pStyle w:val="TableText0"/>
              <w:rPr>
                <w:snapToGrid w:val="0"/>
              </w:rPr>
            </w:pPr>
            <w:r w:rsidRPr="007E5032">
              <w:rPr>
                <w:snapToGrid w:val="0"/>
              </w:rPr>
              <w:t>n=</w:t>
            </w:r>
            <w:r w:rsidR="00F50BD0">
              <w:rPr>
                <w:snapToGrid w:val="0"/>
              </w:rPr>
              <w:t>0</w:t>
            </w:r>
          </w:p>
        </w:tc>
      </w:tr>
    </w:tbl>
    <w:p w14:paraId="2C804A66" w14:textId="407A578C" w:rsidR="0023752D" w:rsidRDefault="00DB41AE" w:rsidP="0023752D">
      <w:pPr>
        <w:pStyle w:val="Tablenotes0"/>
        <w:spacing w:after="0"/>
      </w:pPr>
      <w:r>
        <w:rPr>
          <w:vertAlign w:val="superscript"/>
        </w:rPr>
        <w:t xml:space="preserve">a </w:t>
      </w:r>
      <w:r w:rsidR="0023752D">
        <w:t>Reference standard available</w:t>
      </w:r>
    </w:p>
    <w:p w14:paraId="2EC41040" w14:textId="3A9CB11D" w:rsidR="00DB41AE" w:rsidRPr="00DB41AE" w:rsidRDefault="00DB41AE" w:rsidP="0023752D">
      <w:pPr>
        <w:pStyle w:val="Tablenotes0"/>
        <w:spacing w:after="240"/>
      </w:pPr>
      <w:r>
        <w:rPr>
          <w:vertAlign w:val="superscript"/>
        </w:rPr>
        <w:t>b</w:t>
      </w:r>
      <w:r w:rsidR="0023752D">
        <w:t xml:space="preserve"> R</w:t>
      </w:r>
      <w:r>
        <w:t>eference standard not available</w:t>
      </w:r>
    </w:p>
    <w:p w14:paraId="6C56EF91" w14:textId="5716FE9D" w:rsidR="00FF7F40" w:rsidRDefault="00FF7F40" w:rsidP="00FF7F40">
      <w:r>
        <w:lastRenderedPageBreak/>
        <w:t xml:space="preserve">Due to </w:t>
      </w:r>
      <w:r w:rsidR="00CC5900">
        <w:t>evidence gaps</w:t>
      </w:r>
      <w:r>
        <w:t xml:space="preserve"> in the last two steps of the linked analysis (Therapeutic efficacy</w:t>
      </w:r>
      <w:r w:rsidR="00CC5900">
        <w:t xml:space="preserve"> and therapeutic effectiveness)</w:t>
      </w:r>
      <w:r>
        <w:t xml:space="preserve"> </w:t>
      </w:r>
      <w:r w:rsidR="00CC5900">
        <w:t>there is</w:t>
      </w:r>
      <w:r>
        <w:t xml:space="preserve"> uncertainty when estimating incremental effectiveness of AMH testing.</w:t>
      </w:r>
    </w:p>
    <w:p w14:paraId="1617B165" w14:textId="77777777" w:rsidR="00A36EB9" w:rsidRPr="00183E4D" w:rsidRDefault="00A36EB9" w:rsidP="00DF343F">
      <w:pPr>
        <w:pStyle w:val="Heading3"/>
        <w:jc w:val="both"/>
      </w:pPr>
      <w:bookmarkStart w:id="57" w:name="_Toc395200750"/>
      <w:bookmarkStart w:id="58" w:name="_Toc502832885"/>
      <w:r w:rsidRPr="00183E4D">
        <w:t>Results</w:t>
      </w:r>
      <w:bookmarkEnd w:id="57"/>
      <w:bookmarkEnd w:id="58"/>
    </w:p>
    <w:p w14:paraId="63B1FD25" w14:textId="4F145983" w:rsidR="00913A53" w:rsidRPr="000D0F06" w:rsidRDefault="00913A53" w:rsidP="00913A53">
      <w:pPr>
        <w:jc w:val="both"/>
      </w:pPr>
      <w:r>
        <w:t xml:space="preserve">On the basis of the benefits and harms reported in the evidence base </w:t>
      </w:r>
      <w:r w:rsidRPr="000D0F06">
        <w:t xml:space="preserve">it is suggested that, relative to other ovarian reserve tests alone, the AMH test and associated interventions has </w:t>
      </w:r>
      <w:r w:rsidRPr="003E7F22">
        <w:rPr>
          <w:b/>
        </w:rPr>
        <w:t>non-inferior safety and uncertain incremental effectiveness</w:t>
      </w:r>
      <w:r w:rsidRPr="000D0F06">
        <w:t>.</w:t>
      </w:r>
    </w:p>
    <w:p w14:paraId="23085A73" w14:textId="77777777" w:rsidR="007518CF" w:rsidRDefault="008C7152" w:rsidP="00DF343F">
      <w:pPr>
        <w:pStyle w:val="Heading4"/>
        <w:jc w:val="both"/>
      </w:pPr>
      <w:r w:rsidRPr="00183E4D">
        <w:t>Safety</w:t>
      </w:r>
    </w:p>
    <w:p w14:paraId="7E73F52C" w14:textId="23CDA38F" w:rsidR="0071212A" w:rsidRDefault="0071212A" w:rsidP="0071212A">
      <w:pPr>
        <w:pStyle w:val="Heading5"/>
      </w:pPr>
      <w:r>
        <w:t>Test adverse events</w:t>
      </w:r>
    </w:p>
    <w:p w14:paraId="3C6A9E81" w14:textId="77777777" w:rsidR="007518CF" w:rsidRDefault="00EF4F9A" w:rsidP="00EF4F9A">
      <w:pPr>
        <w:spacing w:after="0"/>
        <w:ind w:right="-57"/>
        <w:jc w:val="both"/>
      </w:pPr>
      <w:r>
        <w:t>No studies meeting the PICO criteria regarding safety of AMH testing were identified. However, the test is done through a routine blood test and this is generally considered safe.</w:t>
      </w:r>
    </w:p>
    <w:p w14:paraId="44CF11A6" w14:textId="77777777" w:rsidR="007518CF" w:rsidRDefault="008C7152" w:rsidP="00DF343F">
      <w:pPr>
        <w:pStyle w:val="Heading4"/>
        <w:jc w:val="both"/>
      </w:pPr>
      <w:r w:rsidRPr="00183E4D">
        <w:t>Effectiveness</w:t>
      </w:r>
    </w:p>
    <w:p w14:paraId="34A411CF" w14:textId="614F9334" w:rsidR="00861BCB" w:rsidRPr="000A77C8" w:rsidRDefault="00861BCB" w:rsidP="00861BCB">
      <w:pPr>
        <w:pStyle w:val="Heading5"/>
      </w:pPr>
      <w:r>
        <w:t>Direct effectiveness</w:t>
      </w:r>
    </w:p>
    <w:p w14:paraId="274D7F10" w14:textId="77777777" w:rsidR="007518CF" w:rsidRDefault="00913A53" w:rsidP="0023752D">
      <w:pPr>
        <w:ind w:right="-57"/>
        <w:jc w:val="both"/>
      </w:pPr>
      <w:r>
        <w:t>No direct evidence was identified to determine the effectiveness of AMH testing in addition to other standard tests, compared to other standard tests alone, in patients prior to or following completion of gonadotoxic therapy.</w:t>
      </w:r>
    </w:p>
    <w:p w14:paraId="351AFB4E" w14:textId="77777777" w:rsidR="002D7C2B" w:rsidRDefault="002D7C2B" w:rsidP="002D7C2B">
      <w:pPr>
        <w:pStyle w:val="Heading5"/>
      </w:pPr>
      <w:r>
        <w:t>Effectiveness from linked evidence</w:t>
      </w:r>
    </w:p>
    <w:p w14:paraId="67279F9F" w14:textId="1971E6A8" w:rsidR="00861BCB" w:rsidRDefault="00913A53" w:rsidP="00D366DE">
      <w:pPr>
        <w:pStyle w:val="Heading6"/>
        <w:numPr>
          <w:ilvl w:val="0"/>
          <w:numId w:val="10"/>
        </w:numPr>
      </w:pPr>
      <w:r>
        <w:t>Analytical validity</w:t>
      </w:r>
    </w:p>
    <w:p w14:paraId="03979585" w14:textId="0C9DC38B" w:rsidR="007518CF" w:rsidRDefault="00D26F2F" w:rsidP="008751B8">
      <w:pPr>
        <w:jc w:val="both"/>
      </w:pPr>
      <w:r>
        <w:t xml:space="preserve">The information on the analytical validity of the AMH test focuses on whether the test results are reliable, and how they correlate with other tests which are currently in clinical practice. </w:t>
      </w:r>
      <w:r w:rsidR="008751B8">
        <w:t xml:space="preserve">Studies which used </w:t>
      </w:r>
      <w:r w:rsidR="00CE5704">
        <w:t>menstrual status as</w:t>
      </w:r>
      <w:r w:rsidR="000E32A2">
        <w:t xml:space="preserve"> the reference standard</w:t>
      </w:r>
      <w:r w:rsidR="008751B8">
        <w:t xml:space="preserve"> found that the accuracy of AMH testing varied </w:t>
      </w:r>
      <w:r w:rsidR="00CC5900">
        <w:t>substantially</w:t>
      </w:r>
      <w:r w:rsidR="008751B8">
        <w:t xml:space="preserve"> between different assays, and that about </w:t>
      </w:r>
      <w:r w:rsidR="000E32A2">
        <w:t>one in three women</w:t>
      </w:r>
      <w:r w:rsidR="008751B8" w:rsidRPr="00871436">
        <w:t xml:space="preserve"> who resume</w:t>
      </w:r>
      <w:r w:rsidR="000E32A2">
        <w:t>d</w:t>
      </w:r>
      <w:r w:rsidR="008751B8" w:rsidRPr="00871436">
        <w:t xml:space="preserve"> menstruation</w:t>
      </w:r>
      <w:r w:rsidR="000E32A2">
        <w:t xml:space="preserve"> after treatment</w:t>
      </w:r>
      <w:r w:rsidR="008751B8" w:rsidRPr="00871436">
        <w:t xml:space="preserve"> had </w:t>
      </w:r>
      <w:r w:rsidR="00CC5900">
        <w:t xml:space="preserve">undetectable AMH, i.e. </w:t>
      </w:r>
      <w:r w:rsidR="000E32A2">
        <w:t>a negat</w:t>
      </w:r>
      <w:r w:rsidR="00CC5900">
        <w:t>ive result</w:t>
      </w:r>
      <w:r w:rsidR="008751B8" w:rsidRPr="00871436">
        <w:t>.</w:t>
      </w:r>
    </w:p>
    <w:p w14:paraId="0730E6EA" w14:textId="0414624A" w:rsidR="00D26F2F" w:rsidRDefault="008751B8" w:rsidP="00D26F2F">
      <w:pPr>
        <w:jc w:val="both"/>
      </w:pPr>
      <w:r>
        <w:t>One study reported on the diagnostic accuracy of the p</w:t>
      </w:r>
      <w:r w:rsidRPr="00871436">
        <w:t xml:space="preserve">ico-AMH </w:t>
      </w:r>
      <w:r w:rsidR="00B023DE">
        <w:t>ELISA (enzyme-linked immunosorbent assay</w:t>
      </w:r>
      <w:r w:rsidRPr="00871436">
        <w:t xml:space="preserve"> </w:t>
      </w:r>
      <w:r>
        <w:t xml:space="preserve">test and the </w:t>
      </w:r>
      <w:r w:rsidRPr="00931C41">
        <w:rPr>
          <w:snapToGrid w:val="0"/>
          <w:lang w:eastAsia="en-US"/>
        </w:rPr>
        <w:t>EIA AMH/MIS assa</w:t>
      </w:r>
      <w:r>
        <w:rPr>
          <w:snapToGrid w:val="0"/>
          <w:lang w:eastAsia="en-US"/>
        </w:rPr>
        <w:t>y</w:t>
      </w:r>
      <w:r>
        <w:t xml:space="preserve"> compared to menstrual status</w:t>
      </w:r>
      <w:r w:rsidR="00CC5900">
        <w:t xml:space="preserve">, i.e. </w:t>
      </w:r>
      <w:r w:rsidR="00CE5704">
        <w:t>th</w:t>
      </w:r>
      <w:r w:rsidR="00CC5900">
        <w:t>e absence or presence of menses,</w:t>
      </w:r>
      <w:r>
        <w:t xml:space="preserve"> as a clinical reference standard. The sensitivity of the p</w:t>
      </w:r>
      <w:r w:rsidRPr="00871436">
        <w:t>ico-AMH ELISA</w:t>
      </w:r>
      <w:r>
        <w:t xml:space="preserve"> was significantly higher (71% compared to 11%) than the older </w:t>
      </w:r>
      <w:r w:rsidRPr="00931C41">
        <w:rPr>
          <w:snapToGrid w:val="0"/>
          <w:lang w:eastAsia="en-US"/>
        </w:rPr>
        <w:t>EIA AMH/MIS assa</w:t>
      </w:r>
      <w:r>
        <w:rPr>
          <w:snapToGrid w:val="0"/>
          <w:lang w:eastAsia="en-US"/>
        </w:rPr>
        <w:t>y (with detectable AMH as the cut-off).</w:t>
      </w:r>
      <w:r>
        <w:t xml:space="preserve"> </w:t>
      </w:r>
      <w:r w:rsidRPr="00871436">
        <w:t>Th</w:t>
      </w:r>
      <w:r>
        <w:t xml:space="preserve">e </w:t>
      </w:r>
      <w:r w:rsidR="00CE5704">
        <w:t>large</w:t>
      </w:r>
      <w:r>
        <w:t xml:space="preserve"> difference in sensitivity between the two AMH tests i</w:t>
      </w:r>
      <w:r w:rsidRPr="00871436">
        <w:t>s likely due to the 40-fold difference in the level of AMH detectable by the</w:t>
      </w:r>
      <w:r>
        <w:t>se</w:t>
      </w:r>
      <w:r w:rsidRPr="00871436">
        <w:t xml:space="preserve"> tests</w:t>
      </w:r>
      <w:r>
        <w:t xml:space="preserve"> with the </w:t>
      </w:r>
      <w:r w:rsidR="000701EE">
        <w:t>pico</w:t>
      </w:r>
      <w:r w:rsidRPr="009C79E3">
        <w:t>-AMH ELISA test</w:t>
      </w:r>
      <w:r w:rsidRPr="00871436">
        <w:t xml:space="preserve"> </w:t>
      </w:r>
      <w:r>
        <w:t>being more sensitive.</w:t>
      </w:r>
    </w:p>
    <w:p w14:paraId="0B744969" w14:textId="22B27D40" w:rsidR="00D26F2F" w:rsidRDefault="008751B8" w:rsidP="00913A53">
      <w:pPr>
        <w:jc w:val="both"/>
        <w:rPr>
          <w:szCs w:val="24"/>
        </w:rPr>
      </w:pPr>
      <w:r>
        <w:rPr>
          <w:szCs w:val="24"/>
        </w:rPr>
        <w:t xml:space="preserve">Two studies compared the </w:t>
      </w:r>
      <w:r w:rsidRPr="007E6446">
        <w:rPr>
          <w:szCs w:val="24"/>
        </w:rPr>
        <w:t xml:space="preserve">AMH Gen II ELISA </w:t>
      </w:r>
      <w:r>
        <w:rPr>
          <w:szCs w:val="24"/>
        </w:rPr>
        <w:t xml:space="preserve">test with the </w:t>
      </w:r>
      <w:r w:rsidRPr="007E6446">
        <w:rPr>
          <w:szCs w:val="24"/>
        </w:rPr>
        <w:t>Ansh Labs AMH ELISA</w:t>
      </w:r>
      <w:r>
        <w:rPr>
          <w:szCs w:val="24"/>
        </w:rPr>
        <w:t xml:space="preserve">, </w:t>
      </w:r>
      <w:r w:rsidRPr="007E6446">
        <w:rPr>
          <w:szCs w:val="24"/>
        </w:rPr>
        <w:t>Ultrasensitive AMH ELISA</w:t>
      </w:r>
      <w:r>
        <w:rPr>
          <w:szCs w:val="24"/>
        </w:rPr>
        <w:t xml:space="preserve">, and </w:t>
      </w:r>
      <w:r w:rsidR="000701EE">
        <w:rPr>
          <w:szCs w:val="24"/>
        </w:rPr>
        <w:t>pico</w:t>
      </w:r>
      <w:r w:rsidRPr="007E6446">
        <w:rPr>
          <w:szCs w:val="24"/>
        </w:rPr>
        <w:t>-AMH ELISA</w:t>
      </w:r>
      <w:r>
        <w:rPr>
          <w:szCs w:val="24"/>
        </w:rPr>
        <w:t xml:space="preserve">, as well as the </w:t>
      </w:r>
      <w:r w:rsidRPr="007E6446">
        <w:rPr>
          <w:szCs w:val="24"/>
        </w:rPr>
        <w:t xml:space="preserve">Ultrasensitive AMH ELISA </w:t>
      </w:r>
      <w:r>
        <w:rPr>
          <w:szCs w:val="24"/>
        </w:rPr>
        <w:t xml:space="preserve">with the </w:t>
      </w:r>
      <w:r w:rsidR="000701EE">
        <w:rPr>
          <w:szCs w:val="24"/>
        </w:rPr>
        <w:t>pico</w:t>
      </w:r>
      <w:r w:rsidRPr="007E6446">
        <w:rPr>
          <w:szCs w:val="24"/>
        </w:rPr>
        <w:t>-AMH ELISA</w:t>
      </w:r>
      <w:r>
        <w:rPr>
          <w:szCs w:val="24"/>
        </w:rPr>
        <w:t>. There was a high degree of correlation between these four tests.</w:t>
      </w:r>
      <w:r w:rsidRPr="008751B8">
        <w:rPr>
          <w:szCs w:val="24"/>
        </w:rPr>
        <w:t xml:space="preserve"> </w:t>
      </w:r>
      <w:r>
        <w:rPr>
          <w:szCs w:val="24"/>
        </w:rPr>
        <w:t>However, there is concern that a</w:t>
      </w:r>
      <w:r w:rsidRPr="00795735">
        <w:rPr>
          <w:szCs w:val="24"/>
        </w:rPr>
        <w:t xml:space="preserve">lthough </w:t>
      </w:r>
      <w:r>
        <w:rPr>
          <w:szCs w:val="24"/>
        </w:rPr>
        <w:lastRenderedPageBreak/>
        <w:t>different AMH</w:t>
      </w:r>
      <w:r w:rsidRPr="00795735">
        <w:rPr>
          <w:szCs w:val="24"/>
        </w:rPr>
        <w:t xml:space="preserve"> </w:t>
      </w:r>
      <w:r>
        <w:rPr>
          <w:szCs w:val="24"/>
        </w:rPr>
        <w:t>assays</w:t>
      </w:r>
      <w:r w:rsidRPr="00795735">
        <w:rPr>
          <w:szCs w:val="24"/>
        </w:rPr>
        <w:t xml:space="preserve"> are highly correlated</w:t>
      </w:r>
      <w:r>
        <w:rPr>
          <w:szCs w:val="24"/>
        </w:rPr>
        <w:t>,</w:t>
      </w:r>
      <w:r w:rsidRPr="00D60C6F">
        <w:rPr>
          <w:szCs w:val="24"/>
        </w:rPr>
        <w:t xml:space="preserve"> </w:t>
      </w:r>
      <w:r>
        <w:rPr>
          <w:szCs w:val="24"/>
        </w:rPr>
        <w:t xml:space="preserve">the </w:t>
      </w:r>
      <w:r w:rsidRPr="00795735">
        <w:rPr>
          <w:szCs w:val="24"/>
        </w:rPr>
        <w:t>re</w:t>
      </w:r>
      <w:r>
        <w:rPr>
          <w:szCs w:val="24"/>
        </w:rPr>
        <w:t>sults are not generali</w:t>
      </w:r>
      <w:r w:rsidR="00415491">
        <w:rPr>
          <w:szCs w:val="24"/>
        </w:rPr>
        <w:t>s</w:t>
      </w:r>
      <w:r>
        <w:rPr>
          <w:szCs w:val="24"/>
        </w:rPr>
        <w:t>able. O</w:t>
      </w:r>
      <w:r w:rsidRPr="0059328B">
        <w:rPr>
          <w:szCs w:val="24"/>
        </w:rPr>
        <w:t>ne study showed that while each laboratory showed good reproducibility when using a single test, the</w:t>
      </w:r>
      <w:r w:rsidRPr="001A3DDE">
        <w:t xml:space="preserve"> </w:t>
      </w:r>
      <w:r w:rsidR="001B176D">
        <w:rPr>
          <w:szCs w:val="24"/>
        </w:rPr>
        <w:t xml:space="preserve">between-laboratory variability, </w:t>
      </w:r>
      <w:r w:rsidRPr="0059328B">
        <w:rPr>
          <w:szCs w:val="24"/>
        </w:rPr>
        <w:t>even using the same assa</w:t>
      </w:r>
      <w:r w:rsidR="001B176D">
        <w:rPr>
          <w:szCs w:val="24"/>
        </w:rPr>
        <w:t>y,</w:t>
      </w:r>
      <w:r w:rsidR="003E5AFD">
        <w:rPr>
          <w:szCs w:val="24"/>
        </w:rPr>
        <w:t xml:space="preserve"> was 40</w:t>
      </w:r>
      <w:r w:rsidR="00B169D7">
        <w:rPr>
          <w:szCs w:val="24"/>
        </w:rPr>
        <w:t>%</w:t>
      </w:r>
      <w:r w:rsidRPr="0059328B">
        <w:rPr>
          <w:szCs w:val="24"/>
        </w:rPr>
        <w:t>.</w:t>
      </w:r>
    </w:p>
    <w:p w14:paraId="1D21DC5E" w14:textId="370FC4C3" w:rsidR="008751B8" w:rsidRPr="006D52BD" w:rsidRDefault="008751B8" w:rsidP="00913A53">
      <w:pPr>
        <w:jc w:val="both"/>
      </w:pPr>
      <w:r w:rsidRPr="006D52BD">
        <w:t>The major challenge for clinicians attempting to interpret AMH values for use in clinical care is the lack of standardisation. It is recommended that clinicians should always use the same laboratory to avoid problems with result interpretation. It is also critical to understand how that laboratory calibrates their clinical thresholds to ensure accurate interpretation of the result. A good quality assurance program would be essential for implementation and development of standardised clinically relevant thresholds for AMH testing in Australia.</w:t>
      </w:r>
    </w:p>
    <w:p w14:paraId="72FC49AC" w14:textId="066FC27D" w:rsidR="008751B8" w:rsidRPr="006D52BD" w:rsidRDefault="006D52BD" w:rsidP="00913A53">
      <w:pPr>
        <w:jc w:val="both"/>
      </w:pPr>
      <w:r>
        <w:t>ROC analysis comparing AMH serum levels and AFC with the menstrual status of women after chemotherapy found that the area under the curve (AUC) for the first generation AMH assay, the D</w:t>
      </w:r>
      <w:r w:rsidR="00B023DE">
        <w:t>iagnostics Systems Lab (DSL)</w:t>
      </w:r>
      <w:r>
        <w:t xml:space="preserve"> ACTIVE® AMH/MIS ELISA and AFC were 0.71 and 0.82, respectively. This means the DSL ACTIVE® AMH/MIS ELISA test showed moderate performance in detecting the menstrual status of women, compared with a good performance for AFC, the reference standard. The AUCs for the comparators FSH and inhibin B were 0.72 (moderate performance) and 0.63 (poor performance), respectively.</w:t>
      </w:r>
    </w:p>
    <w:p w14:paraId="58AFA9AB" w14:textId="7E319BB7" w:rsidR="00913A53" w:rsidRDefault="00913A53" w:rsidP="00D366DE">
      <w:pPr>
        <w:pStyle w:val="Heading6"/>
        <w:numPr>
          <w:ilvl w:val="0"/>
          <w:numId w:val="10"/>
        </w:numPr>
      </w:pPr>
      <w:r>
        <w:t>Prognostic and predictive value</w:t>
      </w:r>
    </w:p>
    <w:p w14:paraId="21AD6A06" w14:textId="2889ABA5" w:rsidR="009D66C4" w:rsidRPr="00AD4B84" w:rsidRDefault="00AD4B84" w:rsidP="009D66C4">
      <w:pPr>
        <w:jc w:val="both"/>
        <w:rPr>
          <w:i/>
        </w:rPr>
      </w:pPr>
      <w:r>
        <w:rPr>
          <w:i/>
        </w:rPr>
        <w:t>Prognostic value of AMH in p</w:t>
      </w:r>
      <w:r w:rsidR="009D66C4" w:rsidRPr="00AD4B84">
        <w:rPr>
          <w:i/>
        </w:rPr>
        <w:t>redicting ovarian function</w:t>
      </w:r>
      <w:r w:rsidR="000F2BD8" w:rsidRPr="00AD4B84">
        <w:rPr>
          <w:i/>
        </w:rPr>
        <w:t xml:space="preserve"> </w:t>
      </w:r>
      <w:r w:rsidR="001E7102">
        <w:rPr>
          <w:i/>
        </w:rPr>
        <w:t>-</w:t>
      </w:r>
      <w:r w:rsidR="000F2BD8" w:rsidRPr="00AD4B84">
        <w:rPr>
          <w:i/>
        </w:rPr>
        <w:t xml:space="preserve"> Pre-treatment AMH testing</w:t>
      </w:r>
    </w:p>
    <w:p w14:paraId="0973D76E" w14:textId="1A1C922B" w:rsidR="009D66C4" w:rsidRDefault="009D66C4" w:rsidP="009D66C4">
      <w:pPr>
        <w:jc w:val="both"/>
      </w:pPr>
      <w:r>
        <w:t>AMH testing was considered to be mainly of prognostic and predictive value. E</w:t>
      </w:r>
      <w:r w:rsidR="00B974AC">
        <w:t>leven studies were identified which considered</w:t>
      </w:r>
      <w:r>
        <w:t xml:space="preserve"> whether AMH values could predict ovarian function at follow-up</w:t>
      </w:r>
      <w:r w:rsidR="00D65BD1">
        <w:t xml:space="preserve"> in the target population</w:t>
      </w:r>
      <w:r>
        <w:t>. These studies included mostly women with breast cancer. Six out of s</w:t>
      </w:r>
      <w:r w:rsidR="001B176D">
        <w:t xml:space="preserve">even studies that reported mean or </w:t>
      </w:r>
      <w:r>
        <w:t xml:space="preserve">median baseline AMH values stated that the group of women with </w:t>
      </w:r>
      <w:r w:rsidR="005070FC">
        <w:t>chemotherapy-related</w:t>
      </w:r>
      <w:r>
        <w:t xml:space="preserve"> amenorrhea (CRA) at follow-up had statistically signific</w:t>
      </w:r>
      <w:r w:rsidR="005F342C">
        <w:t>antly lower baseline AMH levels, i.e. levels measured before treatment</w:t>
      </w:r>
      <w:r>
        <w:t xml:space="preserve">. Follow-up was </w:t>
      </w:r>
      <w:r w:rsidR="005F342C">
        <w:t>six</w:t>
      </w:r>
      <w:r>
        <w:t xml:space="preserve"> months to </w:t>
      </w:r>
      <w:r w:rsidR="005F342C">
        <w:t>five</w:t>
      </w:r>
      <w:r>
        <w:t xml:space="preserve"> years after enrolment or treatment. Higher mean age and lower AFC count were also associated with CRA at follow-up (</w:t>
      </w:r>
      <w:r w:rsidR="00456DBE">
        <w:t xml:space="preserve">in </w:t>
      </w:r>
      <w:r>
        <w:t>4/4 studies and 2/2 studies, respectively). The other comparator tests were less convincing (FSH</w:t>
      </w:r>
      <w:r w:rsidR="00456DBE">
        <w:t xml:space="preserve"> was different in</w:t>
      </w:r>
      <w:r>
        <w:t xml:space="preserve"> 2/4 studies; E2</w:t>
      </w:r>
      <w:r w:rsidR="00456DBE">
        <w:t xml:space="preserve"> in</w:t>
      </w:r>
      <w:r>
        <w:t xml:space="preserve"> 1/2 studies; </w:t>
      </w:r>
      <w:r w:rsidR="003C2616">
        <w:t>inhibin B</w:t>
      </w:r>
      <w:r w:rsidR="00456DBE">
        <w:t xml:space="preserve"> in</w:t>
      </w:r>
      <w:r>
        <w:t xml:space="preserve"> 1/3 studies).</w:t>
      </w:r>
    </w:p>
    <w:p w14:paraId="0613A138" w14:textId="62D46205" w:rsidR="009D66C4" w:rsidRDefault="009D66C4" w:rsidP="009D66C4">
      <w:pPr>
        <w:jc w:val="both"/>
      </w:pPr>
      <w:r>
        <w:t xml:space="preserve">Univariate analysis alone is insufficient to determine the incremental prognostic value of AMH testing. AMH levels decrease with age and correlate with other hormone tests. In the multivariate analyses, AMH remained a significant predictor for </w:t>
      </w:r>
      <w:r w:rsidR="005F342C">
        <w:t>continuation or resumption of</w:t>
      </w:r>
      <w:r>
        <w:t xml:space="preserve"> ovarian function in four out of five studies. The largest study reported that women </w:t>
      </w:r>
      <w:r w:rsidR="005F342C">
        <w:t>with an AMH above 0.7 ng/mL had</w:t>
      </w:r>
      <w:r>
        <w:t xml:space="preserve"> </w:t>
      </w:r>
      <w:r w:rsidR="005F342C">
        <w:t>three times</w:t>
      </w:r>
      <w:r>
        <w:t xml:space="preserve"> greater probability of a shorter time to ovarian recovery than wom</w:t>
      </w:r>
      <w:r w:rsidR="005F342C">
        <w:t>en with an AMH under 0.7 ng/mL over a median of 163 days</w:t>
      </w:r>
      <w:r>
        <w:t>. FSH (</w:t>
      </w:r>
      <w:r w:rsidR="003B42B2">
        <w:t>≤</w:t>
      </w:r>
      <w:r w:rsidRPr="00AB4B28">
        <w:t>10 IU/L)</w:t>
      </w:r>
      <w:r>
        <w:t xml:space="preserve"> and age (</w:t>
      </w:r>
      <w:r w:rsidR="003B42B2">
        <w:t>&lt;</w:t>
      </w:r>
      <w:r>
        <w:t xml:space="preserve">40 years) were also predictive for shorter time to ovarian recovery, with </w:t>
      </w:r>
      <w:r w:rsidR="005F342C">
        <w:t>hazard ratios</w:t>
      </w:r>
      <w:r>
        <w:t xml:space="preserve"> of 4.7 (95%CI </w:t>
      </w:r>
      <w:r w:rsidR="005F342C">
        <w:t xml:space="preserve">1.3, </w:t>
      </w:r>
      <w:r w:rsidRPr="00AB4B28">
        <w:t xml:space="preserve">16.8) and 3.39 (95%CI </w:t>
      </w:r>
      <w:r w:rsidR="005F342C">
        <w:t xml:space="preserve">1.74, </w:t>
      </w:r>
      <w:r w:rsidRPr="00AB4B28">
        <w:t>6.60), respectively</w:t>
      </w:r>
      <w:r>
        <w:t>.</w:t>
      </w:r>
    </w:p>
    <w:p w14:paraId="352169B6" w14:textId="3B3864EB" w:rsidR="007518CF" w:rsidRDefault="000F2BD8" w:rsidP="000F2BD8">
      <w:pPr>
        <w:jc w:val="both"/>
      </w:pPr>
      <w:r>
        <w:lastRenderedPageBreak/>
        <w:t xml:space="preserve">Two studies were included that presented a ROC curve to assess the accuracy of AMH for predicting ovarian function and to determine the optimal cut-off point for AMH values. Both studies reported an AUC for AMH of </w:t>
      </w:r>
      <w:r w:rsidR="00035EEF">
        <w:t>&gt;</w:t>
      </w:r>
      <w:r>
        <w:t xml:space="preserve">0.8 which indicates good test performance. One study showed AMH values </w:t>
      </w:r>
      <w:r w:rsidR="003B42B2">
        <w:t>≥</w:t>
      </w:r>
      <w:r>
        <w:t>3.32 ng/mL were protective for the occurrence of oligomenorrhea or amenorrhea after treatment, with a sensitivity of 85% and a specificity of 75% (n=52). The cut-off for AFC was &lt;13 follicles to predict oligo- or amenor</w:t>
      </w:r>
      <w:r w:rsidR="005F342C">
        <w:t>rhea, having a higher risk at six-</w:t>
      </w:r>
      <w:r>
        <w:t>month follow</w:t>
      </w:r>
      <w:r w:rsidR="00DE6DD5">
        <w:t>-</w:t>
      </w:r>
      <w:r>
        <w:t>up with a sensitivity of 83% and a specificity of 62%. In the study by Anderson et al., a classification mosaic chart including age (38.6 years as a cut-off) and AMH score (3.8 pmol/L as a cut-off) gave a 98.2% and a specificity of 80.0% in predic</w:t>
      </w:r>
      <w:r w:rsidR="005F342C">
        <w:t>ting amenorrhea after two</w:t>
      </w:r>
      <w:r>
        <w:t xml:space="preserve"> years for breast cancer patients</w:t>
      </w:r>
      <w:r w:rsidR="005F342C">
        <w:t xml:space="preserve"> (n=75)</w:t>
      </w:r>
      <w:r>
        <w:t>.</w:t>
      </w:r>
    </w:p>
    <w:p w14:paraId="4FF8DC20" w14:textId="694FCABB" w:rsidR="009D66C4" w:rsidRDefault="000F2BD8" w:rsidP="000F2BD8">
      <w:pPr>
        <w:jc w:val="both"/>
        <w:rPr>
          <w:szCs w:val="24"/>
        </w:rPr>
      </w:pPr>
      <w:r>
        <w:t>The lack of standardisation makes it hard to interpret AMH values</w:t>
      </w:r>
      <w:r w:rsidR="00B974AC">
        <w:t>. D</w:t>
      </w:r>
      <w:r>
        <w:t xml:space="preserve">etermining </w:t>
      </w:r>
      <w:r w:rsidRPr="00842C57">
        <w:rPr>
          <w:szCs w:val="24"/>
        </w:rPr>
        <w:t>standardised clinically relevant thresholds for AMH testing in Australia</w:t>
      </w:r>
      <w:r>
        <w:rPr>
          <w:szCs w:val="24"/>
        </w:rPr>
        <w:t xml:space="preserve"> may improve the prognostic value of the test in clinical practice.</w:t>
      </w:r>
    </w:p>
    <w:p w14:paraId="090A36C0" w14:textId="15C32DCF" w:rsidR="000F2BD8" w:rsidRPr="00AD4B84" w:rsidRDefault="00AD4B84" w:rsidP="000F2BD8">
      <w:pPr>
        <w:jc w:val="both"/>
        <w:rPr>
          <w:i/>
        </w:rPr>
      </w:pPr>
      <w:r>
        <w:rPr>
          <w:i/>
        </w:rPr>
        <w:t>Prognostic value of AMH in p</w:t>
      </w:r>
      <w:r w:rsidR="000F2BD8" w:rsidRPr="00AD4B84">
        <w:rPr>
          <w:i/>
        </w:rPr>
        <w:t xml:space="preserve">redicting ovarian function </w:t>
      </w:r>
      <w:r w:rsidR="001E7102">
        <w:rPr>
          <w:i/>
        </w:rPr>
        <w:t>-</w:t>
      </w:r>
      <w:r w:rsidR="000F2BD8" w:rsidRPr="00AD4B84">
        <w:rPr>
          <w:i/>
        </w:rPr>
        <w:t xml:space="preserve"> Post-treatment AMH testing</w:t>
      </w:r>
    </w:p>
    <w:p w14:paraId="5401B9E6" w14:textId="0156B2D9" w:rsidR="000F2BD8" w:rsidRDefault="000F2BD8" w:rsidP="000F2BD8">
      <w:pPr>
        <w:jc w:val="both"/>
        <w:rPr>
          <w:color w:val="000000" w:themeColor="text1"/>
        </w:rPr>
      </w:pPr>
      <w:r w:rsidRPr="000F2BD8">
        <w:rPr>
          <w:color w:val="000000" w:themeColor="text1"/>
        </w:rPr>
        <w:t>There is limited evidence available to determine the prognostic value of post-treatment AMH testing in the patient population (k=2). The incremental value of AMH testing could not be determined. However, the limited evidence does indicate th</w:t>
      </w:r>
      <w:r w:rsidR="005F342C">
        <w:rPr>
          <w:color w:val="000000" w:themeColor="text1"/>
        </w:rPr>
        <w:t xml:space="preserve">at a woman with detectable AMH, </w:t>
      </w:r>
      <w:r w:rsidRPr="000F2BD8">
        <w:rPr>
          <w:color w:val="000000" w:themeColor="text1"/>
        </w:rPr>
        <w:t xml:space="preserve">measured by </w:t>
      </w:r>
      <w:r w:rsidR="000701EE">
        <w:rPr>
          <w:color w:val="000000" w:themeColor="text1"/>
        </w:rPr>
        <w:t>pico</w:t>
      </w:r>
      <w:r w:rsidR="005F342C">
        <w:rPr>
          <w:color w:val="000000" w:themeColor="text1"/>
        </w:rPr>
        <w:t>-AMH ELISA</w:t>
      </w:r>
      <w:r w:rsidRPr="000F2BD8">
        <w:rPr>
          <w:color w:val="000000" w:themeColor="text1"/>
        </w:rPr>
        <w:t xml:space="preserve"> post-chemotherapy</w:t>
      </w:r>
      <w:r w:rsidR="005F342C">
        <w:rPr>
          <w:color w:val="000000" w:themeColor="text1"/>
        </w:rPr>
        <w:t>,</w:t>
      </w:r>
      <w:r w:rsidRPr="000F2BD8">
        <w:rPr>
          <w:color w:val="000000" w:themeColor="text1"/>
        </w:rPr>
        <w:t xml:space="preserve"> is very likely to ha</w:t>
      </w:r>
      <w:r w:rsidR="005F342C">
        <w:rPr>
          <w:color w:val="000000" w:themeColor="text1"/>
        </w:rPr>
        <w:t>ve ongoing menses for at least three</w:t>
      </w:r>
      <w:r w:rsidRPr="000F2BD8">
        <w:rPr>
          <w:color w:val="000000" w:themeColor="text1"/>
        </w:rPr>
        <w:t xml:space="preserve"> years</w:t>
      </w:r>
      <w:r w:rsidR="005F342C">
        <w:rPr>
          <w:color w:val="000000" w:themeColor="text1"/>
        </w:rPr>
        <w:t>,</w:t>
      </w:r>
      <w:r w:rsidRPr="000F2BD8">
        <w:rPr>
          <w:color w:val="000000" w:themeColor="text1"/>
        </w:rPr>
        <w:t xml:space="preserve"> whereas a woman with undetectable AMH is likely to continue to have amenorrhoea due</w:t>
      </w:r>
      <w:r w:rsidR="00B974AC">
        <w:rPr>
          <w:color w:val="000000" w:themeColor="text1"/>
        </w:rPr>
        <w:t xml:space="preserve"> to</w:t>
      </w:r>
      <w:r w:rsidRPr="000F2BD8">
        <w:rPr>
          <w:color w:val="000000" w:themeColor="text1"/>
        </w:rPr>
        <w:t xml:space="preserve"> the lack of ovarian reserve.</w:t>
      </w:r>
    </w:p>
    <w:p w14:paraId="645EAA94" w14:textId="32AE861E" w:rsidR="000F2BD8" w:rsidRPr="00AD4B84" w:rsidRDefault="000F2BD8" w:rsidP="000F2BD8">
      <w:pPr>
        <w:jc w:val="both"/>
        <w:rPr>
          <w:i/>
          <w:color w:val="000000" w:themeColor="text1"/>
        </w:rPr>
      </w:pPr>
      <w:r w:rsidRPr="00AD4B84">
        <w:rPr>
          <w:i/>
          <w:color w:val="000000" w:themeColor="text1"/>
        </w:rPr>
        <w:t>Prognostic value of AMH in predicting pregnancy</w:t>
      </w:r>
    </w:p>
    <w:p w14:paraId="23D4D70F" w14:textId="29B04DBA" w:rsidR="007518CF" w:rsidRDefault="000F2BD8" w:rsidP="00850D16">
      <w:pPr>
        <w:jc w:val="both"/>
      </w:pPr>
      <w:r>
        <w:t>Most studies (5/6) did not find a predictive relationship between AMH levels and pregnancy rate.</w:t>
      </w:r>
      <w:r w:rsidR="00850D16">
        <w:t xml:space="preserve"> All women underwe</w:t>
      </w:r>
      <w:r w:rsidR="005F342C">
        <w:t>nt a gonadotoxic treatment for endometriosis, breast cancer or lymphoma,</w:t>
      </w:r>
      <w:r w:rsidR="00850D16">
        <w:t xml:space="preserve"> and </w:t>
      </w:r>
      <w:r w:rsidR="005F342C">
        <w:t>wanted to fall pregnant</w:t>
      </w:r>
      <w:r w:rsidR="00850D16">
        <w:t xml:space="preserve">. Follow-up was </w:t>
      </w:r>
      <w:r w:rsidR="00035EEF">
        <w:t>&gt;</w:t>
      </w:r>
      <w:r w:rsidR="00850D16">
        <w:t>1 year in all studies.</w:t>
      </w:r>
      <w:r>
        <w:t xml:space="preserve"> </w:t>
      </w:r>
      <w:r w:rsidR="00850D16">
        <w:t>Five studies reported AMH thresholds and showed how many women achieved pregnancy when divided into groups based on AMH score. Only one small study found a lower pregnancy rate in the group with low AMH levels.</w:t>
      </w:r>
    </w:p>
    <w:p w14:paraId="1EC2CFE7" w14:textId="70ABEA1B" w:rsidR="000F2BD8" w:rsidRDefault="00B974AC" w:rsidP="000F2BD8">
      <w:pPr>
        <w:jc w:val="both"/>
      </w:pPr>
      <w:r>
        <w:t>These studies show</w:t>
      </w:r>
      <w:r w:rsidR="005F342C">
        <w:t>ed</w:t>
      </w:r>
      <w:r>
        <w:t xml:space="preserve"> that</w:t>
      </w:r>
      <w:r w:rsidR="000F2BD8" w:rsidRPr="00A70D09">
        <w:t xml:space="preserve"> the difference between those with low and high AMH is not large enough to </w:t>
      </w:r>
      <w:r w:rsidR="005F342C">
        <w:t>inform clinical decisions</w:t>
      </w:r>
      <w:r w:rsidR="000F2BD8">
        <w:t>. Even women with undetectable and critically low AMH values had given birth during follow-up in multiple studies. This raised the hypothesis that the relationship between low AMH</w:t>
      </w:r>
      <w:r w:rsidR="00DF36E4">
        <w:t xml:space="preserve"> </w:t>
      </w:r>
      <w:r w:rsidR="000F2BD8">
        <w:t xml:space="preserve">levels and reproductive outcomes may differ in cancer survivors compared to women from the general population </w:t>
      </w:r>
      <w:r w:rsidR="00A109BA">
        <w:fldChar w:fldCharType="begin"/>
      </w:r>
      <w:r w:rsidR="00577E24">
        <w:instrText xml:space="preserve"> ADDIN EN.CITE &lt;EndNote&gt;&lt;Cite&gt;&lt;Author&gt;Hamre&lt;/Author&gt;&lt;Year&gt;2012&lt;/Year&gt;&lt;RecNum&gt;173&lt;/RecNum&gt;&lt;IDText&gt;271-277&lt;/IDText&gt;&lt;DisplayText&gt;(Hamre et al. 2012)&lt;/DisplayText&gt;&lt;record&gt;&lt;rec-number&gt;173&lt;/rec-number&gt;&lt;foreign-keys&gt;&lt;key app="EN" db-id="s2dftfxw1fvsr1efx58vfvxtvfwzxea0td02" timestamp="1511748076"&gt;173&lt;/key&gt;&lt;/foreign-keys&gt;&lt;ref-type name="Journal Article"&gt;17&lt;/ref-type&gt;&lt;contributors&gt;&lt;authors&gt;&lt;author&gt;Hamre, H.&lt;/author&gt;&lt;author&gt;Kiserud, C. E.&lt;/author&gt;&lt;author&gt;Ruud, E.&lt;/author&gt;&lt;author&gt;Thorsby, P. M.&lt;/author&gt;&lt;author&gt;Fosså, S. D.&lt;/author&gt;&lt;/authors&gt;&lt;/contributors&gt;&lt;titles&gt;&lt;title&gt;Gonadal function and parenthood 20 years after treatment for childhood lymphoma: A cross-sectional study&lt;/title&gt;&lt;secondary-title&gt;Pediatric Blood and Cancer&lt;/secondary-title&gt;&lt;/titles&gt;&lt;periodical&gt;&lt;full-title&gt;Pediatric Blood and Cancer&lt;/full-title&gt;&lt;/periodical&gt;&lt;pages&gt;271-277&lt;/pages&gt;&lt;volume&gt;59&lt;/volume&gt;&lt;number&gt;2&lt;/number&gt;&lt;keywords&gt;&lt;keyword&gt;Survivors&lt;/keyword&gt;&lt;keyword&gt;Cesarean Section&lt;/keyword&gt;&lt;keyword&gt;Hypogonadism&lt;/keyword&gt;&lt;keyword&gt;Pregnancy&lt;/keyword&gt;&lt;keyword&gt;Gonads&lt;/keyword&gt;&lt;keyword&gt;Cross-Sectional Studies&lt;/keyword&gt;&lt;/keywords&gt;&lt;dates&gt;&lt;year&gt;2012&lt;/year&gt;&lt;pub-dates&gt;&lt;date&gt;2012-1-1&lt;/date&gt;&lt;/pub-dates&gt;&lt;/dates&gt;&lt;accession-num&gt;rayyan-6674816&lt;/accession-num&gt;&lt;urls&gt;&lt;related-urls&gt;&lt;url&gt;http://www.embase.com/search/results?subaction=viewrecord&amp;amp;from=export&amp;amp;id=L365003883 http://dx.doi.org/10.1002/pbc.23363&lt;/url&gt;&lt;url&gt;http://onlinelibrary.wiley.com/store/10.1002/pbc.23363/asset/23363_ftp.pdf?v=1&amp;amp;t=j5nikaa8&amp;amp;s=34815b77f42ef2fd53e0746ba81438127b1ce12d&lt;/url&gt;&lt;/related-urls&gt;&lt;/urls&gt;&lt;custom1&gt;RAYYAN-INCLUSION: {&amp;quot;Sharon&amp;quot;=&amp;gt;false, &amp;quot;Joanne&amp;quot;=&amp;gt;true}&lt;/custom1&gt;&lt;/record&gt;&lt;/Cite&gt;&lt;/EndNote&gt;</w:instrText>
      </w:r>
      <w:r w:rsidR="00A109BA">
        <w:fldChar w:fldCharType="separate"/>
      </w:r>
      <w:r w:rsidR="00A109BA">
        <w:rPr>
          <w:noProof/>
        </w:rPr>
        <w:t>(</w:t>
      </w:r>
      <w:hyperlink w:anchor="_ENREF_25" w:tooltip="Hamre, 2012 #173" w:history="1">
        <w:r w:rsidR="00835BA6">
          <w:rPr>
            <w:noProof/>
          </w:rPr>
          <w:t>Hamre et al. 2012</w:t>
        </w:r>
      </w:hyperlink>
      <w:r w:rsidR="00A109BA">
        <w:rPr>
          <w:noProof/>
        </w:rPr>
        <w:t>)</w:t>
      </w:r>
      <w:r w:rsidR="00A109BA">
        <w:fldChar w:fldCharType="end"/>
      </w:r>
      <w:r w:rsidR="000F2BD8">
        <w:t>. However the study populations may have been too small to find a relationship between pregnancy and AMH levels.</w:t>
      </w:r>
    </w:p>
    <w:p w14:paraId="75981602" w14:textId="66913ABE" w:rsidR="00850D16" w:rsidRPr="00AD4B84" w:rsidRDefault="00850D16" w:rsidP="000F2BD8">
      <w:pPr>
        <w:jc w:val="both"/>
        <w:rPr>
          <w:i/>
        </w:rPr>
      </w:pPr>
      <w:r w:rsidRPr="00AD4B84">
        <w:rPr>
          <w:i/>
        </w:rPr>
        <w:t>Predictive value of AMH in predicting response to ovarian stimulation</w:t>
      </w:r>
    </w:p>
    <w:p w14:paraId="5A921305" w14:textId="0989EDB2" w:rsidR="007518CF" w:rsidRDefault="00850D16" w:rsidP="00850D16">
      <w:pPr>
        <w:jc w:val="both"/>
      </w:pPr>
      <w:r>
        <w:t xml:space="preserve">One study including 340 cancer patients investigated the association between the number of in vitro matured oocytes cryopreserved and AFC and AMH levels </w:t>
      </w:r>
      <w:r w:rsidR="005F342C">
        <w:t>using ROC curve analysis</w:t>
      </w:r>
      <w:r>
        <w:t xml:space="preserve">. In this study, the </w:t>
      </w:r>
      <w:r>
        <w:lastRenderedPageBreak/>
        <w:t>AMH test had moderate (0.7 to 0.8) to good (0.8 to 0.9) test performance at predicting oocyte yield. AFC ultrasound had a good (0.8 to 0.9) test performance.</w:t>
      </w:r>
    </w:p>
    <w:p w14:paraId="23E9BE50" w14:textId="4A3BD285" w:rsidR="00850D16" w:rsidRDefault="00850D16" w:rsidP="00850D16">
      <w:pPr>
        <w:jc w:val="both"/>
      </w:pPr>
      <w:r>
        <w:t xml:space="preserve">Three studies looked at the correlation between oocytes retrieved and AMH, AFC, </w:t>
      </w:r>
      <w:r w:rsidR="003C2616">
        <w:t>inhibin B</w:t>
      </w:r>
      <w:r>
        <w:t xml:space="preserve"> and/or E2 values. A moderate linear relationship between AMH and oocyte yield was found. Moderate relationships were also found for AFC and </w:t>
      </w:r>
      <w:r w:rsidR="003C2616">
        <w:t>inhibin B</w:t>
      </w:r>
      <w:r>
        <w:t xml:space="preserve"> with oocyte yield in one study. An inverse correlation was found for FSH and age with oocyte yield.</w:t>
      </w:r>
    </w:p>
    <w:p w14:paraId="2CF89DCE" w14:textId="23A4C4F1" w:rsidR="00733931" w:rsidRDefault="00733931" w:rsidP="00733931">
      <w:pPr>
        <w:jc w:val="both"/>
      </w:pPr>
      <w:r>
        <w:t>An association was found between AMH levels and ovarian response to hyperstimulation in women undergoing gonadotoxic treatment. However, there was insufficient evidence to determine whether the AMH test had a</w:t>
      </w:r>
      <w:r w:rsidR="005F342C">
        <w:t xml:space="preserve">n incremental predictive value </w:t>
      </w:r>
      <w:r>
        <w:t>in addition to other standard test</w:t>
      </w:r>
      <w:r w:rsidR="00680E44">
        <w:t>s</w:t>
      </w:r>
      <w:r>
        <w:t xml:space="preserve"> </w:t>
      </w:r>
      <w:r w:rsidR="005F342C">
        <w:t>to determine</w:t>
      </w:r>
      <w:r>
        <w:t xml:space="preserve"> response to ovarian stimulation. When looking at the broader population</w:t>
      </w:r>
      <w:r w:rsidR="005F342C">
        <w:t xml:space="preserve"> of otherwise healthy</w:t>
      </w:r>
      <w:r w:rsidR="00B974AC">
        <w:t xml:space="preserve"> women undergoing </w:t>
      </w:r>
      <w:r w:rsidR="003E7F22">
        <w:t>in vitro fertilisation (IVF) or intracytoplasmic sperm injection (ICSI)</w:t>
      </w:r>
      <w:r>
        <w:t xml:space="preserve">, Broer et al. stated that </w:t>
      </w:r>
      <w:r w:rsidRPr="00A649DA">
        <w:t>combining the results of AFC and AMH did not improve prediction</w:t>
      </w:r>
      <w:r w:rsidR="00B974AC">
        <w:t xml:space="preserve"> of poor response</w:t>
      </w:r>
      <w:r>
        <w:t xml:space="preserve">. This supports the findings by the Practice Committee of the American Society for Reproductive Medicine in 2015, which stated that combined ovarian reserve test models do not consistently improve predictive ability over that of single ovarian reserve tests, and that there is insufficient evidence to indicate that a combination of tests are more useful than each test alone in ovarian reserve testing in a broad population. Tobler et al. (2015) stated that </w:t>
      </w:r>
      <w:r w:rsidRPr="0000227B">
        <w:t xml:space="preserve">the predictive value of AMH </w:t>
      </w:r>
      <w:r w:rsidR="00680E44">
        <w:t xml:space="preserve">testing </w:t>
      </w:r>
      <w:r w:rsidRPr="0000227B">
        <w:t xml:space="preserve">on the outcomes of </w:t>
      </w:r>
      <w:r w:rsidR="00776418">
        <w:t>ART</w:t>
      </w:r>
      <w:r w:rsidRPr="0000227B">
        <w:t xml:space="preserve"> has yet to be definitively established, and the exact role of the use of AMH </w:t>
      </w:r>
      <w:r w:rsidR="00680E44">
        <w:t xml:space="preserve">testing </w:t>
      </w:r>
      <w:r w:rsidRPr="0000227B">
        <w:t xml:space="preserve">for fertility treatments still needs to be determined. There is a need for </w:t>
      </w:r>
      <w:r w:rsidR="008D2561">
        <w:t xml:space="preserve">AMH </w:t>
      </w:r>
      <w:r w:rsidRPr="0000227B">
        <w:t>cut-off values relate</w:t>
      </w:r>
      <w:r w:rsidR="005F342C">
        <w:t xml:space="preserve">d to patient relevant outcomes, </w:t>
      </w:r>
      <w:r w:rsidRPr="0000227B">
        <w:t>e.g. pregnancy, oocyt</w:t>
      </w:r>
      <w:r w:rsidR="005F342C">
        <w:t>e yield, and return of menstruation, as evidence on these outcomes</w:t>
      </w:r>
      <w:r w:rsidRPr="0000227B">
        <w:t xml:space="preserve"> is still lacking. However, it is considered a first</w:t>
      </w:r>
      <w:r w:rsidR="00DE6DD5">
        <w:t>-</w:t>
      </w:r>
      <w:r w:rsidRPr="0000227B">
        <w:t xml:space="preserve">line test of ovarian reserve in Australia and is reported to have direct value in the management of IVF cycles in the general population </w:t>
      </w:r>
      <w:r w:rsidR="00A109BA">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rsidR="00577E24">
        <w:instrText xml:space="preserve"> ADDIN EN.CITE </w:instrText>
      </w:r>
      <w:r w:rsidR="00577E24">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rsidR="00577E24">
        <w:instrText xml:space="preserve"> ADDIN EN.CITE.DATA </w:instrText>
      </w:r>
      <w:r w:rsidR="00577E24">
        <w:fldChar w:fldCharType="end"/>
      </w:r>
      <w:r w:rsidR="00A109BA">
        <w:fldChar w:fldCharType="separate"/>
      </w:r>
      <w:r w:rsidR="00A109BA">
        <w:rPr>
          <w:noProof/>
        </w:rPr>
        <w:t>(</w:t>
      </w:r>
      <w:hyperlink w:anchor="_ENREF_70" w:tooltip="Tobler, 2015 #349" w:history="1">
        <w:r w:rsidR="00835BA6">
          <w:rPr>
            <w:noProof/>
          </w:rPr>
          <w:t>Tobler et al. 2015</w:t>
        </w:r>
      </w:hyperlink>
      <w:r w:rsidR="00A109BA">
        <w:rPr>
          <w:noProof/>
        </w:rPr>
        <w:t>)</w:t>
      </w:r>
      <w:r w:rsidR="00A109BA">
        <w:fldChar w:fldCharType="end"/>
      </w:r>
      <w:r w:rsidR="00FD39B9">
        <w:t>.</w:t>
      </w:r>
    </w:p>
    <w:p w14:paraId="7DB457A8" w14:textId="2FD28BC4" w:rsidR="00913A53" w:rsidRDefault="00913A53" w:rsidP="00D366DE">
      <w:pPr>
        <w:pStyle w:val="Heading6"/>
        <w:numPr>
          <w:ilvl w:val="0"/>
          <w:numId w:val="10"/>
        </w:numPr>
      </w:pPr>
      <w:r>
        <w:t>Clinical validity</w:t>
      </w:r>
    </w:p>
    <w:p w14:paraId="7B075CE2" w14:textId="32FAA506" w:rsidR="008D2561" w:rsidRDefault="008D2561" w:rsidP="00AD4B84">
      <w:pPr>
        <w:jc w:val="both"/>
      </w:pPr>
      <w:r w:rsidRPr="00CB6357">
        <w:t xml:space="preserve">The evidence that was included in the </w:t>
      </w:r>
      <w:r>
        <w:t>analytical validity</w:t>
      </w:r>
      <w:r w:rsidRPr="00CB6357">
        <w:t xml:space="preserve"> and the prognostic section and provided sensitivity/specificity or 2</w:t>
      </w:r>
      <w:r w:rsidR="005F342C">
        <w:t> × </w:t>
      </w:r>
      <w:r w:rsidRPr="00CB6357">
        <w:t xml:space="preserve">2 data was included </w:t>
      </w:r>
      <w:r>
        <w:t>in the clinical validity section</w:t>
      </w:r>
      <w:r w:rsidRPr="00CB6357">
        <w:t xml:space="preserve"> to determine how the test would perform in women undergoing </w:t>
      </w:r>
      <w:r>
        <w:t>gon</w:t>
      </w:r>
      <w:r w:rsidRPr="00CB6357">
        <w:t>adotoxic treatment</w:t>
      </w:r>
      <w:r>
        <w:t xml:space="preserve"> of different levels of gonadotoxicity</w:t>
      </w:r>
      <w:r w:rsidRPr="00CB6357">
        <w:t>.</w:t>
      </w:r>
      <w:r w:rsidRPr="008D2561">
        <w:rPr>
          <w:color w:val="000000" w:themeColor="text1"/>
        </w:rPr>
        <w:t xml:space="preserve"> This gives an indication of the usefulness of the test when it is used before or after treatments with low</w:t>
      </w:r>
      <w:r w:rsidR="00916047">
        <w:rPr>
          <w:color w:val="000000" w:themeColor="text1"/>
        </w:rPr>
        <w:t xml:space="preserve"> </w:t>
      </w:r>
      <w:r w:rsidRPr="008D2561">
        <w:rPr>
          <w:color w:val="000000" w:themeColor="text1"/>
        </w:rPr>
        <w:t>risk (20–30%), intermediate</w:t>
      </w:r>
      <w:r w:rsidR="00DE6DD5">
        <w:rPr>
          <w:color w:val="000000" w:themeColor="text1"/>
        </w:rPr>
        <w:t xml:space="preserve"> </w:t>
      </w:r>
      <w:r w:rsidRPr="008D2561">
        <w:rPr>
          <w:color w:val="000000" w:themeColor="text1"/>
        </w:rPr>
        <w:t>risk (40–70%) and high</w:t>
      </w:r>
      <w:r w:rsidR="00DE6DD5">
        <w:rPr>
          <w:color w:val="000000" w:themeColor="text1"/>
        </w:rPr>
        <w:t xml:space="preserve"> </w:t>
      </w:r>
      <w:r w:rsidRPr="008D2561">
        <w:rPr>
          <w:color w:val="000000" w:themeColor="text1"/>
        </w:rPr>
        <w:t>risk (70–80%) of ovarian failure.</w:t>
      </w:r>
    </w:p>
    <w:p w14:paraId="179566E9" w14:textId="29A0607D" w:rsidR="007518CF" w:rsidRDefault="008D2561" w:rsidP="00AD4B84">
      <w:pPr>
        <w:jc w:val="both"/>
        <w:rPr>
          <w:color w:val="000000" w:themeColor="text1"/>
        </w:rPr>
      </w:pPr>
      <w:r>
        <w:rPr>
          <w:color w:val="000000" w:themeColor="text1"/>
        </w:rPr>
        <w:t>Three studies reported on the accuracy of AMH testing prior to gonadotoxic treatment in predicting the resumption of menses after treatment.</w:t>
      </w:r>
      <w:r>
        <w:t xml:space="preserve"> </w:t>
      </w:r>
      <w:r w:rsidR="00AD4B84">
        <w:t xml:space="preserve">First generation test </w:t>
      </w:r>
      <w:r w:rsidR="00AD4B84" w:rsidRPr="009128DE">
        <w:t>EIA AMH/MIS ASSAY</w:t>
      </w:r>
      <w:r w:rsidR="00AD4B84">
        <w:t xml:space="preserve"> and </w:t>
      </w:r>
      <w:r w:rsidR="00AD4B84" w:rsidRPr="00AD4B84">
        <w:rPr>
          <w:color w:val="000000" w:themeColor="text1"/>
        </w:rPr>
        <w:t xml:space="preserve">DSL ACTIVE® MIS/AMH ELISA </w:t>
      </w:r>
      <w:r w:rsidR="00AD4B84">
        <w:t>showed some lack of utility for AMH measured both prior to and after treatment compared to resumption of menses.</w:t>
      </w:r>
      <w:r w:rsidR="00AD4B84" w:rsidRPr="00AD4B84">
        <w:rPr>
          <w:color w:val="000000" w:themeColor="text1"/>
        </w:rPr>
        <w:t xml:space="preserve"> A positive pre-treatmen</w:t>
      </w:r>
      <w:r w:rsidR="003E7F22">
        <w:rPr>
          <w:color w:val="000000" w:themeColor="text1"/>
        </w:rPr>
        <w:t>t or post-treatment test result, above a certain threshold,</w:t>
      </w:r>
      <w:r>
        <w:rPr>
          <w:color w:val="000000" w:themeColor="text1"/>
        </w:rPr>
        <w:t xml:space="preserve"> </w:t>
      </w:r>
      <w:r w:rsidR="00B974AC">
        <w:rPr>
          <w:color w:val="000000" w:themeColor="text1"/>
        </w:rPr>
        <w:t>only offered</w:t>
      </w:r>
      <w:r w:rsidR="00AD4B84" w:rsidRPr="00AD4B84">
        <w:rPr>
          <w:color w:val="000000" w:themeColor="text1"/>
        </w:rPr>
        <w:t xml:space="preserve"> useful information to women having treatment</w:t>
      </w:r>
      <w:r w:rsidR="00B974AC">
        <w:rPr>
          <w:color w:val="000000" w:themeColor="text1"/>
        </w:rPr>
        <w:t xml:space="preserve"> </w:t>
      </w:r>
      <w:r w:rsidR="003E7F22">
        <w:rPr>
          <w:color w:val="000000" w:themeColor="text1"/>
        </w:rPr>
        <w:t>associated with</w:t>
      </w:r>
      <w:r w:rsidR="00B974AC">
        <w:rPr>
          <w:color w:val="000000" w:themeColor="text1"/>
        </w:rPr>
        <w:t xml:space="preserve"> </w:t>
      </w:r>
      <w:r w:rsidR="003E7F22">
        <w:rPr>
          <w:color w:val="000000" w:themeColor="text1"/>
        </w:rPr>
        <w:t xml:space="preserve">intermediate to </w:t>
      </w:r>
      <w:r w:rsidR="00B974AC" w:rsidRPr="00AD4B84">
        <w:rPr>
          <w:color w:val="000000" w:themeColor="text1"/>
        </w:rPr>
        <w:t>high risk</w:t>
      </w:r>
      <w:r w:rsidR="00B974AC">
        <w:rPr>
          <w:color w:val="000000" w:themeColor="text1"/>
        </w:rPr>
        <w:t xml:space="preserve"> of ovarian failure.</w:t>
      </w:r>
      <w:r w:rsidR="00AD4B84" w:rsidRPr="00AD4B84">
        <w:rPr>
          <w:color w:val="000000" w:themeColor="text1"/>
        </w:rPr>
        <w:t xml:space="preserve"> </w:t>
      </w:r>
      <w:r w:rsidR="00B974AC">
        <w:rPr>
          <w:color w:val="000000" w:themeColor="text1"/>
        </w:rPr>
        <w:t>A</w:t>
      </w:r>
      <w:r w:rsidR="00AD4B84" w:rsidRPr="00AD4B84">
        <w:rPr>
          <w:color w:val="000000" w:themeColor="text1"/>
        </w:rPr>
        <w:t xml:space="preserve">t least 76% of women with a ≥50% risk </w:t>
      </w:r>
      <w:r w:rsidR="003E7F22">
        <w:rPr>
          <w:color w:val="000000" w:themeColor="text1"/>
        </w:rPr>
        <w:lastRenderedPageBreak/>
        <w:t xml:space="preserve">of ovarian failure </w:t>
      </w:r>
      <w:r w:rsidR="00AD4B84" w:rsidRPr="00AD4B84">
        <w:rPr>
          <w:color w:val="000000" w:themeColor="text1"/>
        </w:rPr>
        <w:t xml:space="preserve">receiving a positive pre-treatment </w:t>
      </w:r>
      <w:r w:rsidR="00B974AC">
        <w:rPr>
          <w:color w:val="000000" w:themeColor="text1"/>
        </w:rPr>
        <w:t xml:space="preserve">AMH </w:t>
      </w:r>
      <w:r w:rsidR="003E7F22">
        <w:rPr>
          <w:color w:val="000000" w:themeColor="text1"/>
        </w:rPr>
        <w:t xml:space="preserve">result and 79 to </w:t>
      </w:r>
      <w:r w:rsidR="00AD4B84" w:rsidRPr="00AD4B84">
        <w:rPr>
          <w:color w:val="000000" w:themeColor="text1"/>
        </w:rPr>
        <w:t>94% of women with</w:t>
      </w:r>
      <w:r w:rsidR="00B974AC">
        <w:rPr>
          <w:color w:val="000000" w:themeColor="text1"/>
        </w:rPr>
        <w:t xml:space="preserve"> a</w:t>
      </w:r>
      <w:r w:rsidR="00AD4B84" w:rsidRPr="00AD4B84">
        <w:rPr>
          <w:color w:val="000000" w:themeColor="text1"/>
        </w:rPr>
        <w:t xml:space="preserve"> positive post-treatment</w:t>
      </w:r>
      <w:r w:rsidR="00B974AC">
        <w:rPr>
          <w:color w:val="000000" w:themeColor="text1"/>
        </w:rPr>
        <w:t xml:space="preserve"> AMH</w:t>
      </w:r>
      <w:r w:rsidR="00AD4B84" w:rsidRPr="00AD4B84">
        <w:rPr>
          <w:color w:val="000000" w:themeColor="text1"/>
        </w:rPr>
        <w:t xml:space="preserve"> test result</w:t>
      </w:r>
      <w:r w:rsidR="00B974AC">
        <w:rPr>
          <w:color w:val="000000" w:themeColor="text1"/>
        </w:rPr>
        <w:t xml:space="preserve"> wh</w:t>
      </w:r>
      <w:r w:rsidR="003E7F22">
        <w:rPr>
          <w:color w:val="000000" w:themeColor="text1"/>
        </w:rPr>
        <w:t>o underwent high-risk treatment</w:t>
      </w:r>
      <w:r w:rsidR="00AD4B84" w:rsidRPr="00AD4B84">
        <w:rPr>
          <w:color w:val="000000" w:themeColor="text1"/>
        </w:rPr>
        <w:t xml:space="preserve"> </w:t>
      </w:r>
      <w:r w:rsidR="003E7F22">
        <w:rPr>
          <w:color w:val="000000" w:themeColor="text1"/>
        </w:rPr>
        <w:t>actually resumed</w:t>
      </w:r>
      <w:r w:rsidR="00AD4B84" w:rsidRPr="00AD4B84">
        <w:rPr>
          <w:color w:val="000000" w:themeColor="text1"/>
        </w:rPr>
        <w:t xml:space="preserve"> menses. On the other hand, a negative pre- or post-treatment test result only offers useful information to women having low-risk treatment, where the </w:t>
      </w:r>
      <w:r w:rsidR="003E7F22">
        <w:rPr>
          <w:color w:val="000000" w:themeColor="text1"/>
        </w:rPr>
        <w:t xml:space="preserve">negative predictive value (NPV) indicated that 88 to 95% and 71 to </w:t>
      </w:r>
      <w:r w:rsidR="00AD4B84" w:rsidRPr="00AD4B84">
        <w:rPr>
          <w:color w:val="000000" w:themeColor="text1"/>
        </w:rPr>
        <w:t>88% of women with a negative pre- and post-treatment test result would not have resumption of menses, respectively. Of women having treatment with a h</w:t>
      </w:r>
      <w:r w:rsidR="003E7F22">
        <w:rPr>
          <w:color w:val="000000" w:themeColor="text1"/>
        </w:rPr>
        <w:t xml:space="preserve">igh risk of ovarian failure, 44 to </w:t>
      </w:r>
      <w:r w:rsidR="00AD4B84" w:rsidRPr="00AD4B84">
        <w:rPr>
          <w:color w:val="000000" w:themeColor="text1"/>
        </w:rPr>
        <w:t xml:space="preserve">68% </w:t>
      </w:r>
      <w:r w:rsidR="003E7F22">
        <w:rPr>
          <w:color w:val="000000" w:themeColor="text1"/>
        </w:rPr>
        <w:t xml:space="preserve">and 21 to </w:t>
      </w:r>
      <w:r w:rsidR="00AD4B84" w:rsidRPr="00AD4B84">
        <w:rPr>
          <w:color w:val="000000" w:themeColor="text1"/>
        </w:rPr>
        <w:t>45% with a negative pre- or post-treatment test result would have amenorrhea at follow-up (after treatment), respectively. This is equivalent to chance and not clinically useful.</w:t>
      </w:r>
    </w:p>
    <w:p w14:paraId="17F617EA" w14:textId="39DFC0FE" w:rsidR="00AD4B84" w:rsidRPr="00AD4B84" w:rsidRDefault="00AD4B84" w:rsidP="00AD4B84">
      <w:pPr>
        <w:jc w:val="both"/>
        <w:rPr>
          <w:color w:val="000000" w:themeColor="text1"/>
        </w:rPr>
      </w:pPr>
      <w:r w:rsidRPr="00AD4B84">
        <w:rPr>
          <w:color w:val="000000" w:themeColor="text1"/>
        </w:rPr>
        <w:t xml:space="preserve">AMH Gen II ELISA and the </w:t>
      </w:r>
      <w:r w:rsidR="003E7F22">
        <w:rPr>
          <w:color w:val="000000" w:themeColor="text1"/>
        </w:rPr>
        <w:t>pico-AMH ELISA</w:t>
      </w:r>
      <w:r w:rsidRPr="00AD4B84">
        <w:rPr>
          <w:color w:val="000000" w:themeColor="text1"/>
        </w:rPr>
        <w:t xml:space="preserve"> test</w:t>
      </w:r>
      <w:r>
        <w:rPr>
          <w:color w:val="000000" w:themeColor="text1"/>
        </w:rPr>
        <w:t>s</w:t>
      </w:r>
      <w:r w:rsidRPr="00AD4B84">
        <w:rPr>
          <w:color w:val="000000" w:themeColor="text1"/>
        </w:rPr>
        <w:t xml:space="preserve"> perform</w:t>
      </w:r>
      <w:r w:rsidR="00194ED1">
        <w:rPr>
          <w:color w:val="000000" w:themeColor="text1"/>
        </w:rPr>
        <w:t xml:space="preserve">ed much better. In women undergoing treatment with a </w:t>
      </w:r>
      <w:r w:rsidR="003E7F22">
        <w:rPr>
          <w:color w:val="000000" w:themeColor="text1"/>
        </w:rPr>
        <w:t xml:space="preserve">low risk of ovarian failure, 63 to </w:t>
      </w:r>
      <w:r w:rsidRPr="00AD4B84">
        <w:rPr>
          <w:color w:val="000000" w:themeColor="text1"/>
        </w:rPr>
        <w:t>74% with a detectable baseline AMH Gen II ELISA test result would ha</w:t>
      </w:r>
      <w:r w:rsidR="003E7F22">
        <w:rPr>
          <w:color w:val="000000" w:themeColor="text1"/>
        </w:rPr>
        <w:t xml:space="preserve">ve resumption of menses, and 94 to </w:t>
      </w:r>
      <w:r w:rsidRPr="00AD4B84">
        <w:rPr>
          <w:color w:val="000000" w:themeColor="text1"/>
        </w:rPr>
        <w:t>96% of women having treatment with a high risk of ovarian failure who have a detectable AMH level would have resumption of menses after treatment. The NPV ind</w:t>
      </w:r>
      <w:r w:rsidR="003E7F22">
        <w:rPr>
          <w:color w:val="000000" w:themeColor="text1"/>
        </w:rPr>
        <w:t xml:space="preserve">icated that 81 to </w:t>
      </w:r>
      <w:r w:rsidR="00194ED1">
        <w:rPr>
          <w:color w:val="000000" w:themeColor="text1"/>
        </w:rPr>
        <w:t>99% of women undergoing treatment with</w:t>
      </w:r>
      <w:r w:rsidRPr="00AD4B84">
        <w:rPr>
          <w:color w:val="000000" w:themeColor="text1"/>
        </w:rPr>
        <w:t xml:space="preserve"> a low risk of ovarian failure and an undetectable AMH level would not have resumption of their menses </w:t>
      </w:r>
      <w:r w:rsidR="00A109BA">
        <w:rPr>
          <w:color w:val="000000" w:themeColor="text1"/>
        </w:rPr>
        <w:fldChar w:fldCharType="begin"/>
      </w:r>
      <w:r w:rsidR="00577E24">
        <w:rPr>
          <w:color w:val="000000" w:themeColor="text1"/>
        </w:rPr>
        <w:instrText xml:space="preserve"> ADDIN EN.CITE &lt;EndNote&gt;&lt;Cite&gt;&lt;Author&gt;Henry&lt;/Author&gt;&lt;Year&gt;2014&lt;/Year&gt;&lt;RecNum&gt;178&lt;/RecNum&gt;&lt;IDText&gt;68-74&lt;/IDText&gt;&lt;DisplayText&gt;(Henry et al. 2014)&lt;/DisplayText&gt;&lt;record&gt;&lt;rec-number&gt;178&lt;/rec-number&gt;&lt;foreign-keys&gt;&lt;key app="EN" db-id="s2dftfxw1fvsr1efx58vfvxtvfwzxea0td02" timestamp="1511748077"&gt;178&lt;/key&gt;&lt;/foreign-keys&gt;&lt;ref-type name="Journal Article"&gt;17&lt;/ref-type&gt;&lt;contributors&gt;&lt;authors&gt;&lt;author&gt;Henry, N. L.&lt;/author&gt;&lt;author&gt;Xia, R.&lt;/author&gt;&lt;author&gt;Schott, A. F.&lt;/author&gt;&lt;author&gt;McConnell, D.&lt;/author&gt;&lt;author&gt;Banerjee, M.&lt;/author&gt;&lt;author&gt;Hayes, D. F.&lt;/author&gt;&lt;/authors&gt;&lt;/contributors&gt;&lt;titles&gt;&lt;title&gt;Prediction of postchemotherapy ovarian function using markers of ovarian reserve&lt;/title&gt;&lt;secondary-title&gt;Oncologist&lt;/secondary-title&gt;&lt;/titles&gt;&lt;periodical&gt;&lt;full-title&gt;Oncologist&lt;/full-title&gt;&lt;/periodical&gt;&lt;pages&gt;68-74&lt;/pages&gt;&lt;volume&gt;19&lt;/volume&gt;&lt;number&gt;1&lt;/number&gt;&lt;keywords&gt;&lt;keyword&gt;Aged&lt;/keyword&gt;&lt;keyword&gt;Decision Making&lt;/keyword&gt;&lt;keyword&gt;Aging&lt;/keyword&gt;&lt;/keywords&gt;&lt;dates&gt;&lt;year&gt;2014&lt;/year&gt;&lt;pub-dates&gt;&lt;date&gt;2014-1-1&lt;/date&gt;&lt;/pub-dates&gt;&lt;/dates&gt;&lt;accession-num&gt;rayyan-6674952&lt;/accession-num&gt;&lt;urls&gt;&lt;related-urls&gt;&lt;url&gt;http://www.embase.com/search/results?subaction=viewrecord&amp;amp;from=export&amp;amp;id=L372137215 http://dx.doi.org/10.1634/theoncologist.2013-0145&lt;/url&gt;&lt;url&gt;https://www.ncbi.nlm.nih.gov/pmc/articles/PMC3903057/pdf/theoncologist_130145.pdf&lt;/url&gt;&lt;/related-urls&gt;&lt;/urls&gt;&lt;custom1&gt;RAYYAN-INCLUSION: {&amp;quot;Sharon&amp;quot;=&amp;gt;true, &amp;quot;Joanne&amp;quot;=&amp;gt;true}&lt;/custom1&gt;&lt;/record&gt;&lt;/Cite&gt;&lt;/EndNote&gt;</w:instrText>
      </w:r>
      <w:r w:rsidR="00A109BA">
        <w:rPr>
          <w:color w:val="000000" w:themeColor="text1"/>
        </w:rPr>
        <w:fldChar w:fldCharType="separate"/>
      </w:r>
      <w:r w:rsidR="00A109BA">
        <w:rPr>
          <w:noProof/>
          <w:color w:val="000000" w:themeColor="text1"/>
        </w:rPr>
        <w:t>(</w:t>
      </w:r>
      <w:hyperlink w:anchor="_ENREF_29" w:tooltip="Henry, 2014 #178" w:history="1">
        <w:r w:rsidR="00835BA6">
          <w:rPr>
            <w:noProof/>
            <w:color w:val="000000" w:themeColor="text1"/>
          </w:rPr>
          <w:t>Henry et al. 2014</w:t>
        </w:r>
      </w:hyperlink>
      <w:r w:rsidR="00A109BA">
        <w:rPr>
          <w:noProof/>
          <w:color w:val="000000" w:themeColor="text1"/>
        </w:rPr>
        <w:t>)</w:t>
      </w:r>
      <w:r w:rsidR="00A109BA">
        <w:rPr>
          <w:color w:val="000000" w:themeColor="text1"/>
        </w:rPr>
        <w:fldChar w:fldCharType="end"/>
      </w:r>
      <w:r w:rsidRPr="00AD4B84">
        <w:rPr>
          <w:color w:val="000000" w:themeColor="text1"/>
        </w:rPr>
        <w:t xml:space="preserve">. The </w:t>
      </w:r>
      <w:r w:rsidR="003E7F22">
        <w:rPr>
          <w:color w:val="000000" w:themeColor="text1"/>
        </w:rPr>
        <w:t>pico-AMH ELISA</w:t>
      </w:r>
      <w:r w:rsidRPr="00AD4B84">
        <w:rPr>
          <w:color w:val="000000" w:themeColor="text1"/>
        </w:rPr>
        <w:t xml:space="preserve"> showed that around 90% of women who had a positive post-treatment test result and underwent high</w:t>
      </w:r>
      <w:r w:rsidR="002E5D5E">
        <w:rPr>
          <w:color w:val="000000" w:themeColor="text1"/>
        </w:rPr>
        <w:t>-</w:t>
      </w:r>
      <w:r w:rsidRPr="00AD4B84">
        <w:rPr>
          <w:color w:val="000000" w:themeColor="text1"/>
        </w:rPr>
        <w:t>risk treatment would have res</w:t>
      </w:r>
      <w:r w:rsidR="003E7F22">
        <w:rPr>
          <w:color w:val="000000" w:themeColor="text1"/>
        </w:rPr>
        <w:t xml:space="preserve">umption of menses, with only 47 to </w:t>
      </w:r>
      <w:r w:rsidRPr="00AD4B84">
        <w:rPr>
          <w:color w:val="000000" w:themeColor="text1"/>
        </w:rPr>
        <w:t>64% having a positive test in women undergoing low risk treatment. A negative test result was only meaningful in the lo</w:t>
      </w:r>
      <w:r w:rsidR="003E7F22">
        <w:rPr>
          <w:color w:val="000000" w:themeColor="text1"/>
        </w:rPr>
        <w:t xml:space="preserve">w risk treatment group, with 87 to </w:t>
      </w:r>
      <w:r w:rsidRPr="00AD4B84">
        <w:rPr>
          <w:color w:val="000000" w:themeColor="text1"/>
        </w:rPr>
        <w:t>97% of women with a negative post-treatment AMH result having amenorrhea. Therefore, the positive test result was only clinically useful at higher prevalence rates of ovarian failure, whereas the negative test result was only useful in the group at low risk of ovarian failure.</w:t>
      </w:r>
    </w:p>
    <w:p w14:paraId="35BA3F4B" w14:textId="77777777" w:rsidR="002D7C2B" w:rsidRDefault="00F33F43" w:rsidP="00D366DE">
      <w:pPr>
        <w:pStyle w:val="Heading6"/>
        <w:numPr>
          <w:ilvl w:val="0"/>
          <w:numId w:val="10"/>
        </w:numPr>
      </w:pPr>
      <w:r>
        <w:t>Therapeutic efficacy (change in management)</w:t>
      </w:r>
    </w:p>
    <w:p w14:paraId="78B4A430" w14:textId="6D61399F" w:rsidR="007518CF" w:rsidRDefault="00AD4B84" w:rsidP="00AD4B84">
      <w:pPr>
        <w:jc w:val="both"/>
      </w:pPr>
      <w:r>
        <w:t xml:space="preserve">The research questions on clinical utility could not be answered, due to lack of evidence on the impact of AMH on change in clinical management </w:t>
      </w:r>
      <w:r w:rsidR="003E7F22">
        <w:t>among</w:t>
      </w:r>
      <w:r>
        <w:t xml:space="preserve"> women undergoing gonadotoxic treatment. The only evidence of impact of AMH testing on change in clinical management was</w:t>
      </w:r>
      <w:r w:rsidR="003E7F22">
        <w:t xml:space="preserve"> found in a broader population, </w:t>
      </w:r>
      <w:r>
        <w:t>i.</w:t>
      </w:r>
      <w:r w:rsidR="003E7F22">
        <w:t>e. healthy women undergoing IVF</w:t>
      </w:r>
      <w:r>
        <w:t>.</w:t>
      </w:r>
    </w:p>
    <w:p w14:paraId="35D5F3CE" w14:textId="581FE262" w:rsidR="00AD4B84" w:rsidRDefault="00AD4B84" w:rsidP="00AD4B84">
      <w:pPr>
        <w:jc w:val="both"/>
      </w:pPr>
      <w:r>
        <w:t>In women undergoing IVF, there is evidence that AMH values may influence the starting dosage of recombinant FSH</w:t>
      </w:r>
      <w:r w:rsidR="00146FE1">
        <w:t xml:space="preserve"> (rFSH)</w:t>
      </w:r>
      <w:r>
        <w:t xml:space="preserve"> or </w:t>
      </w:r>
      <w:r w:rsidR="003E7F22">
        <w:t>hMG</w:t>
      </w:r>
      <w:r>
        <w:t xml:space="preserve"> d</w:t>
      </w:r>
      <w:r w:rsidR="003E7F22">
        <w:t>uring ovarian hyperstimulation for the retrieval of oocytes</w:t>
      </w:r>
      <w:r>
        <w:t xml:space="preserve">. However, the studies showed a lack of standardisation </w:t>
      </w:r>
      <w:r w:rsidR="003E7F22">
        <w:t>or</w:t>
      </w:r>
      <w:r>
        <w:t xml:space="preserve"> guidelines </w:t>
      </w:r>
      <w:r w:rsidR="003E7F22">
        <w:t>o</w:t>
      </w:r>
      <w:r>
        <w:t>n how the AMH score was used or should be used.</w:t>
      </w:r>
    </w:p>
    <w:p w14:paraId="110E0EE6" w14:textId="77777777" w:rsidR="005C4455" w:rsidRDefault="00F33F43" w:rsidP="00D366DE">
      <w:pPr>
        <w:pStyle w:val="Heading6"/>
        <w:numPr>
          <w:ilvl w:val="0"/>
          <w:numId w:val="10"/>
        </w:numPr>
      </w:pPr>
      <w:r>
        <w:t>Therapeutic effectiveness (health benefit from change in management)</w:t>
      </w:r>
    </w:p>
    <w:p w14:paraId="1E391C1F" w14:textId="1BB50CBF" w:rsidR="00AD4B84" w:rsidRDefault="00AD4B84" w:rsidP="00AD4B84">
      <w:pPr>
        <w:jc w:val="both"/>
      </w:pPr>
      <w:r>
        <w:t xml:space="preserve">No evidence was found to determine how the change in management due to AMH testing impacts </w:t>
      </w:r>
      <w:r w:rsidR="005070FC">
        <w:t>health-related</w:t>
      </w:r>
      <w:r>
        <w:t xml:space="preserve"> outcomes in women undergoing gonadotoxic treatme</w:t>
      </w:r>
      <w:r w:rsidR="003E7F22">
        <w:t>nt, the target population</w:t>
      </w:r>
      <w:r>
        <w:t>. Due to lack of evidence</w:t>
      </w:r>
      <w:r w:rsidR="003E7F22">
        <w:t>,</w:t>
      </w:r>
      <w:r>
        <w:t xml:space="preserve"> a non-systematic search was </w:t>
      </w:r>
      <w:r w:rsidR="003E7F22">
        <w:t>peformed</w:t>
      </w:r>
      <w:r>
        <w:t xml:space="preserve"> to investigate whether individualised </w:t>
      </w:r>
      <w:r>
        <w:lastRenderedPageBreak/>
        <w:t>dosage of rFSH/hMG based on AMH results lead to better health outcomes in women undergoing IVF</w:t>
      </w:r>
      <w:r w:rsidR="006A1DD2">
        <w:t>/</w:t>
      </w:r>
      <w:r w:rsidR="005D423D">
        <w:t>ICS</w:t>
      </w:r>
      <w:r w:rsidR="003E7F22">
        <w:t>I</w:t>
      </w:r>
      <w:r>
        <w:t>.</w:t>
      </w:r>
    </w:p>
    <w:p w14:paraId="0FF880B2" w14:textId="1D83CADA" w:rsidR="00AD4B84" w:rsidRDefault="00AD4B84" w:rsidP="00AD4B84">
      <w:pPr>
        <w:jc w:val="both"/>
      </w:pPr>
      <w:r>
        <w:t xml:space="preserve">Three studies were identified </w:t>
      </w:r>
      <w:r w:rsidR="003E7F22">
        <w:t>which investigated</w:t>
      </w:r>
      <w:r>
        <w:t xml:space="preserve"> whether an individualised starting dosage</w:t>
      </w:r>
      <w:r w:rsidR="001F59D5">
        <w:t xml:space="preserve"> based on AMH levels</w:t>
      </w:r>
      <w:r>
        <w:t xml:space="preserve"> impacted IVF outcomes, and all three studies measured a higher rate of optimal oocyte yield in the individualised dosage group. However, only one retrospective study showed a difference in pregnancy or birth rates between groups, and it was not possible to determine which factors were contributing to these outcomes. This was the case due to the before- and after design of the study and the introduction of a number of organisational and procedural changes alongside the introduction </w:t>
      </w:r>
      <w:r w:rsidR="003E7F22">
        <w:t>of AMH</w:t>
      </w:r>
      <w:r w:rsidR="00DF36E4">
        <w:t>-</w:t>
      </w:r>
      <w:r>
        <w:t>tailored dosing. The two clinical trials did not find a difference in pregnancy or birth rates between standard dosage and individualised dosage informed by AMH.</w:t>
      </w:r>
    </w:p>
    <w:p w14:paraId="6E2E8765" w14:textId="7059E71A" w:rsidR="007518CF" w:rsidRDefault="00AD4B84" w:rsidP="00AD4B84">
      <w:pPr>
        <w:jc w:val="both"/>
      </w:pPr>
      <w:r>
        <w:t>Even though there was insufficient effectiveness evidence regarding pregnancy and birth outcomes, two out of the three studies indicated that there was a significant</w:t>
      </w:r>
      <w:r w:rsidR="001F59D5">
        <w:t xml:space="preserve"> reduction in the incidence of ovarian hyperstimulation syndrome (O</w:t>
      </w:r>
      <w:r>
        <w:t>HSS</w:t>
      </w:r>
      <w:r w:rsidR="001F59D5">
        <w:t>)</w:t>
      </w:r>
      <w:r>
        <w:t xml:space="preserve"> and/or prevent</w:t>
      </w:r>
      <w:r w:rsidR="00B023DE">
        <w:t>ive</w:t>
      </w:r>
      <w:r>
        <w:t xml:space="preserve"> inter</w:t>
      </w:r>
      <w:r w:rsidR="003E7F22">
        <w:t>ventions for OHSS using the AMH-</w:t>
      </w:r>
      <w:r>
        <w:t>tailored dosage protocol, com</w:t>
      </w:r>
      <w:r w:rsidR="003E7F22">
        <w:t xml:space="preserve">pared to a standardised dosage </w:t>
      </w:r>
      <w:r>
        <w:t xml:space="preserve">in a population </w:t>
      </w:r>
      <w:r w:rsidR="003E7F22">
        <w:t>of healthy women undergoing IVF</w:t>
      </w:r>
      <w:r>
        <w:t>. One of these trials compared a standard dose of</w:t>
      </w:r>
      <w:r w:rsidR="003E7F22">
        <w:t xml:space="preserve"> follitropin alpha with an AMH and bodyweight-</w:t>
      </w:r>
      <w:r>
        <w:t xml:space="preserve">tailored dose of follitropin delta </w:t>
      </w:r>
      <w:r w:rsidR="00A109BA">
        <w:fldChar w:fldCharType="begin">
          <w:fldData xml:space="preserve">PEVuZE5vdGU+PENpdGU+PEF1dGhvcj5OeWJvZSBBbmRlcnNlbjwvQXV0aG9yPjxZZWFyPjIwMTc8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</w:fldData>
        </w:fldChar>
      </w:r>
      <w:r w:rsidR="00577E24">
        <w:instrText xml:space="preserve"> ADDIN EN.CITE </w:instrText>
      </w:r>
      <w:r w:rsidR="00577E24">
        <w:fldChar w:fldCharType="begin">
          <w:fldData xml:space="preserve">PEVuZE5vdGU+PENpdGU+PEF1dGhvcj5OeWJvZSBBbmRlcnNlbjwvQXV0aG9yPjxZZWFyPjIwMTc8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</w:fldData>
        </w:fldChar>
      </w:r>
      <w:r w:rsidR="00577E24">
        <w:instrText xml:space="preserve"> ADDIN EN.CITE.DATA </w:instrText>
      </w:r>
      <w:r w:rsidR="00577E24">
        <w:fldChar w:fldCharType="end"/>
      </w:r>
      <w:r w:rsidR="00A109BA">
        <w:fldChar w:fldCharType="separate"/>
      </w:r>
      <w:r w:rsidR="00A109BA">
        <w:rPr>
          <w:noProof/>
        </w:rPr>
        <w:t>(</w:t>
      </w:r>
      <w:hyperlink w:anchor="_ENREF_49" w:tooltip="Nyboe Andersen, 2017 #276" w:history="1">
        <w:r w:rsidR="00835BA6">
          <w:rPr>
            <w:noProof/>
          </w:rPr>
          <w:t>Nyboe Andersen et al. 2017</w:t>
        </w:r>
      </w:hyperlink>
      <w:r w:rsidR="00A109BA">
        <w:rPr>
          <w:noProof/>
        </w:rPr>
        <w:t>)</w:t>
      </w:r>
      <w:r w:rsidR="00A109BA">
        <w:fldChar w:fldCharType="end"/>
      </w:r>
      <w:r>
        <w:t>. It is unknown whether the outcome differences between groups in this trial were due to the individualised dosage or due to the different follitropin used.</w:t>
      </w:r>
    </w:p>
    <w:p w14:paraId="32E94714" w14:textId="60C735B0" w:rsidR="007518CF" w:rsidRDefault="003E7F22" w:rsidP="00AD4B84">
      <w:pPr>
        <w:jc w:val="both"/>
      </w:pPr>
      <w:r>
        <w:t xml:space="preserve">Notably, </w:t>
      </w:r>
      <w:r w:rsidR="00AD4B84">
        <w:t>the studies discussed in the clinical utility section did not meet the PICO criteria and m</w:t>
      </w:r>
      <w:r>
        <w:t>ostly excluded patients at the extremes</w:t>
      </w:r>
      <w:r w:rsidR="00AD4B84">
        <w:t xml:space="preserve"> of ovarian reserve. The nomogram that was used in two of the studies to determine dosage only g</w:t>
      </w:r>
      <w:r>
        <w:t xml:space="preserve">ives an input for women aged 25 to </w:t>
      </w:r>
      <w:r w:rsidR="00AD4B84">
        <w:t xml:space="preserve">40 years old and may not be very useful if the AMH levels are extremely low. This nomogram has not been validated in some of the proposed MBS populations (women </w:t>
      </w:r>
      <w:r w:rsidR="003B42B2">
        <w:t>&lt;</w:t>
      </w:r>
      <w:r w:rsidR="00AD4B84">
        <w:t>25 years old and/or with low or undetectable AMH), and therefore the generalisability of this evidence is unknown.</w:t>
      </w:r>
    </w:p>
    <w:p w14:paraId="11FC7C4C" w14:textId="0A0D14F2" w:rsidR="00AD4B84" w:rsidRDefault="001F59D5" w:rsidP="001F59D5">
      <w:pPr>
        <w:pStyle w:val="Heading3"/>
      </w:pPr>
      <w:bookmarkStart w:id="59" w:name="_Toc502832886"/>
      <w:r>
        <w:t>Summary of findings</w:t>
      </w:r>
      <w:bookmarkEnd w:id="59"/>
    </w:p>
    <w:p w14:paraId="62C6EA81" w14:textId="7648244F" w:rsidR="001F59D5" w:rsidRDefault="001F59D5" w:rsidP="001F59D5">
      <w:r>
        <w:t xml:space="preserve">A summary of the findings and the quality of the evidence is presented in </w:t>
      </w:r>
      <w:r>
        <w:fldChar w:fldCharType="begin"/>
      </w:r>
      <w:r>
        <w:instrText xml:space="preserve"> REF _Ref497983153 \h </w:instrText>
      </w:r>
      <w:r>
        <w:fldChar w:fldCharType="separate"/>
      </w:r>
      <w:r w:rsidR="00AC4BE5">
        <w:t xml:space="preserve">Table </w:t>
      </w:r>
      <w:r w:rsidR="00AC4BE5">
        <w:rPr>
          <w:noProof/>
        </w:rPr>
        <w:t>60</w:t>
      </w:r>
      <w:r>
        <w:fldChar w:fldCharType="end"/>
      </w:r>
      <w:r>
        <w:t>.</w:t>
      </w:r>
    </w:p>
    <w:p w14:paraId="5D18E32F" w14:textId="3806A368" w:rsidR="000A2C9E" w:rsidRPr="00183E4D" w:rsidRDefault="00DD53E7" w:rsidP="00DF343F">
      <w:pPr>
        <w:pStyle w:val="Heading3"/>
        <w:jc w:val="both"/>
      </w:pPr>
      <w:bookmarkStart w:id="60" w:name="_Toc395200751"/>
      <w:bookmarkStart w:id="61" w:name="_Toc502832887"/>
      <w:bookmarkStart w:id="62" w:name="_Toc379118059"/>
      <w:bookmarkStart w:id="63" w:name="_Toc379118251"/>
      <w:bookmarkStart w:id="64" w:name="_Toc381796435"/>
      <w:r>
        <w:t>Translation i</w:t>
      </w:r>
      <w:r w:rsidR="000A2C9E" w:rsidRPr="00183E4D">
        <w:t>ssues</w:t>
      </w:r>
      <w:bookmarkEnd w:id="60"/>
      <w:bookmarkEnd w:id="61"/>
    </w:p>
    <w:p w14:paraId="05F42682" w14:textId="55638484" w:rsidR="0032724E" w:rsidRPr="00183E4D" w:rsidRDefault="0032724E" w:rsidP="0032724E">
      <w:pPr>
        <w:spacing w:after="0"/>
        <w:jc w:val="both"/>
      </w:pPr>
      <w:bookmarkStart w:id="65" w:name="_Toc395200754"/>
      <w:bookmarkStart w:id="66" w:name="_Toc379118060"/>
      <w:bookmarkStart w:id="67" w:name="_Toc379118252"/>
      <w:bookmarkEnd w:id="62"/>
      <w:bookmarkEnd w:id="63"/>
      <w:bookmarkEnd w:id="64"/>
      <w:r>
        <w:t>No clinical evidence for the incremental benefit of AMH as an additional test over the current practice was identified, therefore effectiveness was not modelled</w:t>
      </w:r>
      <w:r w:rsidR="003E7F22">
        <w:t>,</w:t>
      </w:r>
      <w:r>
        <w:t xml:space="preserve"> and </w:t>
      </w:r>
      <w:r w:rsidRPr="00DF3B50">
        <w:t>no translation studies</w:t>
      </w:r>
      <w:r>
        <w:t xml:space="preserve"> were necessary</w:t>
      </w:r>
      <w:r w:rsidRPr="00DF3B50">
        <w:t>.</w:t>
      </w:r>
    </w:p>
    <w:p w14:paraId="0276003A" w14:textId="2C801EF2" w:rsidR="0032724E" w:rsidRPr="00183E4D" w:rsidRDefault="00DD53E7" w:rsidP="0032724E">
      <w:pPr>
        <w:pStyle w:val="Heading3"/>
        <w:jc w:val="both"/>
      </w:pPr>
      <w:bookmarkStart w:id="68" w:name="_Toc395200752"/>
      <w:bookmarkStart w:id="69" w:name="_Toc502832888"/>
      <w:r>
        <w:t>Economic e</w:t>
      </w:r>
      <w:r w:rsidR="0032724E" w:rsidRPr="00183E4D">
        <w:t>valuation</w:t>
      </w:r>
      <w:bookmarkEnd w:id="68"/>
      <w:bookmarkEnd w:id="69"/>
    </w:p>
    <w:p w14:paraId="03F370FD" w14:textId="3BDAE57F" w:rsidR="0032724E" w:rsidRDefault="0032724E" w:rsidP="0032724E">
      <w:pPr>
        <w:jc w:val="both"/>
      </w:pPr>
      <w:bookmarkStart w:id="70" w:name="_Ref379404328"/>
      <w:r>
        <w:t>On the basis of the conclusion of t</w:t>
      </w:r>
      <w:r w:rsidRPr="009929BE">
        <w:t>he clinical evaluation</w:t>
      </w:r>
      <w:r>
        <w:t xml:space="preserve"> </w:t>
      </w:r>
      <w:r w:rsidRPr="009929BE">
        <w:t xml:space="preserve">that relative to </w:t>
      </w:r>
      <w:r w:rsidRPr="00EE5754">
        <w:t>othe</w:t>
      </w:r>
      <w:r w:rsidR="003E7F22">
        <w:t xml:space="preserve">r ovarian reserve tests alone, </w:t>
      </w:r>
      <w:r>
        <w:t xml:space="preserve">additional </w:t>
      </w:r>
      <w:r w:rsidRPr="00EE5754">
        <w:t>AMH test</w:t>
      </w:r>
      <w:r w:rsidR="003E7F22">
        <w:t>ing</w:t>
      </w:r>
      <w:r w:rsidRPr="00EE5754">
        <w:t xml:space="preserve"> </w:t>
      </w:r>
      <w:r>
        <w:t>has</w:t>
      </w:r>
      <w:r w:rsidRPr="008B6EBE">
        <w:rPr>
          <w:b/>
        </w:rPr>
        <w:t xml:space="preserve"> </w:t>
      </w:r>
      <w:r w:rsidRPr="00EE5754">
        <w:rPr>
          <w:b/>
        </w:rPr>
        <w:t>non-inferior</w:t>
      </w:r>
      <w:r>
        <w:rPr>
          <w:b/>
        </w:rPr>
        <w:t xml:space="preserve"> </w:t>
      </w:r>
      <w:r w:rsidRPr="008B6EBE">
        <w:rPr>
          <w:b/>
        </w:rPr>
        <w:t xml:space="preserve">safety and </w:t>
      </w:r>
      <w:r w:rsidRPr="00EE5754">
        <w:rPr>
          <w:b/>
        </w:rPr>
        <w:t xml:space="preserve">uncertain incremental </w:t>
      </w:r>
      <w:r w:rsidRPr="0026261C">
        <w:rPr>
          <w:b/>
        </w:rPr>
        <w:t>effectiveness</w:t>
      </w:r>
      <w:r w:rsidRPr="003E7F22">
        <w:t>,</w:t>
      </w:r>
      <w:r>
        <w:rPr>
          <w:b/>
        </w:rPr>
        <w:t xml:space="preserve"> </w:t>
      </w:r>
      <w:r w:rsidRPr="00282C07">
        <w:lastRenderedPageBreak/>
        <w:t>economic modelling of outcomes was not appropriate. Therefore</w:t>
      </w:r>
      <w:r>
        <w:rPr>
          <w:b/>
        </w:rPr>
        <w:t xml:space="preserve"> </w:t>
      </w:r>
      <w:r>
        <w:t xml:space="preserve">a cost-analysis </w:t>
      </w:r>
      <w:r w:rsidR="003E7F22">
        <w:t>was</w:t>
      </w:r>
      <w:r>
        <w:t xml:space="preserve"> conducted for the economic evaluation.</w:t>
      </w:r>
    </w:p>
    <w:p w14:paraId="2D424B11" w14:textId="4D427283" w:rsidR="0032724E" w:rsidRPr="00941F81" w:rsidRDefault="0032724E" w:rsidP="0032724E">
      <w:pPr>
        <w:jc w:val="both"/>
      </w:pPr>
      <w:r>
        <w:t xml:space="preserve">A summary of the key characteristics of the economic evaluation is </w:t>
      </w:r>
      <w:r w:rsidR="003E7F22">
        <w:t>provided</w:t>
      </w:r>
      <w:r>
        <w:t xml:space="preserve"> in </w:t>
      </w:r>
      <w:r>
        <w:fldChar w:fldCharType="begin"/>
      </w:r>
      <w:r>
        <w:instrText xml:space="preserve"> REF _Ref497979354 \h </w:instrText>
      </w:r>
      <w:r>
        <w:fldChar w:fldCharType="separate"/>
      </w:r>
      <w:r w:rsidR="00AC4BE5" w:rsidRPr="00B85E97">
        <w:t xml:space="preserve">Table </w:t>
      </w:r>
      <w:r w:rsidR="00AC4BE5">
        <w:rPr>
          <w:noProof/>
        </w:rPr>
        <w:t>3</w:t>
      </w:r>
      <w:r>
        <w:fldChar w:fldCharType="end"/>
      </w:r>
      <w:r>
        <w:t>.</w:t>
      </w:r>
    </w:p>
    <w:p w14:paraId="63469BA3" w14:textId="7A778F37" w:rsidR="0032724E" w:rsidRDefault="0032724E" w:rsidP="0032724E">
      <w:pPr>
        <w:pStyle w:val="Caption"/>
        <w:tabs>
          <w:tab w:val="left" w:pos="1134"/>
        </w:tabs>
        <w:ind w:left="1134" w:hanging="1134"/>
        <w:jc w:val="both"/>
      </w:pPr>
      <w:bookmarkStart w:id="71" w:name="_Ref497979354"/>
      <w:bookmarkStart w:id="72" w:name="_Toc502833021"/>
      <w:r w:rsidRPr="00B85E97">
        <w:t xml:space="preserve">Table </w:t>
      </w:r>
      <w:r w:rsidR="00AC4BE5">
        <w:fldChar w:fldCharType="begin"/>
      </w:r>
      <w:r w:rsidR="00AC4BE5">
        <w:instrText xml:space="preserve"> SEQ Table \* ARABIC </w:instrText>
      </w:r>
      <w:r w:rsidR="00AC4BE5">
        <w:fldChar w:fldCharType="separate"/>
      </w:r>
      <w:r w:rsidR="00AC4BE5">
        <w:rPr>
          <w:noProof/>
        </w:rPr>
        <w:t>3</w:t>
      </w:r>
      <w:r w:rsidR="00AC4BE5">
        <w:rPr>
          <w:noProof/>
        </w:rPr>
        <w:fldChar w:fldCharType="end"/>
      </w:r>
      <w:bookmarkEnd w:id="71"/>
      <w:r w:rsidRPr="00183E4D">
        <w:tab/>
        <w:t>Summary of the economic evaluation</w:t>
      </w:r>
      <w:bookmarkEnd w:id="72"/>
    </w:p>
    <w:tbl>
      <w:tblPr>
        <w:tblStyle w:val="TableGrid1"/>
        <w:tblW w:w="5000" w:type="pct"/>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3185"/>
        <w:gridCol w:w="6057"/>
      </w:tblGrid>
      <w:tr w:rsidR="0032724E" w:rsidRPr="00183E4D" w14:paraId="4AE03E9C" w14:textId="77777777" w:rsidTr="004D6D0A">
        <w:trPr>
          <w:cnfStyle w:val="100000000000" w:firstRow="1" w:lastRow="0" w:firstColumn="0" w:lastColumn="0" w:oddVBand="0" w:evenVBand="0" w:oddHBand="0" w:evenHBand="0" w:firstRowFirstColumn="0" w:firstRowLastColumn="0" w:lastRowFirstColumn="0" w:lastRowLastColumn="0"/>
          <w:trHeight w:val="20"/>
          <w:tblHeader/>
        </w:trPr>
        <w:tc>
          <w:tcPr>
            <w:tcW w:w="1723" w:type="pct"/>
          </w:tcPr>
          <w:p w14:paraId="26CDB051" w14:textId="77777777" w:rsidR="0032724E" w:rsidRPr="00183E4D" w:rsidRDefault="0032724E" w:rsidP="003929ED">
            <w:pPr>
              <w:pStyle w:val="Tabletext1"/>
              <w:rPr>
                <w:b/>
              </w:rPr>
            </w:pPr>
            <w:r w:rsidRPr="00183E4D">
              <w:rPr>
                <w:b/>
              </w:rPr>
              <w:t>Perspective</w:t>
            </w:r>
          </w:p>
        </w:tc>
        <w:tc>
          <w:tcPr>
            <w:tcW w:w="3277" w:type="pct"/>
          </w:tcPr>
          <w:p w14:paraId="3BF1EB64" w14:textId="77777777" w:rsidR="0032724E" w:rsidRPr="00E07E81" w:rsidRDefault="0032724E" w:rsidP="003929ED">
            <w:pPr>
              <w:pStyle w:val="Tabletext1"/>
            </w:pPr>
            <w:r>
              <w:t>Australian health care</w:t>
            </w:r>
          </w:p>
        </w:tc>
      </w:tr>
      <w:tr w:rsidR="0032724E" w:rsidRPr="00183E4D" w14:paraId="6C1856FC" w14:textId="77777777" w:rsidTr="004D6D0A">
        <w:trPr>
          <w:trHeight w:val="20"/>
        </w:trPr>
        <w:tc>
          <w:tcPr>
            <w:tcW w:w="1723" w:type="pct"/>
          </w:tcPr>
          <w:p w14:paraId="17CEB400" w14:textId="77777777" w:rsidR="0032724E" w:rsidRPr="00183E4D" w:rsidRDefault="0032724E" w:rsidP="003929ED">
            <w:pPr>
              <w:pStyle w:val="Tabletext1"/>
              <w:rPr>
                <w:b/>
              </w:rPr>
            </w:pPr>
            <w:r w:rsidRPr="00183E4D">
              <w:rPr>
                <w:b/>
              </w:rPr>
              <w:t>Comparator</w:t>
            </w:r>
          </w:p>
        </w:tc>
        <w:tc>
          <w:tcPr>
            <w:tcW w:w="3277" w:type="pct"/>
          </w:tcPr>
          <w:p w14:paraId="6FDC28DB" w14:textId="77777777" w:rsidR="0032724E" w:rsidRPr="00E07E81" w:rsidRDefault="0032724E" w:rsidP="003929ED">
            <w:pPr>
              <w:pStyle w:val="Tabletext1"/>
            </w:pPr>
            <w:r>
              <w:t>AFC, FSH and E2 tests</w:t>
            </w:r>
          </w:p>
        </w:tc>
      </w:tr>
      <w:tr w:rsidR="0032724E" w:rsidRPr="00183E4D" w14:paraId="7B0870A1" w14:textId="77777777" w:rsidTr="004D6D0A">
        <w:trPr>
          <w:trHeight w:val="20"/>
        </w:trPr>
        <w:tc>
          <w:tcPr>
            <w:tcW w:w="1723" w:type="pct"/>
          </w:tcPr>
          <w:p w14:paraId="7CCE0471" w14:textId="77777777" w:rsidR="0032724E" w:rsidRPr="003B5E92" w:rsidRDefault="0032724E" w:rsidP="003929ED">
            <w:pPr>
              <w:pStyle w:val="Tabletext1"/>
              <w:rPr>
                <w:b/>
              </w:rPr>
            </w:pPr>
            <w:r w:rsidRPr="003B5E92">
              <w:rPr>
                <w:b/>
              </w:rPr>
              <w:t>Type of economic evaluation</w:t>
            </w:r>
          </w:p>
        </w:tc>
        <w:tc>
          <w:tcPr>
            <w:tcW w:w="3277" w:type="pct"/>
          </w:tcPr>
          <w:p w14:paraId="068D6FD8" w14:textId="68817890" w:rsidR="0032724E" w:rsidRPr="003B5E92" w:rsidRDefault="0032724E" w:rsidP="003929ED">
            <w:pPr>
              <w:pStyle w:val="Tabletext1"/>
            </w:pPr>
            <w:r w:rsidRPr="003B5E92">
              <w:t>Cost</w:t>
            </w:r>
            <w:r w:rsidR="00DF36E4">
              <w:t>-</w:t>
            </w:r>
            <w:r w:rsidRPr="003B5E92">
              <w:t>analysis</w:t>
            </w:r>
          </w:p>
        </w:tc>
      </w:tr>
      <w:tr w:rsidR="0032724E" w:rsidRPr="00183E4D" w14:paraId="5A30E3B3" w14:textId="77777777" w:rsidTr="004D6D0A">
        <w:trPr>
          <w:trHeight w:val="20"/>
        </w:trPr>
        <w:tc>
          <w:tcPr>
            <w:tcW w:w="1723" w:type="pct"/>
          </w:tcPr>
          <w:p w14:paraId="0DD5D56A" w14:textId="77777777" w:rsidR="0032724E" w:rsidRPr="00183E4D" w:rsidRDefault="0032724E" w:rsidP="003929ED">
            <w:pPr>
              <w:pStyle w:val="Tabletext1"/>
              <w:rPr>
                <w:b/>
              </w:rPr>
            </w:pPr>
            <w:r w:rsidRPr="00183E4D">
              <w:rPr>
                <w:b/>
              </w:rPr>
              <w:t>Sources of evidence</w:t>
            </w:r>
          </w:p>
        </w:tc>
        <w:tc>
          <w:tcPr>
            <w:tcW w:w="3277" w:type="pct"/>
          </w:tcPr>
          <w:p w14:paraId="5F68FFF9" w14:textId="77777777" w:rsidR="0032724E" w:rsidRPr="00E07E81" w:rsidRDefault="0032724E" w:rsidP="003929ED">
            <w:pPr>
              <w:pStyle w:val="Tabletext1"/>
            </w:pPr>
            <w:r w:rsidRPr="00E07E81">
              <w:t>Systematic review</w:t>
            </w:r>
          </w:p>
        </w:tc>
      </w:tr>
      <w:tr w:rsidR="0032724E" w:rsidRPr="00183E4D" w14:paraId="594A4AB6" w14:textId="77777777" w:rsidTr="004D6D0A">
        <w:trPr>
          <w:trHeight w:val="20"/>
        </w:trPr>
        <w:tc>
          <w:tcPr>
            <w:tcW w:w="1723" w:type="pct"/>
            <w:hideMark/>
          </w:tcPr>
          <w:p w14:paraId="209C279D" w14:textId="77777777" w:rsidR="0032724E" w:rsidRPr="00183E4D" w:rsidRDefault="0032724E" w:rsidP="003929ED">
            <w:pPr>
              <w:pStyle w:val="Tabletext1"/>
              <w:rPr>
                <w:b/>
              </w:rPr>
            </w:pPr>
            <w:r w:rsidRPr="00183E4D">
              <w:rPr>
                <w:b/>
              </w:rPr>
              <w:t>Outcomes</w:t>
            </w:r>
          </w:p>
        </w:tc>
        <w:tc>
          <w:tcPr>
            <w:tcW w:w="3277" w:type="pct"/>
          </w:tcPr>
          <w:p w14:paraId="21A886DB" w14:textId="08DDA07C" w:rsidR="0032724E" w:rsidRPr="00E07E81" w:rsidRDefault="003E7F22" w:rsidP="003929ED">
            <w:pPr>
              <w:pStyle w:val="Tabletext1"/>
            </w:pPr>
            <w:r>
              <w:t>No health outcomes, cost per patient estimated only</w:t>
            </w:r>
          </w:p>
        </w:tc>
      </w:tr>
      <w:tr w:rsidR="0032724E" w:rsidRPr="00183E4D" w14:paraId="1B1D42DA" w14:textId="77777777" w:rsidTr="004D6D0A">
        <w:trPr>
          <w:trHeight w:val="20"/>
        </w:trPr>
        <w:tc>
          <w:tcPr>
            <w:tcW w:w="1723" w:type="pct"/>
            <w:hideMark/>
          </w:tcPr>
          <w:p w14:paraId="12210914" w14:textId="77777777" w:rsidR="0032724E" w:rsidRPr="00183E4D" w:rsidRDefault="0032724E" w:rsidP="003929ED">
            <w:pPr>
              <w:pStyle w:val="Tabletext1"/>
              <w:rPr>
                <w:b/>
              </w:rPr>
            </w:pPr>
            <w:r w:rsidRPr="00183E4D">
              <w:rPr>
                <w:b/>
              </w:rPr>
              <w:t>Methods used to generate results</w:t>
            </w:r>
          </w:p>
        </w:tc>
        <w:tc>
          <w:tcPr>
            <w:tcW w:w="3277" w:type="pct"/>
          </w:tcPr>
          <w:p w14:paraId="1865F964" w14:textId="1C51C7EA" w:rsidR="0032724E" w:rsidRPr="00E07E81" w:rsidRDefault="0032724E" w:rsidP="003929ED">
            <w:pPr>
              <w:pStyle w:val="Tabletext1"/>
            </w:pPr>
            <w:r>
              <w:t>Investigative pathway cost</w:t>
            </w:r>
            <w:r w:rsidR="00DF36E4">
              <w:t>-</w:t>
            </w:r>
            <w:r>
              <w:t>comparison</w:t>
            </w:r>
          </w:p>
        </w:tc>
      </w:tr>
      <w:tr w:rsidR="0032724E" w:rsidRPr="00183E4D" w14:paraId="4AD384EF" w14:textId="77777777" w:rsidTr="004D6D0A">
        <w:trPr>
          <w:trHeight w:val="20"/>
        </w:trPr>
        <w:tc>
          <w:tcPr>
            <w:tcW w:w="1723" w:type="pct"/>
            <w:hideMark/>
          </w:tcPr>
          <w:p w14:paraId="4C9A70A6" w14:textId="77777777" w:rsidR="0032724E" w:rsidRPr="00183E4D" w:rsidRDefault="0032724E" w:rsidP="003929ED">
            <w:pPr>
              <w:pStyle w:val="Tabletext1"/>
              <w:rPr>
                <w:b/>
              </w:rPr>
            </w:pPr>
            <w:r w:rsidRPr="00183E4D">
              <w:rPr>
                <w:b/>
              </w:rPr>
              <w:t>Software packages used</w:t>
            </w:r>
          </w:p>
        </w:tc>
        <w:tc>
          <w:tcPr>
            <w:tcW w:w="3277" w:type="pct"/>
          </w:tcPr>
          <w:p w14:paraId="5BE066C5" w14:textId="153F6164" w:rsidR="0032724E" w:rsidRPr="00E07E81" w:rsidRDefault="0032724E" w:rsidP="003929ED">
            <w:pPr>
              <w:pStyle w:val="Tabletext1"/>
            </w:pPr>
            <w:r>
              <w:t>Microsoft Excel 2013</w:t>
            </w:r>
          </w:p>
        </w:tc>
      </w:tr>
    </w:tbl>
    <w:p w14:paraId="2F9F97D9" w14:textId="0878B0E2" w:rsidR="0032724E" w:rsidRPr="0023752D" w:rsidRDefault="0032724E" w:rsidP="0032724E">
      <w:pPr>
        <w:pStyle w:val="TableNotes1"/>
        <w:rPr>
          <w:sz w:val="18"/>
          <w:szCs w:val="18"/>
        </w:rPr>
      </w:pPr>
      <w:r w:rsidRPr="0023752D">
        <w:rPr>
          <w:sz w:val="18"/>
          <w:szCs w:val="18"/>
        </w:rPr>
        <w:t>AFC = antral follicle count; E2 = estradiol; FSH = follicle</w:t>
      </w:r>
      <w:r w:rsidR="00DE6DD5">
        <w:rPr>
          <w:sz w:val="18"/>
          <w:szCs w:val="18"/>
        </w:rPr>
        <w:t>-</w:t>
      </w:r>
      <w:r w:rsidRPr="0023752D">
        <w:rPr>
          <w:sz w:val="18"/>
          <w:szCs w:val="18"/>
        </w:rPr>
        <w:t>stimulating hormone</w:t>
      </w:r>
    </w:p>
    <w:bookmarkEnd w:id="70"/>
    <w:p w14:paraId="18911D33" w14:textId="77777777" w:rsidR="0032724E" w:rsidRPr="00183E4D" w:rsidRDefault="0032724E" w:rsidP="0032724E">
      <w:pPr>
        <w:jc w:val="both"/>
      </w:pPr>
      <w:r w:rsidRPr="00183E4D">
        <w:t xml:space="preserve">The overall costs and incremental costs as calculated for the </w:t>
      </w:r>
      <w:r>
        <w:t xml:space="preserve">proposed use of AMH </w:t>
      </w:r>
      <w:r w:rsidRPr="00183E4D">
        <w:t xml:space="preserve">and </w:t>
      </w:r>
      <w:r>
        <w:t xml:space="preserve">the </w:t>
      </w:r>
      <w:r w:rsidRPr="00183E4D">
        <w:t>comparator</w:t>
      </w:r>
      <w:r>
        <w:t xml:space="preserve"> </w:t>
      </w:r>
      <w:r w:rsidRPr="00183E4D">
        <w:t>are shown in</w:t>
      </w:r>
      <w:r>
        <w:t xml:space="preserve"> </w:t>
      </w:r>
      <w:r>
        <w:fldChar w:fldCharType="begin"/>
      </w:r>
      <w:r>
        <w:instrText xml:space="preserve"> REF _Ref497979485 \h </w:instrText>
      </w:r>
      <w:r>
        <w:fldChar w:fldCharType="separate"/>
      </w:r>
      <w:r w:rsidR="00AC4BE5">
        <w:t xml:space="preserve">Table </w:t>
      </w:r>
      <w:r w:rsidR="00AC4BE5">
        <w:rPr>
          <w:noProof/>
        </w:rPr>
        <w:t>4</w:t>
      </w:r>
      <w:r>
        <w:fldChar w:fldCharType="end"/>
      </w:r>
      <w:r w:rsidRPr="00183E4D">
        <w:t>.</w:t>
      </w:r>
      <w:r>
        <w:t xml:space="preserve"> The use of the proposed AMH test would be expected to increase the cost of current practice by $100 per patient, if listed at the proposed fee.</w:t>
      </w:r>
    </w:p>
    <w:p w14:paraId="1219FE4E" w14:textId="77777777" w:rsidR="0032724E" w:rsidRDefault="0032724E" w:rsidP="0032724E">
      <w:pPr>
        <w:pStyle w:val="Caption"/>
        <w:keepNext/>
      </w:pPr>
      <w:bookmarkStart w:id="73" w:name="_Ref497979485"/>
      <w:bookmarkStart w:id="74" w:name="_Toc502833022"/>
      <w:r>
        <w:t xml:space="preserve">Table </w:t>
      </w:r>
      <w:r w:rsidR="00AC4BE5">
        <w:fldChar w:fldCharType="begin"/>
      </w:r>
      <w:r w:rsidR="00AC4BE5">
        <w:instrText xml:space="preserve"> SEQ Table \* ARABIC </w:instrText>
      </w:r>
      <w:r w:rsidR="00AC4BE5">
        <w:fldChar w:fldCharType="separate"/>
      </w:r>
      <w:r w:rsidR="00AC4BE5">
        <w:rPr>
          <w:noProof/>
        </w:rPr>
        <w:t>4</w:t>
      </w:r>
      <w:r w:rsidR="00AC4BE5">
        <w:rPr>
          <w:noProof/>
        </w:rPr>
        <w:fldChar w:fldCharType="end"/>
      </w:r>
      <w:bookmarkEnd w:id="73"/>
      <w:r>
        <w:tab/>
      </w:r>
      <w:r>
        <w:tab/>
        <w:t>Costs associated with testing ovarian reserve, and incremental cost (per patient)</w:t>
      </w:r>
      <w:bookmarkEnd w:id="74"/>
    </w:p>
    <w:tbl>
      <w:tblPr>
        <w:tblStyle w:val="TableGrid"/>
        <w:tblW w:w="5000" w:type="pct"/>
        <w:tblLook w:val="04A0" w:firstRow="1" w:lastRow="0" w:firstColumn="1" w:lastColumn="0" w:noHBand="0" w:noVBand="1"/>
        <w:tblDescription w:val="Estimated cost per comparator service"/>
      </w:tblPr>
      <w:tblGrid>
        <w:gridCol w:w="4678"/>
        <w:gridCol w:w="2283"/>
        <w:gridCol w:w="2281"/>
      </w:tblGrid>
      <w:tr w:rsidR="0032724E" w14:paraId="294558DE" w14:textId="77777777" w:rsidTr="003929ED">
        <w:trPr>
          <w:tblHeader/>
        </w:trPr>
        <w:tc>
          <w:tcPr>
            <w:tcW w:w="2531" w:type="pct"/>
          </w:tcPr>
          <w:p w14:paraId="0A3DA279" w14:textId="49890211" w:rsidR="0032724E" w:rsidRPr="00CF7286" w:rsidRDefault="005A30D7" w:rsidP="003E7F22">
            <w:pPr>
              <w:pStyle w:val="Tabletext1"/>
              <w:ind w:left="0"/>
              <w:rPr>
                <w:lang w:eastAsia="en-US"/>
              </w:rPr>
            </w:pPr>
            <w:r>
              <w:rPr>
                <w:lang w:eastAsia="en-US"/>
              </w:rPr>
              <w:t> </w:t>
            </w:r>
          </w:p>
        </w:tc>
        <w:tc>
          <w:tcPr>
            <w:tcW w:w="1235" w:type="pct"/>
          </w:tcPr>
          <w:p w14:paraId="798EAEE8" w14:textId="73F78A4E" w:rsidR="0032724E" w:rsidRPr="003E7F22" w:rsidRDefault="0032724E" w:rsidP="003E7F22">
            <w:pPr>
              <w:pStyle w:val="Tabletext1"/>
              <w:ind w:left="0"/>
              <w:rPr>
                <w:b/>
                <w:vertAlign w:val="superscript"/>
              </w:rPr>
            </w:pPr>
            <w:r w:rsidRPr="003E7F22">
              <w:rPr>
                <w:b/>
              </w:rPr>
              <w:t>AMH + current practice</w:t>
            </w:r>
            <w:r w:rsidR="00FB3A95" w:rsidRPr="003E7F22">
              <w:rPr>
                <w:vertAlign w:val="superscript"/>
              </w:rPr>
              <w:t>a</w:t>
            </w:r>
          </w:p>
        </w:tc>
        <w:tc>
          <w:tcPr>
            <w:tcW w:w="1234" w:type="pct"/>
          </w:tcPr>
          <w:p w14:paraId="71D8E7E6" w14:textId="77777777" w:rsidR="0032724E" w:rsidRPr="003E7F22" w:rsidRDefault="0032724E" w:rsidP="003E7F22">
            <w:pPr>
              <w:pStyle w:val="Tabletext1"/>
              <w:ind w:left="0"/>
              <w:rPr>
                <w:b/>
              </w:rPr>
            </w:pPr>
            <w:r w:rsidRPr="003E7F22">
              <w:rPr>
                <w:b/>
              </w:rPr>
              <w:t>Current practice</w:t>
            </w:r>
          </w:p>
        </w:tc>
      </w:tr>
      <w:tr w:rsidR="0032724E" w14:paraId="3E534094" w14:textId="77777777" w:rsidTr="003929ED">
        <w:tc>
          <w:tcPr>
            <w:tcW w:w="2531" w:type="pct"/>
          </w:tcPr>
          <w:p w14:paraId="646F0F4B" w14:textId="77777777" w:rsidR="0032724E" w:rsidRDefault="0032724E" w:rsidP="003E7F22">
            <w:pPr>
              <w:pStyle w:val="Tabletext1"/>
              <w:ind w:left="0"/>
              <w:rPr>
                <w:lang w:eastAsia="en-US"/>
              </w:rPr>
            </w:pPr>
            <w:r>
              <w:rPr>
                <w:lang w:eastAsia="en-US"/>
              </w:rPr>
              <w:t>Specialist consultations for referral and review</w:t>
            </w:r>
          </w:p>
        </w:tc>
        <w:tc>
          <w:tcPr>
            <w:tcW w:w="1235" w:type="pct"/>
          </w:tcPr>
          <w:p w14:paraId="13AA9780" w14:textId="77777777" w:rsidR="0032724E" w:rsidRPr="00031338" w:rsidRDefault="0032724E" w:rsidP="003E7F22">
            <w:pPr>
              <w:pStyle w:val="Tabletext1"/>
              <w:ind w:left="0"/>
            </w:pPr>
            <w:r>
              <w:t>$128.55</w:t>
            </w:r>
          </w:p>
        </w:tc>
        <w:tc>
          <w:tcPr>
            <w:tcW w:w="1234" w:type="pct"/>
            <w:vAlign w:val="bottom"/>
          </w:tcPr>
          <w:p w14:paraId="1282C885" w14:textId="77777777" w:rsidR="0032724E" w:rsidRDefault="0032724E" w:rsidP="003E7F22">
            <w:pPr>
              <w:pStyle w:val="Tabletext1"/>
              <w:ind w:left="0"/>
            </w:pPr>
            <w:r>
              <w:t>$128.55</w:t>
            </w:r>
          </w:p>
        </w:tc>
      </w:tr>
      <w:tr w:rsidR="0032724E" w14:paraId="7C9CC00A" w14:textId="77777777" w:rsidTr="003929ED">
        <w:tc>
          <w:tcPr>
            <w:tcW w:w="2531" w:type="pct"/>
          </w:tcPr>
          <w:p w14:paraId="1AE13254" w14:textId="77777777" w:rsidR="0032724E" w:rsidRDefault="0032724E" w:rsidP="003E7F22">
            <w:pPr>
              <w:pStyle w:val="Tabletext1"/>
              <w:ind w:left="0"/>
              <w:rPr>
                <w:lang w:eastAsia="en-US"/>
              </w:rPr>
            </w:pPr>
            <w:r>
              <w:rPr>
                <w:lang w:eastAsia="en-US"/>
              </w:rPr>
              <w:t>Test costs</w:t>
            </w:r>
          </w:p>
        </w:tc>
        <w:tc>
          <w:tcPr>
            <w:tcW w:w="1235" w:type="pct"/>
          </w:tcPr>
          <w:p w14:paraId="4C547BB5" w14:textId="77777777" w:rsidR="0032724E" w:rsidRPr="00031338" w:rsidRDefault="0032724E" w:rsidP="003E7F22">
            <w:pPr>
              <w:pStyle w:val="Tabletext1"/>
              <w:ind w:left="0"/>
            </w:pPr>
            <w:r>
              <w:t>$266.74</w:t>
            </w:r>
          </w:p>
        </w:tc>
        <w:tc>
          <w:tcPr>
            <w:tcW w:w="1234" w:type="pct"/>
            <w:vAlign w:val="bottom"/>
          </w:tcPr>
          <w:p w14:paraId="601ABBA0" w14:textId="77777777" w:rsidR="0032724E" w:rsidRDefault="0032724E" w:rsidP="003E7F22">
            <w:pPr>
              <w:pStyle w:val="Tabletext1"/>
              <w:ind w:left="0"/>
            </w:pPr>
            <w:r>
              <w:t>$166.74</w:t>
            </w:r>
          </w:p>
        </w:tc>
      </w:tr>
      <w:tr w:rsidR="0032724E" w:rsidRPr="009C3C93" w14:paraId="5CE675D9" w14:textId="77777777" w:rsidTr="003929ED">
        <w:tc>
          <w:tcPr>
            <w:tcW w:w="2531" w:type="pct"/>
          </w:tcPr>
          <w:p w14:paraId="24803473" w14:textId="77777777" w:rsidR="0032724E" w:rsidRPr="009C3C93" w:rsidRDefault="0032724E" w:rsidP="003E7F22">
            <w:pPr>
              <w:pStyle w:val="Tabletext1"/>
              <w:ind w:left="0"/>
              <w:rPr>
                <w:lang w:eastAsia="en-US"/>
              </w:rPr>
            </w:pPr>
            <w:r w:rsidRPr="009C3C93">
              <w:rPr>
                <w:lang w:eastAsia="en-US"/>
              </w:rPr>
              <w:t>Total cost per patient</w:t>
            </w:r>
          </w:p>
        </w:tc>
        <w:tc>
          <w:tcPr>
            <w:tcW w:w="1235" w:type="pct"/>
            <w:tcBorders>
              <w:top w:val="double" w:sz="4" w:space="0" w:color="auto"/>
              <w:bottom w:val="single" w:sz="4" w:space="0" w:color="auto"/>
            </w:tcBorders>
          </w:tcPr>
          <w:p w14:paraId="6568DA25" w14:textId="77777777" w:rsidR="0032724E" w:rsidRPr="009C3C93" w:rsidRDefault="0032724E" w:rsidP="003E7F22">
            <w:pPr>
              <w:pStyle w:val="Tabletext1"/>
              <w:ind w:left="0"/>
            </w:pPr>
            <w:r>
              <w:t>$</w:t>
            </w:r>
            <w:r w:rsidRPr="009C3C93">
              <w:t>3</w:t>
            </w:r>
            <w:r>
              <w:t>95.29</w:t>
            </w:r>
          </w:p>
        </w:tc>
        <w:tc>
          <w:tcPr>
            <w:tcW w:w="1234" w:type="pct"/>
            <w:tcBorders>
              <w:top w:val="double" w:sz="4" w:space="0" w:color="auto"/>
              <w:bottom w:val="single" w:sz="4" w:space="0" w:color="auto"/>
            </w:tcBorders>
            <w:vAlign w:val="bottom"/>
          </w:tcPr>
          <w:p w14:paraId="0285AA64" w14:textId="77777777" w:rsidR="0032724E" w:rsidRPr="009C3C93" w:rsidRDefault="0032724E" w:rsidP="003E7F22">
            <w:pPr>
              <w:pStyle w:val="Tabletext1"/>
              <w:ind w:left="0"/>
            </w:pPr>
            <w:r w:rsidRPr="009C3C93">
              <w:t>$2</w:t>
            </w:r>
            <w:r>
              <w:t>95.29</w:t>
            </w:r>
          </w:p>
        </w:tc>
      </w:tr>
      <w:tr w:rsidR="0032724E" w:rsidRPr="00CE30AB" w14:paraId="455F843D" w14:textId="77777777" w:rsidTr="003929ED">
        <w:tc>
          <w:tcPr>
            <w:tcW w:w="2531" w:type="pct"/>
          </w:tcPr>
          <w:p w14:paraId="1043F688" w14:textId="77777777" w:rsidR="0032724E" w:rsidRPr="00CE30AB" w:rsidRDefault="0032724E" w:rsidP="003E7F22">
            <w:pPr>
              <w:pStyle w:val="Tabletext1"/>
              <w:ind w:left="0"/>
              <w:rPr>
                <w:b/>
                <w:lang w:eastAsia="en-US"/>
              </w:rPr>
            </w:pPr>
            <w:r>
              <w:rPr>
                <w:b/>
                <w:lang w:eastAsia="en-US"/>
              </w:rPr>
              <w:t>Incremental cost per patient</w:t>
            </w:r>
          </w:p>
        </w:tc>
        <w:tc>
          <w:tcPr>
            <w:tcW w:w="1235" w:type="pct"/>
            <w:tcBorders>
              <w:right w:val="nil"/>
            </w:tcBorders>
          </w:tcPr>
          <w:p w14:paraId="1A556AB8" w14:textId="77777777" w:rsidR="0032724E" w:rsidRPr="00CE30AB" w:rsidRDefault="0032724E" w:rsidP="005A30D7">
            <w:pPr>
              <w:pStyle w:val="Tabletext1"/>
              <w:rPr>
                <w:b/>
              </w:rPr>
            </w:pPr>
          </w:p>
        </w:tc>
        <w:tc>
          <w:tcPr>
            <w:tcW w:w="1234" w:type="pct"/>
            <w:tcBorders>
              <w:left w:val="nil"/>
            </w:tcBorders>
            <w:vAlign w:val="bottom"/>
          </w:tcPr>
          <w:p w14:paraId="59EBC7DE" w14:textId="77777777" w:rsidR="0032724E" w:rsidRPr="00CE30AB" w:rsidRDefault="0032724E" w:rsidP="003E7F22">
            <w:pPr>
              <w:pStyle w:val="Tabletext1"/>
              <w:ind w:left="0"/>
              <w:rPr>
                <w:b/>
              </w:rPr>
            </w:pPr>
            <w:r>
              <w:rPr>
                <w:b/>
              </w:rPr>
              <w:t>$100.00</w:t>
            </w:r>
          </w:p>
        </w:tc>
      </w:tr>
    </w:tbl>
    <w:p w14:paraId="2C1453FD" w14:textId="237CCBB2" w:rsidR="0032724E" w:rsidRPr="0023752D" w:rsidRDefault="0032724E" w:rsidP="0023752D">
      <w:pPr>
        <w:pStyle w:val="TableNotes1"/>
        <w:spacing w:after="0"/>
        <w:rPr>
          <w:sz w:val="18"/>
          <w:szCs w:val="18"/>
        </w:rPr>
      </w:pPr>
      <w:r w:rsidRPr="0023752D">
        <w:rPr>
          <w:sz w:val="18"/>
          <w:szCs w:val="18"/>
        </w:rPr>
        <w:t xml:space="preserve">AMH = </w:t>
      </w:r>
      <w:r w:rsidR="00C41BAD" w:rsidRPr="0023752D">
        <w:rPr>
          <w:sz w:val="18"/>
          <w:szCs w:val="18"/>
        </w:rPr>
        <w:t>anti-Müllerian hormone</w:t>
      </w:r>
      <w:r w:rsidRPr="0023752D">
        <w:rPr>
          <w:sz w:val="18"/>
          <w:szCs w:val="18"/>
        </w:rPr>
        <w:t>; AFC = antral follicle count; E2 = estradiol; FSH = follicle</w:t>
      </w:r>
      <w:r w:rsidR="00DE6DD5">
        <w:rPr>
          <w:sz w:val="18"/>
          <w:szCs w:val="18"/>
        </w:rPr>
        <w:t>-</w:t>
      </w:r>
      <w:r w:rsidRPr="0023752D">
        <w:rPr>
          <w:sz w:val="18"/>
          <w:szCs w:val="18"/>
        </w:rPr>
        <w:t>stimulating hormone</w:t>
      </w:r>
    </w:p>
    <w:p w14:paraId="3292A5AA" w14:textId="601539B6" w:rsidR="0023752D" w:rsidRPr="0023752D" w:rsidRDefault="00FB3A95" w:rsidP="0023752D">
      <w:pPr>
        <w:pStyle w:val="TableNotes1"/>
        <w:rPr>
          <w:sz w:val="18"/>
          <w:szCs w:val="18"/>
        </w:rPr>
      </w:pPr>
      <w:r>
        <w:rPr>
          <w:sz w:val="18"/>
          <w:szCs w:val="18"/>
          <w:vertAlign w:val="superscript"/>
        </w:rPr>
        <w:t>a</w:t>
      </w:r>
      <w:r w:rsidR="0023752D" w:rsidRPr="0023752D">
        <w:rPr>
          <w:sz w:val="18"/>
          <w:szCs w:val="18"/>
        </w:rPr>
        <w:t xml:space="preserve"> AFC and FSH+E2 measurements are considered as current practice for ovarian reserve testing and the intervention includes all these tests and AMH.</w:t>
      </w:r>
    </w:p>
    <w:p w14:paraId="22E6CB95" w14:textId="04BA5D3D" w:rsidR="0032724E" w:rsidRDefault="0032724E" w:rsidP="0032724E">
      <w:pPr>
        <w:jc w:val="both"/>
      </w:pPr>
      <w:r>
        <w:t>The base</w:t>
      </w:r>
      <w:r w:rsidR="00DF36E4">
        <w:t xml:space="preserve"> </w:t>
      </w:r>
      <w:r>
        <w:t xml:space="preserve">case analysis assumes AMH is used as an additional test to the current practice (AFC and FSH+E2). However, alternative scenarios are costed where AMH replaces one of the existing tests used to estimate ovarian reserve. If AMH were to replace AFC in the current practice it </w:t>
      </w:r>
      <w:r w:rsidR="003E7F22">
        <w:t>would</w:t>
      </w:r>
      <w:r>
        <w:t xml:space="preserve"> result in a </w:t>
      </w:r>
      <w:r w:rsidR="003E7F22">
        <w:t>cost saving of $17 per patient compared to existing practice</w:t>
      </w:r>
      <w:r>
        <w:t>. However, if A</w:t>
      </w:r>
      <w:r w:rsidR="003E7F22">
        <w:t xml:space="preserve">MH were used to replace FSH+E2, </w:t>
      </w:r>
      <w:r>
        <w:t xml:space="preserve">i.e. </w:t>
      </w:r>
      <w:r w:rsidR="003E7F22">
        <w:t xml:space="preserve">the </w:t>
      </w:r>
      <w:r>
        <w:t>proposed interv</w:t>
      </w:r>
      <w:r w:rsidR="003E7F22">
        <w:t>ention being use of AMH and AFC</w:t>
      </w:r>
      <w:r>
        <w:t>, it would re</w:t>
      </w:r>
      <w:r w:rsidR="003E7F22">
        <w:t>sult in a net cost increase.</w:t>
      </w:r>
    </w:p>
    <w:p w14:paraId="0B1CCF3A" w14:textId="1CD9518B" w:rsidR="0032724E" w:rsidRPr="00183E4D" w:rsidRDefault="004446E6" w:rsidP="0032724E">
      <w:pPr>
        <w:pStyle w:val="Heading3"/>
      </w:pPr>
      <w:bookmarkStart w:id="75" w:name="_Toc259437725"/>
      <w:bookmarkStart w:id="76" w:name="_Toc395200753"/>
      <w:bookmarkStart w:id="77" w:name="_Toc502832889"/>
      <w:r>
        <w:t>Estimated extent of use and financial i</w:t>
      </w:r>
      <w:r w:rsidR="0032724E" w:rsidRPr="00183E4D">
        <w:t>m</w:t>
      </w:r>
      <w:bookmarkEnd w:id="75"/>
      <w:r w:rsidR="0032724E" w:rsidRPr="00183E4D">
        <w:t>plications</w:t>
      </w:r>
      <w:bookmarkEnd w:id="76"/>
      <w:bookmarkEnd w:id="77"/>
    </w:p>
    <w:p w14:paraId="6B468B1B" w14:textId="16F305C6" w:rsidR="0032724E" w:rsidRPr="001F59D5" w:rsidRDefault="0032724E" w:rsidP="0032724E">
      <w:pPr>
        <w:jc w:val="both"/>
      </w:pPr>
      <w:r w:rsidRPr="001F59D5">
        <w:t>An epidemiological approach has been used to estimate the</w:t>
      </w:r>
      <w:r>
        <w:t xml:space="preserve"> eligible population. Uptake rates, and the use of multiple tests per patient are also incorporated into the overall estimates of the </w:t>
      </w:r>
      <w:r w:rsidRPr="001F59D5">
        <w:t xml:space="preserve">financial implications of the proposed MBS funding of AMH testing to inform fertility management in female patients </w:t>
      </w:r>
      <w:r w:rsidR="003B6B21">
        <w:t>preceding or following</w:t>
      </w:r>
      <w:r w:rsidRPr="001F59D5">
        <w:t xml:space="preserve"> gonadotoxic treatment.</w:t>
      </w:r>
    </w:p>
    <w:p w14:paraId="0C537D01" w14:textId="344464AA" w:rsidR="0032724E" w:rsidRDefault="0032724E" w:rsidP="0032724E">
      <w:pPr>
        <w:jc w:val="both"/>
        <w:rPr>
          <w:sz w:val="24"/>
        </w:rPr>
      </w:pPr>
      <w:r>
        <w:lastRenderedPageBreak/>
        <w:t>The applicant has proposed the scheduled fee for an AMH test is $100. This is higher than the fee currently charged by many providers offering the service to privately fund</w:t>
      </w:r>
      <w:r w:rsidR="003E7F22">
        <w:t xml:space="preserve">ed patients, ranging from $55 to </w:t>
      </w:r>
      <w:r>
        <w:t>$98.</w:t>
      </w:r>
    </w:p>
    <w:p w14:paraId="79EF3BF1" w14:textId="6261CC2F" w:rsidR="0032724E" w:rsidRDefault="0032724E" w:rsidP="0032724E">
      <w:pPr>
        <w:jc w:val="both"/>
      </w:pPr>
      <w:r>
        <w:fldChar w:fldCharType="begin"/>
      </w:r>
      <w:r>
        <w:instrText xml:space="preserve"> REF _Ref497979677 \h </w:instrText>
      </w:r>
      <w:r>
        <w:fldChar w:fldCharType="separate"/>
      </w:r>
      <w:r w:rsidR="00AC4BE5">
        <w:t xml:space="preserve">Table </w:t>
      </w:r>
      <w:r w:rsidR="00AC4BE5">
        <w:rPr>
          <w:noProof/>
        </w:rPr>
        <w:t>5</w:t>
      </w:r>
      <w:r>
        <w:fldChar w:fldCharType="end"/>
      </w:r>
      <w:r>
        <w:t xml:space="preserve"> summarises the e</w:t>
      </w:r>
      <w:r w:rsidRPr="00965F16">
        <w:t>stimated costs of AMH testing</w:t>
      </w:r>
      <w:r w:rsidR="003E7F22">
        <w:t xml:space="preserve"> to the MBS, i.e. government expenditure, and patients, i.e. out-of-pocket expenditure</w:t>
      </w:r>
      <w:r>
        <w:t>. The base</w:t>
      </w:r>
      <w:r w:rsidR="00DF36E4">
        <w:t xml:space="preserve"> </w:t>
      </w:r>
      <w:r>
        <w:t>case analysis estimates that AMH testing will cost approximately $570,000 to the MBS each year.</w:t>
      </w:r>
    </w:p>
    <w:p w14:paraId="69DB8FAC" w14:textId="56C61147" w:rsidR="0032724E" w:rsidRDefault="0032724E" w:rsidP="0032724E">
      <w:pPr>
        <w:pStyle w:val="Caption"/>
        <w:keepNext/>
      </w:pPr>
      <w:bookmarkStart w:id="78" w:name="_Ref497979677"/>
      <w:bookmarkStart w:id="79" w:name="_Toc502833023"/>
      <w:r>
        <w:t xml:space="preserve">Table </w:t>
      </w:r>
      <w:r w:rsidR="00AC4BE5">
        <w:fldChar w:fldCharType="begin"/>
      </w:r>
      <w:r w:rsidR="00AC4BE5">
        <w:instrText xml:space="preserve"> SEQ Table \* ARABIC </w:instrText>
      </w:r>
      <w:r w:rsidR="00AC4BE5">
        <w:fldChar w:fldCharType="separate"/>
      </w:r>
      <w:r w:rsidR="00AC4BE5">
        <w:rPr>
          <w:noProof/>
        </w:rPr>
        <w:t>5</w:t>
      </w:r>
      <w:r w:rsidR="00AC4BE5">
        <w:rPr>
          <w:noProof/>
        </w:rPr>
        <w:fldChar w:fldCharType="end"/>
      </w:r>
      <w:bookmarkEnd w:id="78"/>
      <w:r>
        <w:tab/>
      </w:r>
      <w:r>
        <w:tab/>
        <w:t>Estim</w:t>
      </w:r>
      <w:r w:rsidR="0023752D">
        <w:t>ated costs of AMH testing, 2018–19 to 2022–</w:t>
      </w:r>
      <w:r>
        <w:t>23</w:t>
      </w:r>
      <w:bookmarkEnd w:id="79"/>
    </w:p>
    <w:tbl>
      <w:tblPr>
        <w:tblStyle w:val="TableGrid1"/>
        <w:tblW w:w="5000" w:type="pct"/>
        <w:tblLook w:val="04A0" w:firstRow="1" w:lastRow="0" w:firstColumn="1" w:lastColumn="0" w:noHBand="0" w:noVBand="1"/>
        <w:tblCaption w:val="Estimated costs of AMH testing, 2018 – 19 to 2022 – 23"/>
        <w:tblDescription w:val="Estimated costs of AMH testing, 2018 – 19 to 2022 – 23"/>
      </w:tblPr>
      <w:tblGrid>
        <w:gridCol w:w="3077"/>
        <w:gridCol w:w="1233"/>
        <w:gridCol w:w="1233"/>
        <w:gridCol w:w="1233"/>
        <w:gridCol w:w="1233"/>
        <w:gridCol w:w="1233"/>
      </w:tblGrid>
      <w:tr w:rsidR="0032724E" w:rsidRPr="00B51D5E" w14:paraId="7872006A" w14:textId="77777777" w:rsidTr="003929ED">
        <w:trPr>
          <w:cnfStyle w:val="100000000000" w:firstRow="1" w:lastRow="0" w:firstColumn="0" w:lastColumn="0" w:oddVBand="0" w:evenVBand="0" w:oddHBand="0" w:evenHBand="0" w:firstRowFirstColumn="0" w:firstRowLastColumn="0" w:lastRowFirstColumn="0" w:lastRowLastColumn="0"/>
          <w:trHeight w:val="255"/>
          <w:tblHeader/>
        </w:trPr>
        <w:tc>
          <w:tcPr>
            <w:tcW w:w="1664" w:type="pct"/>
            <w:hideMark/>
          </w:tcPr>
          <w:p w14:paraId="2723B4E5" w14:textId="78925291" w:rsidR="0032724E" w:rsidRPr="00B51D5E" w:rsidRDefault="003E7F22" w:rsidP="003929ED">
            <w:pPr>
              <w:pStyle w:val="Tabletext1"/>
              <w:rPr>
                <w:b/>
              </w:rPr>
            </w:pPr>
            <w:r>
              <w:rPr>
                <w:b/>
              </w:rPr>
              <w:t> </w:t>
            </w:r>
          </w:p>
        </w:tc>
        <w:tc>
          <w:tcPr>
            <w:tcW w:w="667" w:type="pct"/>
            <w:hideMark/>
          </w:tcPr>
          <w:p w14:paraId="1FDF6EE3" w14:textId="0F04E317" w:rsidR="0032724E" w:rsidRPr="00B51D5E" w:rsidRDefault="0023752D" w:rsidP="0023752D">
            <w:pPr>
              <w:pStyle w:val="Tabletext1"/>
              <w:rPr>
                <w:b/>
              </w:rPr>
            </w:pPr>
            <w:r>
              <w:rPr>
                <w:b/>
              </w:rPr>
              <w:t>2018</w:t>
            </w:r>
            <w:r w:rsidRPr="0023752D">
              <w:rPr>
                <w:b/>
              </w:rPr>
              <w:t>–</w:t>
            </w:r>
            <w:r w:rsidR="0032724E" w:rsidRPr="00B51D5E">
              <w:rPr>
                <w:b/>
              </w:rPr>
              <w:t>2019</w:t>
            </w:r>
          </w:p>
        </w:tc>
        <w:tc>
          <w:tcPr>
            <w:tcW w:w="667" w:type="pct"/>
            <w:hideMark/>
          </w:tcPr>
          <w:p w14:paraId="59ADCF0F" w14:textId="4BB1A6C8" w:rsidR="0032724E" w:rsidRPr="00B51D5E" w:rsidRDefault="0023752D" w:rsidP="0023752D">
            <w:pPr>
              <w:pStyle w:val="Tabletext1"/>
              <w:rPr>
                <w:b/>
              </w:rPr>
            </w:pPr>
            <w:r>
              <w:rPr>
                <w:b/>
              </w:rPr>
              <w:t>2019</w:t>
            </w:r>
            <w:r w:rsidRPr="0023752D">
              <w:rPr>
                <w:b/>
              </w:rPr>
              <w:t>–</w:t>
            </w:r>
            <w:r w:rsidR="0032724E" w:rsidRPr="00B51D5E">
              <w:rPr>
                <w:b/>
              </w:rPr>
              <w:t>2020</w:t>
            </w:r>
          </w:p>
        </w:tc>
        <w:tc>
          <w:tcPr>
            <w:tcW w:w="667" w:type="pct"/>
            <w:hideMark/>
          </w:tcPr>
          <w:p w14:paraId="7BED4F0F" w14:textId="169A2F21" w:rsidR="0032724E" w:rsidRPr="00B51D5E" w:rsidRDefault="0023752D" w:rsidP="0023752D">
            <w:pPr>
              <w:pStyle w:val="Tabletext1"/>
              <w:rPr>
                <w:b/>
              </w:rPr>
            </w:pPr>
            <w:r>
              <w:rPr>
                <w:b/>
              </w:rPr>
              <w:t>2020</w:t>
            </w:r>
            <w:r w:rsidRPr="0023752D">
              <w:rPr>
                <w:b/>
              </w:rPr>
              <w:t>–</w:t>
            </w:r>
            <w:r w:rsidR="0032724E" w:rsidRPr="00B51D5E">
              <w:rPr>
                <w:b/>
              </w:rPr>
              <w:t>2021</w:t>
            </w:r>
          </w:p>
        </w:tc>
        <w:tc>
          <w:tcPr>
            <w:tcW w:w="667" w:type="pct"/>
            <w:hideMark/>
          </w:tcPr>
          <w:p w14:paraId="59FEDFC5" w14:textId="57612A6D" w:rsidR="0032724E" w:rsidRPr="00B51D5E" w:rsidRDefault="0032724E" w:rsidP="0023752D">
            <w:pPr>
              <w:pStyle w:val="Tabletext1"/>
              <w:rPr>
                <w:b/>
              </w:rPr>
            </w:pPr>
            <w:r w:rsidRPr="00B51D5E">
              <w:rPr>
                <w:b/>
              </w:rPr>
              <w:t>2021</w:t>
            </w:r>
            <w:r w:rsidR="0023752D" w:rsidRPr="0023752D">
              <w:rPr>
                <w:b/>
              </w:rPr>
              <w:t>–</w:t>
            </w:r>
            <w:r w:rsidRPr="00B51D5E">
              <w:rPr>
                <w:b/>
              </w:rPr>
              <w:t>2022</w:t>
            </w:r>
          </w:p>
        </w:tc>
        <w:tc>
          <w:tcPr>
            <w:tcW w:w="667" w:type="pct"/>
            <w:hideMark/>
          </w:tcPr>
          <w:p w14:paraId="21DB6302" w14:textId="3C3B4929" w:rsidR="0032724E" w:rsidRPr="00B51D5E" w:rsidRDefault="0032724E" w:rsidP="0023752D">
            <w:pPr>
              <w:pStyle w:val="Tabletext1"/>
              <w:rPr>
                <w:b/>
              </w:rPr>
            </w:pPr>
            <w:r w:rsidRPr="00B51D5E">
              <w:rPr>
                <w:b/>
              </w:rPr>
              <w:t>2022</w:t>
            </w:r>
            <w:r w:rsidR="0023752D" w:rsidRPr="0023752D">
              <w:rPr>
                <w:b/>
              </w:rPr>
              <w:t>–</w:t>
            </w:r>
            <w:r w:rsidRPr="00B51D5E">
              <w:rPr>
                <w:b/>
              </w:rPr>
              <w:t>2023</w:t>
            </w:r>
          </w:p>
        </w:tc>
      </w:tr>
      <w:tr w:rsidR="0032724E" w:rsidRPr="00B51D5E" w14:paraId="1BC74303" w14:textId="77777777" w:rsidTr="003929ED">
        <w:trPr>
          <w:trHeight w:val="255"/>
        </w:trPr>
        <w:tc>
          <w:tcPr>
            <w:tcW w:w="1664" w:type="pct"/>
            <w:noWrap/>
            <w:hideMark/>
          </w:tcPr>
          <w:p w14:paraId="4886E7A8" w14:textId="77777777" w:rsidR="0032724E" w:rsidRPr="00B51D5E" w:rsidRDefault="0032724E" w:rsidP="003929ED">
            <w:pPr>
              <w:pStyle w:val="Tabletext1"/>
              <w:rPr>
                <w:color w:val="000000"/>
              </w:rPr>
            </w:pPr>
            <w:r w:rsidRPr="00B51D5E">
              <w:rPr>
                <w:color w:val="000000"/>
              </w:rPr>
              <w:t>Projected number of AMH tests</w:t>
            </w:r>
          </w:p>
        </w:tc>
        <w:tc>
          <w:tcPr>
            <w:tcW w:w="667" w:type="pct"/>
            <w:noWrap/>
            <w:hideMark/>
          </w:tcPr>
          <w:p w14:paraId="7A71E953" w14:textId="77777777" w:rsidR="0032724E" w:rsidRPr="00B51D5E" w:rsidRDefault="0032724E" w:rsidP="0023752D">
            <w:pPr>
              <w:pStyle w:val="Tabletext1"/>
              <w:rPr>
                <w:color w:val="000000"/>
              </w:rPr>
            </w:pPr>
            <w:r w:rsidRPr="004129E0">
              <w:t>6,682</w:t>
            </w:r>
          </w:p>
        </w:tc>
        <w:tc>
          <w:tcPr>
            <w:tcW w:w="667" w:type="pct"/>
            <w:noWrap/>
            <w:hideMark/>
          </w:tcPr>
          <w:p w14:paraId="7F11186C" w14:textId="77777777" w:rsidR="0032724E" w:rsidRPr="00B51D5E" w:rsidRDefault="0032724E" w:rsidP="0023752D">
            <w:pPr>
              <w:pStyle w:val="Tabletext1"/>
              <w:rPr>
                <w:color w:val="000000"/>
              </w:rPr>
            </w:pPr>
            <w:r w:rsidRPr="004129E0">
              <w:t>6,706</w:t>
            </w:r>
          </w:p>
        </w:tc>
        <w:tc>
          <w:tcPr>
            <w:tcW w:w="667" w:type="pct"/>
            <w:noWrap/>
            <w:hideMark/>
          </w:tcPr>
          <w:p w14:paraId="4DE2F06D" w14:textId="77777777" w:rsidR="0032724E" w:rsidRPr="00B51D5E" w:rsidRDefault="0032724E" w:rsidP="0023752D">
            <w:pPr>
              <w:pStyle w:val="Tabletext1"/>
              <w:rPr>
                <w:color w:val="000000"/>
              </w:rPr>
            </w:pPr>
            <w:r w:rsidRPr="004129E0">
              <w:t>6,730</w:t>
            </w:r>
          </w:p>
        </w:tc>
        <w:tc>
          <w:tcPr>
            <w:tcW w:w="667" w:type="pct"/>
            <w:noWrap/>
            <w:hideMark/>
          </w:tcPr>
          <w:p w14:paraId="162E75EB" w14:textId="77777777" w:rsidR="0032724E" w:rsidRPr="00B51D5E" w:rsidRDefault="0032724E" w:rsidP="0023752D">
            <w:pPr>
              <w:pStyle w:val="Tabletext1"/>
              <w:rPr>
                <w:color w:val="000000"/>
              </w:rPr>
            </w:pPr>
            <w:r w:rsidRPr="004129E0">
              <w:t>6,754</w:t>
            </w:r>
          </w:p>
        </w:tc>
        <w:tc>
          <w:tcPr>
            <w:tcW w:w="667" w:type="pct"/>
            <w:noWrap/>
            <w:hideMark/>
          </w:tcPr>
          <w:p w14:paraId="0F6E7691" w14:textId="77777777" w:rsidR="0032724E" w:rsidRPr="00B51D5E" w:rsidRDefault="0032724E" w:rsidP="0023752D">
            <w:pPr>
              <w:pStyle w:val="Tabletext1"/>
              <w:rPr>
                <w:color w:val="000000"/>
              </w:rPr>
            </w:pPr>
            <w:r w:rsidRPr="004129E0">
              <w:t>6,779</w:t>
            </w:r>
          </w:p>
        </w:tc>
      </w:tr>
      <w:tr w:rsidR="0032724E" w:rsidRPr="00B51D5E" w14:paraId="2ED10CFD" w14:textId="77777777" w:rsidTr="003929ED">
        <w:trPr>
          <w:trHeight w:val="255"/>
        </w:trPr>
        <w:tc>
          <w:tcPr>
            <w:tcW w:w="1664" w:type="pct"/>
            <w:noWrap/>
            <w:hideMark/>
          </w:tcPr>
          <w:p w14:paraId="4662959E" w14:textId="77777777" w:rsidR="0032724E" w:rsidRPr="00282C07" w:rsidRDefault="0032724E" w:rsidP="003929ED">
            <w:pPr>
              <w:pStyle w:val="Tabletext1"/>
              <w:rPr>
                <w:b/>
                <w:color w:val="000000"/>
              </w:rPr>
            </w:pPr>
            <w:r w:rsidRPr="00282C07">
              <w:rPr>
                <w:b/>
                <w:color w:val="000000"/>
              </w:rPr>
              <w:t>Cost of AMH to the MBS</w:t>
            </w:r>
          </w:p>
        </w:tc>
        <w:tc>
          <w:tcPr>
            <w:tcW w:w="667" w:type="pct"/>
            <w:noWrap/>
            <w:hideMark/>
          </w:tcPr>
          <w:p w14:paraId="4F12ABD5" w14:textId="77777777" w:rsidR="0032724E" w:rsidRPr="00282C07" w:rsidRDefault="0032724E" w:rsidP="0023752D">
            <w:pPr>
              <w:pStyle w:val="Tabletext1"/>
              <w:rPr>
                <w:b/>
                <w:color w:val="000000"/>
              </w:rPr>
            </w:pPr>
            <w:r w:rsidRPr="00282C07">
              <w:rPr>
                <w:b/>
              </w:rPr>
              <w:t>$567,961</w:t>
            </w:r>
          </w:p>
        </w:tc>
        <w:tc>
          <w:tcPr>
            <w:tcW w:w="667" w:type="pct"/>
            <w:noWrap/>
            <w:hideMark/>
          </w:tcPr>
          <w:p w14:paraId="1A56F7A1" w14:textId="77777777" w:rsidR="0032724E" w:rsidRPr="00282C07" w:rsidRDefault="0032724E" w:rsidP="0023752D">
            <w:pPr>
              <w:pStyle w:val="Tabletext1"/>
              <w:rPr>
                <w:b/>
                <w:color w:val="000000"/>
              </w:rPr>
            </w:pPr>
            <w:r w:rsidRPr="00282C07">
              <w:rPr>
                <w:b/>
              </w:rPr>
              <w:t>$570,005</w:t>
            </w:r>
          </w:p>
        </w:tc>
        <w:tc>
          <w:tcPr>
            <w:tcW w:w="667" w:type="pct"/>
            <w:noWrap/>
            <w:hideMark/>
          </w:tcPr>
          <w:p w14:paraId="15668886" w14:textId="77777777" w:rsidR="0032724E" w:rsidRPr="00282C07" w:rsidRDefault="0032724E" w:rsidP="0023752D">
            <w:pPr>
              <w:pStyle w:val="Tabletext1"/>
              <w:rPr>
                <w:b/>
                <w:color w:val="000000"/>
              </w:rPr>
            </w:pPr>
            <w:r w:rsidRPr="00282C07">
              <w:rPr>
                <w:b/>
              </w:rPr>
              <w:t>$572,057</w:t>
            </w:r>
          </w:p>
        </w:tc>
        <w:tc>
          <w:tcPr>
            <w:tcW w:w="667" w:type="pct"/>
            <w:noWrap/>
            <w:hideMark/>
          </w:tcPr>
          <w:p w14:paraId="19903687" w14:textId="77777777" w:rsidR="0032724E" w:rsidRPr="00282C07" w:rsidRDefault="0032724E" w:rsidP="0023752D">
            <w:pPr>
              <w:pStyle w:val="Tabletext1"/>
              <w:rPr>
                <w:b/>
                <w:color w:val="000000"/>
              </w:rPr>
            </w:pPr>
            <w:r w:rsidRPr="00282C07">
              <w:rPr>
                <w:b/>
              </w:rPr>
              <w:t>$574,117</w:t>
            </w:r>
          </w:p>
        </w:tc>
        <w:tc>
          <w:tcPr>
            <w:tcW w:w="667" w:type="pct"/>
            <w:noWrap/>
            <w:hideMark/>
          </w:tcPr>
          <w:p w14:paraId="4C889536" w14:textId="77777777" w:rsidR="0032724E" w:rsidRPr="00282C07" w:rsidRDefault="0032724E" w:rsidP="0023752D">
            <w:pPr>
              <w:pStyle w:val="Tabletext1"/>
              <w:rPr>
                <w:b/>
                <w:color w:val="000000"/>
              </w:rPr>
            </w:pPr>
            <w:r w:rsidRPr="00282C07">
              <w:rPr>
                <w:b/>
              </w:rPr>
              <w:t>$576,184</w:t>
            </w:r>
          </w:p>
        </w:tc>
      </w:tr>
      <w:tr w:rsidR="0032724E" w:rsidRPr="00B51D5E" w14:paraId="45D07C9E" w14:textId="77777777" w:rsidTr="003929ED">
        <w:trPr>
          <w:trHeight w:val="255"/>
        </w:trPr>
        <w:tc>
          <w:tcPr>
            <w:tcW w:w="1664" w:type="pct"/>
            <w:noWrap/>
            <w:hideMark/>
          </w:tcPr>
          <w:p w14:paraId="24EC0D9E" w14:textId="77777777" w:rsidR="0032724E" w:rsidRPr="00B51D5E" w:rsidRDefault="0032724E" w:rsidP="003929ED">
            <w:pPr>
              <w:pStyle w:val="Tabletext1"/>
              <w:rPr>
                <w:color w:val="000000"/>
              </w:rPr>
            </w:pPr>
            <w:r w:rsidRPr="00B51D5E">
              <w:rPr>
                <w:color w:val="000000"/>
              </w:rPr>
              <w:t>Cost of AMH to the patients</w:t>
            </w:r>
          </w:p>
        </w:tc>
        <w:tc>
          <w:tcPr>
            <w:tcW w:w="667" w:type="pct"/>
            <w:noWrap/>
            <w:hideMark/>
          </w:tcPr>
          <w:p w14:paraId="0ED339B9" w14:textId="77777777" w:rsidR="0032724E" w:rsidRPr="00B51D5E" w:rsidRDefault="0032724E" w:rsidP="0023752D">
            <w:pPr>
              <w:pStyle w:val="Tabletext1"/>
              <w:rPr>
                <w:color w:val="000000"/>
              </w:rPr>
            </w:pPr>
            <w:r w:rsidRPr="004129E0">
              <w:t>$100,228</w:t>
            </w:r>
          </w:p>
        </w:tc>
        <w:tc>
          <w:tcPr>
            <w:tcW w:w="667" w:type="pct"/>
            <w:noWrap/>
            <w:hideMark/>
          </w:tcPr>
          <w:p w14:paraId="585A2115" w14:textId="77777777" w:rsidR="0032724E" w:rsidRPr="00B51D5E" w:rsidRDefault="0032724E" w:rsidP="0023752D">
            <w:pPr>
              <w:pStyle w:val="Tabletext1"/>
              <w:rPr>
                <w:color w:val="000000"/>
              </w:rPr>
            </w:pPr>
            <w:r w:rsidRPr="004129E0">
              <w:t>$100,589</w:t>
            </w:r>
          </w:p>
        </w:tc>
        <w:tc>
          <w:tcPr>
            <w:tcW w:w="667" w:type="pct"/>
            <w:noWrap/>
            <w:hideMark/>
          </w:tcPr>
          <w:p w14:paraId="14B40949" w14:textId="77777777" w:rsidR="0032724E" w:rsidRPr="00B51D5E" w:rsidRDefault="0032724E" w:rsidP="0023752D">
            <w:pPr>
              <w:pStyle w:val="Tabletext1"/>
              <w:rPr>
                <w:color w:val="000000"/>
              </w:rPr>
            </w:pPr>
            <w:r w:rsidRPr="004129E0">
              <w:t>$100,951</w:t>
            </w:r>
          </w:p>
        </w:tc>
        <w:tc>
          <w:tcPr>
            <w:tcW w:w="667" w:type="pct"/>
            <w:noWrap/>
            <w:hideMark/>
          </w:tcPr>
          <w:p w14:paraId="59D4E326" w14:textId="77777777" w:rsidR="0032724E" w:rsidRPr="00B51D5E" w:rsidRDefault="0032724E" w:rsidP="0023752D">
            <w:pPr>
              <w:pStyle w:val="Tabletext1"/>
              <w:rPr>
                <w:color w:val="000000"/>
              </w:rPr>
            </w:pPr>
            <w:r w:rsidRPr="004129E0">
              <w:t>$101,315</w:t>
            </w:r>
          </w:p>
        </w:tc>
        <w:tc>
          <w:tcPr>
            <w:tcW w:w="667" w:type="pct"/>
            <w:noWrap/>
            <w:hideMark/>
          </w:tcPr>
          <w:p w14:paraId="571B1A65" w14:textId="77777777" w:rsidR="0032724E" w:rsidRPr="00B51D5E" w:rsidRDefault="0032724E" w:rsidP="0023752D">
            <w:pPr>
              <w:pStyle w:val="Tabletext1"/>
              <w:rPr>
                <w:color w:val="000000"/>
              </w:rPr>
            </w:pPr>
            <w:r w:rsidRPr="004129E0">
              <w:t>$101,679</w:t>
            </w:r>
          </w:p>
        </w:tc>
      </w:tr>
      <w:tr w:rsidR="0032724E" w:rsidRPr="00B51D5E" w14:paraId="7FEE9DFE" w14:textId="77777777" w:rsidTr="003929ED">
        <w:trPr>
          <w:trHeight w:val="255"/>
        </w:trPr>
        <w:tc>
          <w:tcPr>
            <w:tcW w:w="1664" w:type="pct"/>
            <w:noWrap/>
            <w:hideMark/>
          </w:tcPr>
          <w:p w14:paraId="6A4990C3" w14:textId="77777777" w:rsidR="0032724E" w:rsidRPr="00B51D5E" w:rsidRDefault="0032724E" w:rsidP="003929ED">
            <w:pPr>
              <w:pStyle w:val="Tabletext1"/>
              <w:rPr>
                <w:b/>
                <w:color w:val="000000"/>
              </w:rPr>
            </w:pPr>
            <w:r w:rsidRPr="00B51D5E">
              <w:rPr>
                <w:b/>
                <w:color w:val="000000"/>
              </w:rPr>
              <w:t>Total cost of AMH test</w:t>
            </w:r>
          </w:p>
        </w:tc>
        <w:tc>
          <w:tcPr>
            <w:tcW w:w="667" w:type="pct"/>
            <w:noWrap/>
            <w:hideMark/>
          </w:tcPr>
          <w:p w14:paraId="2343811A" w14:textId="77777777" w:rsidR="0032724E" w:rsidRPr="00442DD6" w:rsidRDefault="0032724E" w:rsidP="0023752D">
            <w:pPr>
              <w:pStyle w:val="Tabletext1"/>
              <w:rPr>
                <w:b/>
                <w:color w:val="000000"/>
              </w:rPr>
            </w:pPr>
            <w:r w:rsidRPr="00442DD6">
              <w:rPr>
                <w:b/>
              </w:rPr>
              <w:t>$668,189</w:t>
            </w:r>
          </w:p>
        </w:tc>
        <w:tc>
          <w:tcPr>
            <w:tcW w:w="667" w:type="pct"/>
            <w:noWrap/>
            <w:hideMark/>
          </w:tcPr>
          <w:p w14:paraId="6FBC8A60" w14:textId="77777777" w:rsidR="0032724E" w:rsidRPr="00442DD6" w:rsidRDefault="0032724E" w:rsidP="0023752D">
            <w:pPr>
              <w:pStyle w:val="Tabletext1"/>
              <w:rPr>
                <w:b/>
                <w:color w:val="000000"/>
              </w:rPr>
            </w:pPr>
            <w:r w:rsidRPr="00442DD6">
              <w:rPr>
                <w:b/>
              </w:rPr>
              <w:t>$670,595</w:t>
            </w:r>
          </w:p>
        </w:tc>
        <w:tc>
          <w:tcPr>
            <w:tcW w:w="667" w:type="pct"/>
            <w:noWrap/>
            <w:hideMark/>
          </w:tcPr>
          <w:p w14:paraId="2F156D1A" w14:textId="77777777" w:rsidR="0032724E" w:rsidRPr="00442DD6" w:rsidRDefault="0032724E" w:rsidP="0023752D">
            <w:pPr>
              <w:pStyle w:val="Tabletext1"/>
              <w:rPr>
                <w:b/>
                <w:color w:val="000000"/>
              </w:rPr>
            </w:pPr>
            <w:r w:rsidRPr="00442DD6">
              <w:rPr>
                <w:b/>
              </w:rPr>
              <w:t>$673,009</w:t>
            </w:r>
          </w:p>
        </w:tc>
        <w:tc>
          <w:tcPr>
            <w:tcW w:w="667" w:type="pct"/>
            <w:noWrap/>
            <w:hideMark/>
          </w:tcPr>
          <w:p w14:paraId="64074B65" w14:textId="77777777" w:rsidR="0032724E" w:rsidRPr="00442DD6" w:rsidRDefault="0032724E" w:rsidP="0023752D">
            <w:pPr>
              <w:pStyle w:val="Tabletext1"/>
              <w:rPr>
                <w:b/>
                <w:color w:val="000000"/>
              </w:rPr>
            </w:pPr>
            <w:r w:rsidRPr="00442DD6">
              <w:rPr>
                <w:b/>
              </w:rPr>
              <w:t>$675,432</w:t>
            </w:r>
          </w:p>
        </w:tc>
        <w:tc>
          <w:tcPr>
            <w:tcW w:w="667" w:type="pct"/>
            <w:noWrap/>
            <w:hideMark/>
          </w:tcPr>
          <w:p w14:paraId="06E45070" w14:textId="77777777" w:rsidR="0032724E" w:rsidRPr="00442DD6" w:rsidRDefault="0032724E" w:rsidP="0023752D">
            <w:pPr>
              <w:pStyle w:val="Tabletext1"/>
              <w:rPr>
                <w:b/>
                <w:color w:val="000000"/>
              </w:rPr>
            </w:pPr>
            <w:r w:rsidRPr="00442DD6">
              <w:rPr>
                <w:b/>
              </w:rPr>
              <w:t>$677,863</w:t>
            </w:r>
          </w:p>
        </w:tc>
      </w:tr>
    </w:tbl>
    <w:p w14:paraId="00301A28" w14:textId="0B11C6B6" w:rsidR="0032724E" w:rsidRPr="0023752D" w:rsidRDefault="0032724E" w:rsidP="0032724E">
      <w:pPr>
        <w:pStyle w:val="TableNotes1"/>
        <w:rPr>
          <w:sz w:val="18"/>
          <w:szCs w:val="18"/>
        </w:rPr>
      </w:pPr>
      <w:r w:rsidRPr="0023752D">
        <w:rPr>
          <w:sz w:val="18"/>
          <w:szCs w:val="18"/>
        </w:rPr>
        <w:t xml:space="preserve">AMH = </w:t>
      </w:r>
      <w:r w:rsidR="00C41BAD" w:rsidRPr="0023752D">
        <w:rPr>
          <w:sz w:val="18"/>
          <w:szCs w:val="18"/>
        </w:rPr>
        <w:t>anti-Müllerian hormone</w:t>
      </w:r>
      <w:r w:rsidRPr="0023752D">
        <w:rPr>
          <w:sz w:val="18"/>
          <w:szCs w:val="18"/>
        </w:rPr>
        <w:t>; MBS = Medicare Benefits Schedule</w:t>
      </w:r>
    </w:p>
    <w:p w14:paraId="50680DD4" w14:textId="74CAF42A" w:rsidR="0032724E" w:rsidRPr="00183E4D" w:rsidRDefault="0032724E" w:rsidP="0032724E">
      <w:pPr>
        <w:jc w:val="both"/>
      </w:pPr>
      <w:r>
        <w:t xml:space="preserve">Sensitivity analyses around referral and uptake rates, restricted population size, potential leakage and proposed intervention as a replacement test are presented in Section E.6. Lower referral/uptake rates and restricting </w:t>
      </w:r>
      <w:r w:rsidR="003E7F22">
        <w:t xml:space="preserve">the </w:t>
      </w:r>
      <w:r>
        <w:t>tar</w:t>
      </w:r>
      <w:r w:rsidR="003E7F22">
        <w:t xml:space="preserve">get population to women aged 25 to </w:t>
      </w:r>
      <w:r>
        <w:t>39 years decreas</w:t>
      </w:r>
      <w:r w:rsidR="003E7F22">
        <w:t>es estimated costs to the MBS. Cost i</w:t>
      </w:r>
      <w:r>
        <w:t xml:space="preserve">mpact </w:t>
      </w:r>
      <w:r w:rsidR="003E7F22">
        <w:t xml:space="preserve">to the </w:t>
      </w:r>
      <w:r>
        <w:t xml:space="preserve">MBS </w:t>
      </w:r>
      <w:r w:rsidR="003E7F22">
        <w:t>due to potential leakage is</w:t>
      </w:r>
      <w:r>
        <w:t xml:space="preserve"> very high.</w:t>
      </w:r>
    </w:p>
    <w:p w14:paraId="7BFDA357" w14:textId="77777777" w:rsidR="001F3A7B" w:rsidRDefault="001F3A7B" w:rsidP="000B7A2F">
      <w:pPr>
        <w:pStyle w:val="Heading3"/>
      </w:pPr>
      <w:bookmarkStart w:id="80" w:name="_Toc502832890"/>
      <w:r>
        <w:t>Consumer impact summary</w:t>
      </w:r>
      <w:bookmarkEnd w:id="80"/>
    </w:p>
    <w:p w14:paraId="1C62F6B6" w14:textId="62A3DD72" w:rsidR="00223E8F" w:rsidRDefault="00223E8F" w:rsidP="00223E8F">
      <w:pPr>
        <w:jc w:val="both"/>
      </w:pPr>
      <w:r w:rsidRPr="00596B81">
        <w:t xml:space="preserve">During </w:t>
      </w:r>
      <w:r>
        <w:t>the public consultation period</w:t>
      </w:r>
      <w:r w:rsidR="00DE7A91">
        <w:t>,</w:t>
      </w:r>
      <w:r>
        <w:t xml:space="preserve"> before the </w:t>
      </w:r>
      <w:r w:rsidR="003E7EA1">
        <w:t>PICO Confirmation</w:t>
      </w:r>
      <w:r>
        <w:t xml:space="preserve"> for application 1434 was finalised, 78 responses were received. The responses were mainly supportive of AMH testing. </w:t>
      </w:r>
      <w:r w:rsidR="00DE7A91">
        <w:t>A number of advantages and disadvantages, or issues that would need to be addressed, were emphasised during the public consultation period.</w:t>
      </w:r>
    </w:p>
    <w:p w14:paraId="4B08E79D" w14:textId="77777777" w:rsidR="001D0172" w:rsidRDefault="001D0172" w:rsidP="001D0172">
      <w:pPr>
        <w:jc w:val="both"/>
      </w:pPr>
      <w:r>
        <w:t>The benefits suggested via public consultation were that:</w:t>
      </w:r>
    </w:p>
    <w:p w14:paraId="2FAA420F" w14:textId="6B9BBCE6" w:rsidR="001D0172" w:rsidRDefault="001D0172" w:rsidP="001D0172">
      <w:pPr>
        <w:pStyle w:val="ListParagraph"/>
        <w:numPr>
          <w:ilvl w:val="0"/>
          <w:numId w:val="23"/>
        </w:numPr>
        <w:jc w:val="both"/>
      </w:pPr>
      <w:r>
        <w:t>AMH testing may provide vital information to young patients with regard to their fertility status, allowing them to make informed decisions about potential fertility interventions</w:t>
      </w:r>
    </w:p>
    <w:p w14:paraId="31B512FD" w14:textId="1FAC9A20" w:rsidR="001D0172" w:rsidRDefault="001D0172" w:rsidP="001D0172">
      <w:pPr>
        <w:pStyle w:val="ListParagraph"/>
        <w:numPr>
          <w:ilvl w:val="0"/>
          <w:numId w:val="23"/>
        </w:numPr>
        <w:jc w:val="both"/>
      </w:pPr>
      <w:r>
        <w:t>AMH tests can measure the risk for premature ovarian failure, enabling possibility of early intervention (hormone replacement therapy or oocyte cryopreservation)</w:t>
      </w:r>
    </w:p>
    <w:p w14:paraId="0AA65013" w14:textId="77777777" w:rsidR="001D0172" w:rsidRDefault="001D0172" w:rsidP="001D0172">
      <w:pPr>
        <w:pStyle w:val="ListParagraph"/>
        <w:numPr>
          <w:ilvl w:val="0"/>
          <w:numId w:val="23"/>
        </w:numPr>
        <w:jc w:val="both"/>
      </w:pPr>
      <w:r>
        <w:t>AMH testing could potentially reduce costs by allowing targeted fertility interventions</w:t>
      </w:r>
    </w:p>
    <w:p w14:paraId="295AAC6A" w14:textId="1473DA6E" w:rsidR="001D0172" w:rsidRDefault="001D0172" w:rsidP="001D0172">
      <w:pPr>
        <w:pStyle w:val="ListParagraph"/>
        <w:numPr>
          <w:ilvl w:val="0"/>
          <w:numId w:val="23"/>
        </w:numPr>
        <w:jc w:val="both"/>
      </w:pPr>
      <w:r>
        <w:t xml:space="preserve">listing AMH testing on the MBS would lead to </w:t>
      </w:r>
      <w:r w:rsidR="00D810F3">
        <w:t xml:space="preserve">more </w:t>
      </w:r>
      <w:r>
        <w:t>equitable fertility monitoring</w:t>
      </w:r>
    </w:p>
    <w:p w14:paraId="16952B3D" w14:textId="1FD501FE" w:rsidR="001D0172" w:rsidRDefault="001D0172" w:rsidP="001D0172">
      <w:pPr>
        <w:pStyle w:val="ListParagraph"/>
        <w:numPr>
          <w:ilvl w:val="0"/>
          <w:numId w:val="23"/>
        </w:numPr>
        <w:jc w:val="both"/>
      </w:pPr>
      <w:r>
        <w:t xml:space="preserve">listing AMH testing on the MBS could lead to reduced anxiety and improved psychological wellbeing </w:t>
      </w:r>
      <w:r w:rsidR="00D810F3">
        <w:t>via better</w:t>
      </w:r>
      <w:r>
        <w:t xml:space="preserve"> understanding around potential fertility function in the future and in relation to medical costs.</w:t>
      </w:r>
    </w:p>
    <w:p w14:paraId="73A876A2" w14:textId="77777777" w:rsidR="001D0172" w:rsidRDefault="001D0172" w:rsidP="001D0172">
      <w:pPr>
        <w:jc w:val="both"/>
      </w:pPr>
      <w:r>
        <w:lastRenderedPageBreak/>
        <w:t>The disadvantages, or issues suggested for address, as determined by public consultation were that:</w:t>
      </w:r>
    </w:p>
    <w:p w14:paraId="20DC1CE4" w14:textId="33329F5F" w:rsidR="001D0172" w:rsidRDefault="001D0172" w:rsidP="001D0172">
      <w:pPr>
        <w:pStyle w:val="ListParagraph"/>
        <w:numPr>
          <w:ilvl w:val="0"/>
          <w:numId w:val="23"/>
        </w:numPr>
        <w:jc w:val="both"/>
      </w:pPr>
      <w:r>
        <w:t xml:space="preserve">AMH levels don’t predict the quality </w:t>
      </w:r>
      <w:r w:rsidR="00D810F3">
        <w:t>of remaining oocytes</w:t>
      </w:r>
    </w:p>
    <w:p w14:paraId="374D0A01" w14:textId="18C38733" w:rsidR="001D0172" w:rsidRDefault="001D0172" w:rsidP="001D0172">
      <w:pPr>
        <w:pStyle w:val="ListParagraph"/>
        <w:numPr>
          <w:ilvl w:val="0"/>
          <w:numId w:val="23"/>
        </w:numPr>
        <w:jc w:val="both"/>
      </w:pPr>
      <w:r>
        <w:t>AMH test results may cause psychological distress for the patient (</w:t>
      </w:r>
      <w:r w:rsidR="00D810F3">
        <w:t>negative/undetectable results</w:t>
      </w:r>
      <w:r>
        <w:t>)</w:t>
      </w:r>
    </w:p>
    <w:p w14:paraId="30742D1C" w14:textId="32DC7410" w:rsidR="007518CF" w:rsidRDefault="001D0172" w:rsidP="0019096E">
      <w:pPr>
        <w:pStyle w:val="ListParagraph"/>
        <w:numPr>
          <w:ilvl w:val="0"/>
          <w:numId w:val="23"/>
        </w:numPr>
        <w:jc w:val="both"/>
      </w:pPr>
      <w:r>
        <w:t>pre-test counselling would be critical to minimise the negative psychological impact of an unexpected or negative result.</w:t>
      </w:r>
    </w:p>
    <w:p w14:paraId="082E45A3" w14:textId="436258C7" w:rsidR="000D1300" w:rsidRPr="00183E4D" w:rsidRDefault="004446E6" w:rsidP="000B7A2F">
      <w:pPr>
        <w:pStyle w:val="Heading3"/>
      </w:pPr>
      <w:bookmarkStart w:id="81" w:name="_Toc502832891"/>
      <w:r>
        <w:t>Other r</w:t>
      </w:r>
      <w:r w:rsidR="000B7A2F" w:rsidRPr="00183E4D">
        <w:t>el</w:t>
      </w:r>
      <w:r>
        <w:t>evant c</w:t>
      </w:r>
      <w:r w:rsidR="000D1300" w:rsidRPr="00183E4D">
        <w:t>onsiderations</w:t>
      </w:r>
      <w:bookmarkEnd w:id="65"/>
      <w:bookmarkEnd w:id="81"/>
    </w:p>
    <w:p w14:paraId="0D7AA484" w14:textId="58B6E3F2" w:rsidR="00E91BE1" w:rsidRPr="00183E4D" w:rsidRDefault="003233E3" w:rsidP="00547069">
      <w:pPr>
        <w:jc w:val="both"/>
      </w:pPr>
      <w:r>
        <w:t>In women attending</w:t>
      </w:r>
      <w:r w:rsidR="00D810F3">
        <w:t xml:space="preserve"> a fertility clinic in Ireland, a population not representative of the target population</w:t>
      </w:r>
      <w:r>
        <w:t>, the awareness of the clinical relevance of AMH testing was low. Women with low AMH levels reported feelings of devastation, isolation and loss of femininity and purpose</w:t>
      </w:r>
      <w:r w:rsidR="007F4459">
        <w:t xml:space="preserve">. </w:t>
      </w:r>
      <w:r>
        <w:t xml:space="preserve">Girls and women receiving a low test result could become unnecessarily anxious about their fertility, and as the results of the test are hard to interpret, receiving proper counselling is important. Regardless of the test results, the women indicated </w:t>
      </w:r>
      <w:r w:rsidR="00194ED1">
        <w:t xml:space="preserve">that </w:t>
      </w:r>
      <w:r>
        <w:t>having information about their ovarian reserve was impor</w:t>
      </w:r>
      <w:r w:rsidR="00AA2850">
        <w:t>tant and that it</w:t>
      </w:r>
      <w:r>
        <w:t xml:space="preserve"> impacted their decision</w:t>
      </w:r>
      <w:r w:rsidR="00DF36E4">
        <w:t>-</w:t>
      </w:r>
      <w:r>
        <w:t>making. However, the current priorities of women undergoing gonadotoxic treatment may be different from women undergoing fertility treatments, and no evidence was found on the psychological impact of AMH testing on the target population.</w:t>
      </w:r>
    </w:p>
    <w:bookmarkEnd w:id="66"/>
    <w:bookmarkEnd w:id="67"/>
    <w:p w14:paraId="44B2FED2" w14:textId="77777777" w:rsidR="008F59A8" w:rsidRDefault="008F59A8" w:rsidP="00DF343F">
      <w:pPr>
        <w:jc w:val="both"/>
      </w:pPr>
    </w:p>
    <w:p w14:paraId="06CFE8FC" w14:textId="77777777" w:rsidR="00B20BAC" w:rsidRPr="00183E4D" w:rsidRDefault="00B20BAC" w:rsidP="00DF343F">
      <w:pPr>
        <w:jc w:val="both"/>
        <w:sectPr w:rsidR="00B20BAC" w:rsidRPr="00183E4D" w:rsidSect="0013076C">
          <w:pgSz w:w="11906" w:h="16838"/>
          <w:pgMar w:top="1440" w:right="1440" w:bottom="1440" w:left="1440" w:header="720" w:footer="720" w:gutter="0"/>
          <w:paperSrc w:first="2" w:other="2"/>
          <w:pgNumType w:start="1"/>
          <w:cols w:space="720"/>
        </w:sectPr>
      </w:pPr>
    </w:p>
    <w:p w14:paraId="46EDC3B6" w14:textId="31FFEFA6" w:rsidR="007518CF" w:rsidRDefault="00D15891" w:rsidP="00DF343F">
      <w:pPr>
        <w:pStyle w:val="Heading1"/>
        <w:jc w:val="both"/>
      </w:pPr>
      <w:bookmarkStart w:id="82" w:name="_Toc355274699"/>
      <w:bookmarkStart w:id="83" w:name="_Ref363826811"/>
      <w:bookmarkStart w:id="84" w:name="_Toc379118061"/>
      <w:bookmarkStart w:id="85" w:name="_Toc381796437"/>
      <w:bookmarkStart w:id="86" w:name="_Toc502832892"/>
      <w:bookmarkStart w:id="87" w:name="_Toc451749499"/>
      <w:r>
        <w:lastRenderedPageBreak/>
        <w:t xml:space="preserve">Acronyms </w:t>
      </w:r>
      <w:r w:rsidR="00DC5CE5">
        <w:t>and a</w:t>
      </w:r>
      <w:r w:rsidR="00553518" w:rsidRPr="00183E4D">
        <w:t>bbreviations</w:t>
      </w:r>
      <w:bookmarkEnd w:id="82"/>
      <w:bookmarkEnd w:id="83"/>
      <w:bookmarkEnd w:id="84"/>
      <w:bookmarkEnd w:id="85"/>
      <w:bookmarkEnd w:id="86"/>
    </w:p>
    <w:bookmarkEnd w:id="87"/>
    <w:p w14:paraId="345C2D73" w14:textId="7DDE1D70" w:rsidR="006432BE" w:rsidRDefault="006432BE" w:rsidP="00966102">
      <w:pPr>
        <w:tabs>
          <w:tab w:val="left" w:pos="2943"/>
        </w:tabs>
        <w:spacing w:line="240" w:lineRule="auto"/>
      </w:pPr>
      <w:r w:rsidRPr="005070FC">
        <w:t>AFC</w:t>
      </w:r>
      <w:r w:rsidRPr="005070FC">
        <w:tab/>
      </w:r>
      <w:r w:rsidR="005070FC" w:rsidRPr="005070FC">
        <w:t>a</w:t>
      </w:r>
      <w:r w:rsidRPr="005070FC">
        <w:t>ntral follicle count</w:t>
      </w:r>
    </w:p>
    <w:p w14:paraId="4F5D515D" w14:textId="139634FA" w:rsidR="00751F07" w:rsidRDefault="00751F07" w:rsidP="00966102">
      <w:pPr>
        <w:tabs>
          <w:tab w:val="left" w:pos="2943"/>
        </w:tabs>
        <w:spacing w:line="240" w:lineRule="auto"/>
      </w:pPr>
      <w:r>
        <w:t>AHTA</w:t>
      </w:r>
      <w:r>
        <w:tab/>
        <w:t>Adelaide Health Technology Assessment</w:t>
      </w:r>
    </w:p>
    <w:p w14:paraId="5C0DE5E3" w14:textId="7EF4BB6C" w:rsidR="00751F07" w:rsidRDefault="00751F07" w:rsidP="00966102">
      <w:pPr>
        <w:tabs>
          <w:tab w:val="left" w:pos="2943"/>
        </w:tabs>
        <w:spacing w:line="240" w:lineRule="auto"/>
      </w:pPr>
      <w:r>
        <w:t>AI</w:t>
      </w:r>
      <w:r>
        <w:tab/>
        <w:t>aromatase inhibitor</w:t>
      </w:r>
    </w:p>
    <w:p w14:paraId="2C07F0AC" w14:textId="77777777" w:rsidR="000A3454" w:rsidRDefault="000A3454" w:rsidP="00966102">
      <w:pPr>
        <w:tabs>
          <w:tab w:val="left" w:pos="2943"/>
        </w:tabs>
        <w:spacing w:line="240" w:lineRule="auto"/>
        <w:rPr>
          <w:rFonts w:asciiTheme="minorHAnsi" w:hAnsiTheme="minorHAnsi"/>
          <w:color w:val="000000"/>
          <w:szCs w:val="24"/>
        </w:rPr>
      </w:pPr>
      <w:r>
        <w:t>AIHW</w:t>
      </w:r>
      <w:r w:rsidRPr="00183E4D">
        <w:tab/>
      </w:r>
      <w:r>
        <w:rPr>
          <w:rFonts w:asciiTheme="minorHAnsi" w:hAnsiTheme="minorHAnsi"/>
          <w:color w:val="000000"/>
          <w:szCs w:val="24"/>
        </w:rPr>
        <w:t>Australian Institute of Health and Welfare</w:t>
      </w:r>
    </w:p>
    <w:p w14:paraId="53AEC133" w14:textId="01FF470D" w:rsidR="006432BE" w:rsidRDefault="006432BE" w:rsidP="00966102">
      <w:pPr>
        <w:tabs>
          <w:tab w:val="left" w:pos="2943"/>
        </w:tabs>
        <w:spacing w:line="240" w:lineRule="auto"/>
        <w:rPr>
          <w:szCs w:val="44"/>
        </w:rPr>
      </w:pPr>
      <w:r>
        <w:rPr>
          <w:rFonts w:asciiTheme="minorHAnsi" w:hAnsiTheme="minorHAnsi"/>
          <w:color w:val="000000"/>
          <w:szCs w:val="24"/>
        </w:rPr>
        <w:t>AMH</w:t>
      </w:r>
      <w:r>
        <w:rPr>
          <w:rFonts w:asciiTheme="minorHAnsi" w:hAnsiTheme="minorHAnsi"/>
          <w:color w:val="000000"/>
          <w:szCs w:val="24"/>
        </w:rPr>
        <w:tab/>
      </w:r>
      <w:r w:rsidR="005070FC">
        <w:rPr>
          <w:szCs w:val="44"/>
        </w:rPr>
        <w:t>a</w:t>
      </w:r>
      <w:r>
        <w:rPr>
          <w:szCs w:val="44"/>
        </w:rPr>
        <w:t>nti-Müllerian h</w:t>
      </w:r>
      <w:r w:rsidRPr="00D358F5">
        <w:rPr>
          <w:szCs w:val="44"/>
        </w:rPr>
        <w:t>ormone</w:t>
      </w:r>
    </w:p>
    <w:p w14:paraId="759F3AE0" w14:textId="29AAD7EC" w:rsidR="00751F07" w:rsidRDefault="00751F07" w:rsidP="00966102">
      <w:pPr>
        <w:tabs>
          <w:tab w:val="left" w:pos="2943"/>
        </w:tabs>
        <w:spacing w:line="240" w:lineRule="auto"/>
        <w:rPr>
          <w:szCs w:val="44"/>
        </w:rPr>
      </w:pPr>
      <w:r>
        <w:rPr>
          <w:szCs w:val="44"/>
        </w:rPr>
        <w:t>ANOVA</w:t>
      </w:r>
      <w:r>
        <w:rPr>
          <w:szCs w:val="44"/>
        </w:rPr>
        <w:tab/>
        <w:t>analysis of variance</w:t>
      </w:r>
    </w:p>
    <w:p w14:paraId="4479C37E" w14:textId="1E0FACC3" w:rsidR="00DF2E6D" w:rsidRPr="00183E4D" w:rsidRDefault="00DF2E6D" w:rsidP="00966102">
      <w:pPr>
        <w:tabs>
          <w:tab w:val="left" w:pos="2943"/>
        </w:tabs>
        <w:spacing w:line="240" w:lineRule="auto"/>
      </w:pPr>
      <w:r>
        <w:rPr>
          <w:szCs w:val="44"/>
        </w:rPr>
        <w:t>ART</w:t>
      </w:r>
      <w:r>
        <w:rPr>
          <w:szCs w:val="44"/>
        </w:rPr>
        <w:tab/>
      </w:r>
      <w:r w:rsidR="005070FC">
        <w:rPr>
          <w:szCs w:val="44"/>
        </w:rPr>
        <w:t>a</w:t>
      </w:r>
      <w:r w:rsidR="00FC7C3B">
        <w:rPr>
          <w:szCs w:val="44"/>
        </w:rPr>
        <w:t>ssisted reproductive technology</w:t>
      </w:r>
    </w:p>
    <w:p w14:paraId="47A8AE88" w14:textId="77777777" w:rsidR="000A3454" w:rsidRDefault="000A3454" w:rsidP="00966102">
      <w:pPr>
        <w:tabs>
          <w:tab w:val="left" w:pos="2943"/>
        </w:tabs>
        <w:spacing w:line="240" w:lineRule="auto"/>
        <w:rPr>
          <w:rFonts w:asciiTheme="minorHAnsi" w:hAnsiTheme="minorHAnsi"/>
          <w:color w:val="000000"/>
          <w:szCs w:val="24"/>
        </w:rPr>
      </w:pPr>
      <w:r>
        <w:t>ARTG</w:t>
      </w:r>
      <w:r>
        <w:tab/>
      </w:r>
      <w:r>
        <w:rPr>
          <w:rFonts w:asciiTheme="minorHAnsi" w:hAnsiTheme="minorHAnsi"/>
          <w:color w:val="000000"/>
          <w:szCs w:val="24"/>
        </w:rPr>
        <w:t>Australian Register of Therapeutic Goods</w:t>
      </w:r>
    </w:p>
    <w:p w14:paraId="0DC707BD" w14:textId="2AC44F55" w:rsidR="00751F07" w:rsidRDefault="00751F07"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ASCO</w:t>
      </w:r>
      <w:r>
        <w:rPr>
          <w:rFonts w:asciiTheme="minorHAnsi" w:hAnsiTheme="minorHAnsi"/>
          <w:color w:val="000000"/>
          <w:szCs w:val="24"/>
        </w:rPr>
        <w:tab/>
        <w:t>American Society of Clinical Oncology</w:t>
      </w:r>
    </w:p>
    <w:p w14:paraId="6F26C7E9" w14:textId="3391727E" w:rsidR="0079262A" w:rsidRDefault="005070FC"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AUC</w:t>
      </w:r>
      <w:r>
        <w:rPr>
          <w:rFonts w:asciiTheme="minorHAnsi" w:hAnsiTheme="minorHAnsi"/>
          <w:color w:val="000000"/>
          <w:szCs w:val="24"/>
        </w:rPr>
        <w:tab/>
        <w:t>a</w:t>
      </w:r>
      <w:r w:rsidR="0079262A">
        <w:rPr>
          <w:rFonts w:asciiTheme="minorHAnsi" w:hAnsiTheme="minorHAnsi"/>
          <w:color w:val="000000"/>
          <w:szCs w:val="24"/>
        </w:rPr>
        <w:t>rea under the curve</w:t>
      </w:r>
    </w:p>
    <w:p w14:paraId="1A2A525A" w14:textId="44E59260" w:rsidR="00751F07" w:rsidRDefault="00751F07"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BMT</w:t>
      </w:r>
      <w:r>
        <w:rPr>
          <w:rFonts w:asciiTheme="minorHAnsi" w:hAnsiTheme="minorHAnsi"/>
          <w:color w:val="000000"/>
          <w:szCs w:val="24"/>
        </w:rPr>
        <w:tab/>
        <w:t>bone marrow transplant</w:t>
      </w:r>
    </w:p>
    <w:p w14:paraId="2D3C6C27" w14:textId="18D23DD0" w:rsidR="000A3454" w:rsidRDefault="000A3454" w:rsidP="00757361">
      <w:pPr>
        <w:tabs>
          <w:tab w:val="left" w:pos="2943"/>
        </w:tabs>
        <w:spacing w:line="240" w:lineRule="auto"/>
        <w:rPr>
          <w:rFonts w:asciiTheme="minorHAnsi" w:hAnsiTheme="minorHAnsi"/>
          <w:color w:val="000000"/>
          <w:szCs w:val="24"/>
        </w:rPr>
      </w:pPr>
      <w:r>
        <w:t>CI</w:t>
      </w:r>
      <w:r>
        <w:tab/>
      </w:r>
      <w:r w:rsidR="005070FC">
        <w:rPr>
          <w:rFonts w:asciiTheme="minorHAnsi" w:hAnsiTheme="minorHAnsi"/>
          <w:color w:val="000000"/>
          <w:szCs w:val="24"/>
        </w:rPr>
        <w:t>c</w:t>
      </w:r>
      <w:r>
        <w:rPr>
          <w:rFonts w:asciiTheme="minorHAnsi" w:hAnsiTheme="minorHAnsi"/>
          <w:color w:val="000000"/>
          <w:szCs w:val="24"/>
        </w:rPr>
        <w:t>onfidence interval</w:t>
      </w:r>
    </w:p>
    <w:p w14:paraId="163A3F56" w14:textId="2466BF27" w:rsidR="00AE66C3" w:rsidRDefault="005070FC"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CRA</w:t>
      </w:r>
      <w:r>
        <w:rPr>
          <w:rFonts w:asciiTheme="minorHAnsi" w:hAnsiTheme="minorHAnsi"/>
          <w:color w:val="000000"/>
          <w:szCs w:val="24"/>
        </w:rPr>
        <w:tab/>
        <w:t>chemotherapy-</w:t>
      </w:r>
      <w:r w:rsidR="00AE66C3">
        <w:rPr>
          <w:rFonts w:asciiTheme="minorHAnsi" w:hAnsiTheme="minorHAnsi"/>
          <w:color w:val="000000"/>
          <w:szCs w:val="24"/>
        </w:rPr>
        <w:t>related amenorrhea</w:t>
      </w:r>
    </w:p>
    <w:p w14:paraId="59B8EADC" w14:textId="0B64E5C3" w:rsidR="0039670B" w:rsidRDefault="005070FC"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C</w:t>
      </w:r>
      <w:r w:rsidR="00776418">
        <w:rPr>
          <w:rFonts w:asciiTheme="minorHAnsi" w:hAnsiTheme="minorHAnsi"/>
          <w:color w:val="000000"/>
          <w:szCs w:val="24"/>
        </w:rPr>
        <w:t>o</w:t>
      </w:r>
      <w:r>
        <w:rPr>
          <w:rFonts w:asciiTheme="minorHAnsi" w:hAnsiTheme="minorHAnsi"/>
          <w:color w:val="000000"/>
          <w:szCs w:val="24"/>
        </w:rPr>
        <w:t>V</w:t>
      </w:r>
      <w:r>
        <w:rPr>
          <w:rFonts w:asciiTheme="minorHAnsi" w:hAnsiTheme="minorHAnsi"/>
          <w:color w:val="000000"/>
          <w:szCs w:val="24"/>
        </w:rPr>
        <w:tab/>
        <w:t>c</w:t>
      </w:r>
      <w:r w:rsidR="0039670B">
        <w:rPr>
          <w:rFonts w:asciiTheme="minorHAnsi" w:hAnsiTheme="minorHAnsi"/>
          <w:color w:val="000000"/>
          <w:szCs w:val="24"/>
        </w:rPr>
        <w:t>oefficient</w:t>
      </w:r>
      <w:r w:rsidR="00205BD5">
        <w:rPr>
          <w:rFonts w:asciiTheme="minorHAnsi" w:hAnsiTheme="minorHAnsi"/>
          <w:color w:val="000000"/>
          <w:szCs w:val="24"/>
        </w:rPr>
        <w:t>(s)</w:t>
      </w:r>
      <w:r w:rsidR="0039670B">
        <w:rPr>
          <w:rFonts w:asciiTheme="minorHAnsi" w:hAnsiTheme="minorHAnsi"/>
          <w:color w:val="000000"/>
          <w:szCs w:val="24"/>
        </w:rPr>
        <w:t xml:space="preserve"> of variation</w:t>
      </w:r>
    </w:p>
    <w:p w14:paraId="4EE8EE28" w14:textId="292F227B" w:rsidR="006432BE" w:rsidRDefault="005070FC"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E2</w:t>
      </w:r>
      <w:r>
        <w:rPr>
          <w:rFonts w:asciiTheme="minorHAnsi" w:hAnsiTheme="minorHAnsi"/>
          <w:color w:val="000000"/>
          <w:szCs w:val="24"/>
        </w:rPr>
        <w:tab/>
        <w:t>e</w:t>
      </w:r>
      <w:r w:rsidR="006432BE">
        <w:rPr>
          <w:rFonts w:asciiTheme="minorHAnsi" w:hAnsiTheme="minorHAnsi"/>
          <w:color w:val="000000"/>
          <w:szCs w:val="24"/>
        </w:rPr>
        <w:t>stradiol</w:t>
      </w:r>
    </w:p>
    <w:p w14:paraId="27A60F84" w14:textId="18331869" w:rsidR="0039670B" w:rsidRDefault="005070FC"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EIA</w:t>
      </w:r>
      <w:r>
        <w:rPr>
          <w:rFonts w:asciiTheme="minorHAnsi" w:hAnsiTheme="minorHAnsi"/>
          <w:color w:val="000000"/>
          <w:szCs w:val="24"/>
        </w:rPr>
        <w:tab/>
        <w:t>e</w:t>
      </w:r>
      <w:r w:rsidR="0039670B">
        <w:rPr>
          <w:rFonts w:asciiTheme="minorHAnsi" w:hAnsiTheme="minorHAnsi"/>
          <w:color w:val="000000"/>
          <w:szCs w:val="24"/>
        </w:rPr>
        <w:t>nzyme immunoassay</w:t>
      </w:r>
    </w:p>
    <w:p w14:paraId="442CB44E" w14:textId="4D9AD281" w:rsidR="0039670B" w:rsidRDefault="0039670B"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ELISA</w:t>
      </w:r>
      <w:r>
        <w:rPr>
          <w:rFonts w:asciiTheme="minorHAnsi" w:hAnsiTheme="minorHAnsi"/>
          <w:color w:val="000000"/>
          <w:szCs w:val="24"/>
        </w:rPr>
        <w:tab/>
      </w:r>
      <w:r w:rsidR="005070FC">
        <w:rPr>
          <w:rFonts w:asciiTheme="minorHAnsi" w:hAnsiTheme="minorHAnsi"/>
          <w:color w:val="000000"/>
          <w:szCs w:val="24"/>
        </w:rPr>
        <w:t>e</w:t>
      </w:r>
      <w:r w:rsidRPr="0039670B">
        <w:rPr>
          <w:rFonts w:asciiTheme="minorHAnsi" w:hAnsiTheme="minorHAnsi"/>
          <w:color w:val="000000"/>
          <w:szCs w:val="24"/>
        </w:rPr>
        <w:t>nzyme-linked immunosorbent assay</w:t>
      </w:r>
    </w:p>
    <w:p w14:paraId="43381A50" w14:textId="24D6E329" w:rsidR="006432BE" w:rsidRDefault="005070FC"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FSH</w:t>
      </w:r>
      <w:r>
        <w:rPr>
          <w:rFonts w:asciiTheme="minorHAnsi" w:hAnsiTheme="minorHAnsi"/>
          <w:color w:val="000000"/>
          <w:szCs w:val="24"/>
        </w:rPr>
        <w:tab/>
        <w:t>f</w:t>
      </w:r>
      <w:r w:rsidR="006432BE">
        <w:rPr>
          <w:rFonts w:asciiTheme="minorHAnsi" w:hAnsiTheme="minorHAnsi"/>
          <w:color w:val="000000"/>
          <w:szCs w:val="24"/>
        </w:rPr>
        <w:t>ollicle</w:t>
      </w:r>
      <w:r w:rsidR="00DE6DD5">
        <w:rPr>
          <w:rFonts w:asciiTheme="minorHAnsi" w:hAnsiTheme="minorHAnsi"/>
          <w:color w:val="000000"/>
          <w:szCs w:val="24"/>
        </w:rPr>
        <w:t>-</w:t>
      </w:r>
      <w:r w:rsidR="006432BE">
        <w:rPr>
          <w:rFonts w:asciiTheme="minorHAnsi" w:hAnsiTheme="minorHAnsi"/>
          <w:color w:val="000000"/>
          <w:szCs w:val="24"/>
        </w:rPr>
        <w:t>stimulating hormone</w:t>
      </w:r>
    </w:p>
    <w:p w14:paraId="00252DCC" w14:textId="6E6BD91B" w:rsidR="005D1437" w:rsidRDefault="005070FC"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FP</w:t>
      </w:r>
      <w:r>
        <w:rPr>
          <w:rFonts w:asciiTheme="minorHAnsi" w:hAnsiTheme="minorHAnsi"/>
          <w:color w:val="000000"/>
          <w:szCs w:val="24"/>
        </w:rPr>
        <w:tab/>
        <w:t>f</w:t>
      </w:r>
      <w:r w:rsidR="005D1437">
        <w:rPr>
          <w:rFonts w:asciiTheme="minorHAnsi" w:hAnsiTheme="minorHAnsi"/>
          <w:color w:val="000000"/>
          <w:szCs w:val="24"/>
        </w:rPr>
        <w:t>alse positive</w:t>
      </w:r>
    </w:p>
    <w:p w14:paraId="600F32C2" w14:textId="7CD6FFA6" w:rsidR="0079262A" w:rsidRDefault="005070FC"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FPR</w:t>
      </w:r>
      <w:r>
        <w:rPr>
          <w:rFonts w:asciiTheme="minorHAnsi" w:hAnsiTheme="minorHAnsi"/>
          <w:color w:val="000000"/>
          <w:szCs w:val="24"/>
        </w:rPr>
        <w:tab/>
        <w:t>f</w:t>
      </w:r>
      <w:r w:rsidR="0079262A">
        <w:rPr>
          <w:rFonts w:asciiTheme="minorHAnsi" w:hAnsiTheme="minorHAnsi"/>
          <w:color w:val="000000"/>
          <w:szCs w:val="24"/>
        </w:rPr>
        <w:t>alse</w:t>
      </w:r>
      <w:r w:rsidR="00DE6DD5">
        <w:rPr>
          <w:rFonts w:asciiTheme="minorHAnsi" w:hAnsiTheme="minorHAnsi"/>
          <w:color w:val="000000"/>
          <w:szCs w:val="24"/>
        </w:rPr>
        <w:t>-</w:t>
      </w:r>
      <w:r w:rsidR="0079262A">
        <w:rPr>
          <w:rFonts w:asciiTheme="minorHAnsi" w:hAnsiTheme="minorHAnsi"/>
          <w:color w:val="000000"/>
          <w:szCs w:val="24"/>
        </w:rPr>
        <w:t>positive rate</w:t>
      </w:r>
    </w:p>
    <w:p w14:paraId="362D4823" w14:textId="5FCD8907" w:rsidR="00751F07" w:rsidRDefault="00751F07"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GnRH</w:t>
      </w:r>
      <w:r>
        <w:rPr>
          <w:rFonts w:asciiTheme="minorHAnsi" w:hAnsiTheme="minorHAnsi"/>
          <w:color w:val="000000"/>
          <w:szCs w:val="24"/>
        </w:rPr>
        <w:tab/>
        <w:t>gonadotropin-releasing hormone</w:t>
      </w:r>
    </w:p>
    <w:p w14:paraId="6B0EBE1D" w14:textId="1310CA7A" w:rsidR="00751F07" w:rsidRDefault="00751F07"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HCT</w:t>
      </w:r>
      <w:r>
        <w:rPr>
          <w:rFonts w:asciiTheme="minorHAnsi" w:hAnsiTheme="minorHAnsi"/>
          <w:color w:val="000000"/>
          <w:szCs w:val="24"/>
        </w:rPr>
        <w:tab/>
        <w:t>haemopoietic cell transplant</w:t>
      </w:r>
    </w:p>
    <w:p w14:paraId="020DD85B" w14:textId="77777777" w:rsidR="000A3454" w:rsidRDefault="000A3454" w:rsidP="00966102">
      <w:pPr>
        <w:tabs>
          <w:tab w:val="left" w:pos="2943"/>
        </w:tabs>
        <w:spacing w:line="240" w:lineRule="auto"/>
      </w:pPr>
      <w:r w:rsidRPr="00183E4D">
        <w:t>HESP</w:t>
      </w:r>
      <w:r w:rsidRPr="00183E4D">
        <w:tab/>
        <w:t>Health Expert Standing Panel</w:t>
      </w:r>
    </w:p>
    <w:p w14:paraId="4824320A" w14:textId="68EF6C1E" w:rsidR="00751F07" w:rsidRDefault="00751F07" w:rsidP="00966102">
      <w:pPr>
        <w:tabs>
          <w:tab w:val="left" w:pos="2943"/>
        </w:tabs>
        <w:spacing w:line="240" w:lineRule="auto"/>
      </w:pPr>
      <w:r>
        <w:t>HL</w:t>
      </w:r>
      <w:r>
        <w:tab/>
        <w:t>Hodgkin lymphoma</w:t>
      </w:r>
    </w:p>
    <w:p w14:paraId="628F2E16" w14:textId="4C619699" w:rsidR="00146FE1" w:rsidRDefault="005070FC" w:rsidP="00966102">
      <w:pPr>
        <w:tabs>
          <w:tab w:val="left" w:pos="2943"/>
        </w:tabs>
        <w:spacing w:line="240" w:lineRule="auto"/>
      </w:pPr>
      <w:r>
        <w:t>hMG</w:t>
      </w:r>
      <w:r>
        <w:tab/>
        <w:t>h</w:t>
      </w:r>
      <w:r w:rsidR="00E00C08">
        <w:t>uman menopausal gonadotropin, also called menotropin</w:t>
      </w:r>
    </w:p>
    <w:p w14:paraId="67F8D757" w14:textId="660FFE6F" w:rsidR="00F0238F" w:rsidRDefault="005070FC" w:rsidP="00966102">
      <w:pPr>
        <w:tabs>
          <w:tab w:val="left" w:pos="2943"/>
        </w:tabs>
        <w:spacing w:line="240" w:lineRule="auto"/>
      </w:pPr>
      <w:r>
        <w:lastRenderedPageBreak/>
        <w:t>HR</w:t>
      </w:r>
      <w:r>
        <w:tab/>
        <w:t>hazard r</w:t>
      </w:r>
      <w:r w:rsidR="00F0238F">
        <w:t>atio</w:t>
      </w:r>
    </w:p>
    <w:p w14:paraId="1D596460" w14:textId="4B64B2FA" w:rsidR="0024135A" w:rsidRPr="00183E4D" w:rsidRDefault="005070FC" w:rsidP="00966102">
      <w:pPr>
        <w:tabs>
          <w:tab w:val="left" w:pos="2943"/>
        </w:tabs>
        <w:spacing w:line="240" w:lineRule="auto"/>
      </w:pPr>
      <w:r>
        <w:t>HRT</w:t>
      </w:r>
      <w:r>
        <w:tab/>
        <w:t>h</w:t>
      </w:r>
      <w:r w:rsidR="0024135A">
        <w:t>ormone replacement therapy</w:t>
      </w:r>
    </w:p>
    <w:p w14:paraId="6831D9C5" w14:textId="4C7EEECA" w:rsidR="000A3454" w:rsidRDefault="000A3454"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HRQoL</w:t>
      </w:r>
      <w:r w:rsidRPr="00183E4D">
        <w:tab/>
      </w:r>
      <w:r w:rsidR="005070FC">
        <w:rPr>
          <w:rFonts w:asciiTheme="minorHAnsi" w:hAnsiTheme="minorHAnsi"/>
          <w:color w:val="000000"/>
          <w:szCs w:val="24"/>
        </w:rPr>
        <w:t>h</w:t>
      </w:r>
      <w:r>
        <w:rPr>
          <w:rFonts w:asciiTheme="minorHAnsi" w:hAnsiTheme="minorHAnsi"/>
          <w:color w:val="000000"/>
          <w:szCs w:val="24"/>
        </w:rPr>
        <w:t>ealth-related quality of life</w:t>
      </w:r>
    </w:p>
    <w:p w14:paraId="33EBF9E4" w14:textId="58B7CB9E" w:rsidR="00F0238F" w:rsidRPr="00183E4D" w:rsidRDefault="005070FC" w:rsidP="00966102">
      <w:pPr>
        <w:tabs>
          <w:tab w:val="left" w:pos="2943"/>
        </w:tabs>
        <w:spacing w:line="240" w:lineRule="auto"/>
      </w:pPr>
      <w:r>
        <w:rPr>
          <w:rFonts w:asciiTheme="minorHAnsi" w:hAnsiTheme="minorHAnsi"/>
          <w:color w:val="000000"/>
          <w:szCs w:val="24"/>
        </w:rPr>
        <w:t>HSCT</w:t>
      </w:r>
      <w:r>
        <w:rPr>
          <w:rFonts w:asciiTheme="minorHAnsi" w:hAnsiTheme="minorHAnsi"/>
          <w:color w:val="000000"/>
          <w:szCs w:val="24"/>
        </w:rPr>
        <w:tab/>
        <w:t>h</w:t>
      </w:r>
      <w:r w:rsidR="00F0238F">
        <w:rPr>
          <w:rFonts w:asciiTheme="minorHAnsi" w:hAnsiTheme="minorHAnsi"/>
          <w:color w:val="000000"/>
          <w:szCs w:val="24"/>
        </w:rPr>
        <w:t>aematopoietic stem cell transplant</w:t>
      </w:r>
    </w:p>
    <w:p w14:paraId="5B7C5C0B" w14:textId="33F6A849" w:rsidR="000A3454" w:rsidRPr="00183E4D" w:rsidRDefault="005070FC" w:rsidP="00966102">
      <w:pPr>
        <w:tabs>
          <w:tab w:val="left" w:pos="2943"/>
        </w:tabs>
        <w:spacing w:line="240" w:lineRule="auto"/>
      </w:pPr>
      <w:r>
        <w:t>HTA</w:t>
      </w:r>
      <w:r>
        <w:tab/>
        <w:t>h</w:t>
      </w:r>
      <w:r w:rsidR="000A3454" w:rsidRPr="00183E4D">
        <w:t>ealth technology assessment</w:t>
      </w:r>
    </w:p>
    <w:p w14:paraId="4CE3FE0B" w14:textId="3A0AFDFB" w:rsidR="000A3454" w:rsidRDefault="005070FC" w:rsidP="00966102">
      <w:pPr>
        <w:tabs>
          <w:tab w:val="left" w:pos="2943"/>
        </w:tabs>
        <w:spacing w:line="240" w:lineRule="auto"/>
      </w:pPr>
      <w:r>
        <w:t>ICER</w:t>
      </w:r>
      <w:r>
        <w:tab/>
        <w:t>i</w:t>
      </w:r>
      <w:r w:rsidR="000A3454" w:rsidRPr="00183E4D">
        <w:t>ncremental cost-effectiveness ratio</w:t>
      </w:r>
    </w:p>
    <w:p w14:paraId="063467FD" w14:textId="13B42638" w:rsidR="00751F07" w:rsidRDefault="005070FC" w:rsidP="00966102">
      <w:pPr>
        <w:tabs>
          <w:tab w:val="left" w:pos="2943"/>
        </w:tabs>
        <w:spacing w:line="240" w:lineRule="auto"/>
      </w:pPr>
      <w:r>
        <w:t>ICSI</w:t>
      </w:r>
      <w:r>
        <w:tab/>
        <w:t>i</w:t>
      </w:r>
      <w:r w:rsidR="00FB3A95">
        <w:t>ntracyt</w:t>
      </w:r>
      <w:r w:rsidR="005D423D">
        <w:t>oplasmic sperm injection</w:t>
      </w:r>
    </w:p>
    <w:p w14:paraId="7BD338D9" w14:textId="2314A42F" w:rsidR="005A61AD" w:rsidRDefault="005070FC" w:rsidP="00966102">
      <w:pPr>
        <w:tabs>
          <w:tab w:val="left" w:pos="2943"/>
        </w:tabs>
        <w:spacing w:line="240" w:lineRule="auto"/>
      </w:pPr>
      <w:r>
        <w:t>IVF</w:t>
      </w:r>
      <w:r>
        <w:tab/>
        <w:t>i</w:t>
      </w:r>
      <w:r w:rsidR="005A61AD">
        <w:t>n vitro fertilisation</w:t>
      </w:r>
    </w:p>
    <w:p w14:paraId="5054EF4E" w14:textId="0520CD82" w:rsidR="00AE66C3" w:rsidRDefault="005070FC" w:rsidP="00966102">
      <w:pPr>
        <w:tabs>
          <w:tab w:val="left" w:pos="2943"/>
        </w:tabs>
        <w:spacing w:line="240" w:lineRule="auto"/>
      </w:pPr>
      <w:r>
        <w:t>LH</w:t>
      </w:r>
      <w:r>
        <w:tab/>
        <w:t>l</w:t>
      </w:r>
      <w:r w:rsidR="00AE66C3">
        <w:t>uteinising hormone</w:t>
      </w:r>
    </w:p>
    <w:p w14:paraId="6A70376F" w14:textId="6EF4487B" w:rsidR="0039670B" w:rsidRDefault="005070FC" w:rsidP="00966102">
      <w:pPr>
        <w:tabs>
          <w:tab w:val="left" w:pos="2943"/>
        </w:tabs>
        <w:spacing w:line="240" w:lineRule="auto"/>
      </w:pPr>
      <w:r>
        <w:t>LoD</w:t>
      </w:r>
      <w:r>
        <w:tab/>
        <w:t>l</w:t>
      </w:r>
      <w:r w:rsidR="0039670B">
        <w:t>imit of detection</w:t>
      </w:r>
    </w:p>
    <w:p w14:paraId="012AE60C" w14:textId="2D8AC4C7" w:rsidR="00751F07" w:rsidRDefault="00751F07" w:rsidP="00966102">
      <w:pPr>
        <w:tabs>
          <w:tab w:val="left" w:pos="2943"/>
        </w:tabs>
        <w:spacing w:line="240" w:lineRule="auto"/>
      </w:pPr>
      <w:r>
        <w:t>LoQ</w:t>
      </w:r>
      <w:r>
        <w:tab/>
        <w:t>limit of quantification</w:t>
      </w:r>
    </w:p>
    <w:p w14:paraId="7AE3DDF0" w14:textId="4D36078E" w:rsidR="005D1437" w:rsidRPr="00183E4D" w:rsidRDefault="005070FC" w:rsidP="00966102">
      <w:pPr>
        <w:tabs>
          <w:tab w:val="left" w:pos="2943"/>
        </w:tabs>
        <w:spacing w:line="240" w:lineRule="auto"/>
      </w:pPr>
      <w:r>
        <w:t>LR</w:t>
      </w:r>
      <w:r>
        <w:tab/>
        <w:t>l</w:t>
      </w:r>
      <w:r w:rsidR="005D1437">
        <w:t>ikelihood ratio</w:t>
      </w:r>
    </w:p>
    <w:p w14:paraId="6195C2FC" w14:textId="77777777" w:rsidR="000A3454" w:rsidRPr="00183E4D" w:rsidRDefault="000A3454" w:rsidP="00966102">
      <w:pPr>
        <w:tabs>
          <w:tab w:val="left" w:pos="2943"/>
        </w:tabs>
        <w:spacing w:line="240" w:lineRule="auto"/>
      </w:pPr>
      <w:r w:rsidRPr="00183E4D">
        <w:t>MBS</w:t>
      </w:r>
      <w:r w:rsidRPr="00183E4D">
        <w:tab/>
        <w:t>Medicare Benefits Schedule</w:t>
      </w:r>
    </w:p>
    <w:p w14:paraId="49663954" w14:textId="450DAB9A" w:rsidR="000A3454" w:rsidRDefault="000A3454" w:rsidP="00966102">
      <w:pPr>
        <w:tabs>
          <w:tab w:val="left" w:pos="2943"/>
        </w:tabs>
        <w:spacing w:line="240" w:lineRule="auto"/>
      </w:pPr>
      <w:r>
        <w:t>MD</w:t>
      </w:r>
      <w:r w:rsidRPr="00183E4D">
        <w:tab/>
      </w:r>
      <w:r w:rsidR="005070FC">
        <w:t>m</w:t>
      </w:r>
      <w:r>
        <w:t>ean difference</w:t>
      </w:r>
    </w:p>
    <w:p w14:paraId="3E252B93" w14:textId="49818BB9" w:rsidR="00B111B0" w:rsidRDefault="00B111B0" w:rsidP="00966102">
      <w:pPr>
        <w:tabs>
          <w:tab w:val="left" w:pos="2943"/>
        </w:tabs>
        <w:spacing w:line="240" w:lineRule="auto"/>
      </w:pPr>
      <w:r>
        <w:t>MII</w:t>
      </w:r>
      <w:r>
        <w:tab/>
        <w:t>mature metaphase II (oocyte)</w:t>
      </w:r>
    </w:p>
    <w:p w14:paraId="3CC759FD" w14:textId="324616D6" w:rsidR="0039670B" w:rsidRPr="00183E4D" w:rsidRDefault="0039670B" w:rsidP="00966102">
      <w:pPr>
        <w:tabs>
          <w:tab w:val="left" w:pos="2943"/>
        </w:tabs>
        <w:spacing w:line="240" w:lineRule="auto"/>
      </w:pPr>
      <w:r>
        <w:t>MIS</w:t>
      </w:r>
      <w:r>
        <w:tab/>
      </w:r>
      <w:r w:rsidR="005070FC">
        <w:t>Müllerian-</w:t>
      </w:r>
      <w:r w:rsidRPr="0039670B">
        <w:t>inhibiting substance</w:t>
      </w:r>
    </w:p>
    <w:p w14:paraId="71B2280D" w14:textId="77777777" w:rsidR="000A3454" w:rsidRDefault="000A3454" w:rsidP="00966102">
      <w:pPr>
        <w:tabs>
          <w:tab w:val="left" w:pos="2943"/>
        </w:tabs>
        <w:spacing w:line="240" w:lineRule="auto"/>
      </w:pPr>
      <w:r w:rsidRPr="00183E4D">
        <w:t>MSAC</w:t>
      </w:r>
      <w:r w:rsidRPr="00183E4D">
        <w:tab/>
        <w:t>Medical Services Advisory Committee</w:t>
      </w:r>
    </w:p>
    <w:p w14:paraId="67E9A794" w14:textId="01D90FA8" w:rsidR="005D423D" w:rsidRPr="00183E4D" w:rsidRDefault="005070FC" w:rsidP="00966102">
      <w:pPr>
        <w:tabs>
          <w:tab w:val="left" w:pos="2943"/>
        </w:tabs>
        <w:spacing w:line="240" w:lineRule="auto"/>
      </w:pPr>
      <w:r>
        <w:t>NA</w:t>
      </w:r>
      <w:r>
        <w:tab/>
        <w:t>n</w:t>
      </w:r>
      <w:r w:rsidR="005D423D">
        <w:t>ot applicable</w:t>
      </w:r>
    </w:p>
    <w:p w14:paraId="5AB76113" w14:textId="77777777" w:rsidR="000A3454" w:rsidRDefault="000A3454" w:rsidP="00966102">
      <w:pPr>
        <w:tabs>
          <w:tab w:val="left" w:pos="2943"/>
        </w:tabs>
        <w:spacing w:line="240" w:lineRule="auto"/>
        <w:rPr>
          <w:rFonts w:asciiTheme="minorHAnsi" w:hAnsiTheme="minorHAnsi"/>
          <w:color w:val="000000"/>
          <w:szCs w:val="24"/>
        </w:rPr>
      </w:pPr>
      <w:r>
        <w:t>NHMRC</w:t>
      </w:r>
      <w:r w:rsidRPr="00183E4D">
        <w:tab/>
      </w:r>
      <w:r>
        <w:rPr>
          <w:rFonts w:asciiTheme="minorHAnsi" w:hAnsiTheme="minorHAnsi"/>
          <w:color w:val="000000"/>
          <w:szCs w:val="24"/>
        </w:rPr>
        <w:t>National Health and Medical Research Council</w:t>
      </w:r>
    </w:p>
    <w:p w14:paraId="5901723E" w14:textId="7DFB38DE" w:rsidR="005D1437" w:rsidRDefault="005070FC"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NPV</w:t>
      </w:r>
      <w:r>
        <w:rPr>
          <w:rFonts w:asciiTheme="minorHAnsi" w:hAnsiTheme="minorHAnsi"/>
          <w:color w:val="000000"/>
          <w:szCs w:val="24"/>
        </w:rPr>
        <w:tab/>
        <w:t>n</w:t>
      </w:r>
      <w:r w:rsidR="005D1437">
        <w:rPr>
          <w:rFonts w:asciiTheme="minorHAnsi" w:hAnsiTheme="minorHAnsi"/>
          <w:color w:val="000000"/>
          <w:szCs w:val="24"/>
        </w:rPr>
        <w:t>egative predictive value</w:t>
      </w:r>
    </w:p>
    <w:p w14:paraId="09DA09F5" w14:textId="713B1FEF" w:rsidR="00B111B0" w:rsidRDefault="00B111B0"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NR</w:t>
      </w:r>
      <w:r>
        <w:rPr>
          <w:rFonts w:asciiTheme="minorHAnsi" w:hAnsiTheme="minorHAnsi"/>
          <w:color w:val="000000"/>
          <w:szCs w:val="24"/>
        </w:rPr>
        <w:tab/>
        <w:t>not reported</w:t>
      </w:r>
    </w:p>
    <w:p w14:paraId="37A92EEE" w14:textId="04745FE5" w:rsidR="004B258B" w:rsidRDefault="005070FC"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NS</w:t>
      </w:r>
      <w:r>
        <w:rPr>
          <w:rFonts w:asciiTheme="minorHAnsi" w:hAnsiTheme="minorHAnsi"/>
          <w:color w:val="000000"/>
          <w:szCs w:val="24"/>
        </w:rPr>
        <w:tab/>
        <w:t>n</w:t>
      </w:r>
      <w:r w:rsidR="004B258B">
        <w:rPr>
          <w:rFonts w:asciiTheme="minorHAnsi" w:hAnsiTheme="minorHAnsi"/>
          <w:color w:val="000000"/>
          <w:szCs w:val="24"/>
        </w:rPr>
        <w:t>ot significant</w:t>
      </w:r>
    </w:p>
    <w:p w14:paraId="056C1368" w14:textId="3E51F3F1" w:rsidR="005A61AD" w:rsidRDefault="005070FC"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OHSS</w:t>
      </w:r>
      <w:r>
        <w:rPr>
          <w:rFonts w:asciiTheme="minorHAnsi" w:hAnsiTheme="minorHAnsi"/>
          <w:color w:val="000000"/>
          <w:szCs w:val="24"/>
        </w:rPr>
        <w:tab/>
        <w:t>o</w:t>
      </w:r>
      <w:r w:rsidR="005A61AD">
        <w:rPr>
          <w:rFonts w:asciiTheme="minorHAnsi" w:hAnsiTheme="minorHAnsi"/>
          <w:color w:val="000000"/>
          <w:szCs w:val="24"/>
        </w:rPr>
        <w:t>varian hyperstimulation syndrome</w:t>
      </w:r>
    </w:p>
    <w:p w14:paraId="372A1F86" w14:textId="7D904583" w:rsidR="00636F7C" w:rsidRDefault="005070FC"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OR</w:t>
      </w:r>
      <w:r>
        <w:rPr>
          <w:rFonts w:asciiTheme="minorHAnsi" w:hAnsiTheme="minorHAnsi"/>
          <w:color w:val="000000"/>
          <w:szCs w:val="24"/>
        </w:rPr>
        <w:tab/>
        <w:t>o</w:t>
      </w:r>
      <w:r w:rsidR="00636F7C">
        <w:rPr>
          <w:rFonts w:asciiTheme="minorHAnsi" w:hAnsiTheme="minorHAnsi"/>
          <w:color w:val="000000"/>
          <w:szCs w:val="24"/>
        </w:rPr>
        <w:t>dds ratio</w:t>
      </w:r>
    </w:p>
    <w:p w14:paraId="6CB0B0BA" w14:textId="2544C4F8" w:rsidR="00B111B0" w:rsidRPr="00183E4D" w:rsidRDefault="00B111B0" w:rsidP="00966102">
      <w:pPr>
        <w:tabs>
          <w:tab w:val="left" w:pos="2943"/>
        </w:tabs>
        <w:spacing w:line="240" w:lineRule="auto"/>
      </w:pPr>
      <w:r>
        <w:rPr>
          <w:rFonts w:asciiTheme="minorHAnsi" w:hAnsiTheme="minorHAnsi"/>
          <w:color w:val="000000"/>
          <w:szCs w:val="24"/>
        </w:rPr>
        <w:t>OTC</w:t>
      </w:r>
      <w:r>
        <w:rPr>
          <w:rFonts w:asciiTheme="minorHAnsi" w:hAnsiTheme="minorHAnsi"/>
          <w:color w:val="000000"/>
          <w:szCs w:val="24"/>
        </w:rPr>
        <w:tab/>
        <w:t>ovarian tissue cryopreservation</w:t>
      </w:r>
    </w:p>
    <w:p w14:paraId="4813F489" w14:textId="77777777" w:rsidR="000A3454" w:rsidRDefault="000A3454" w:rsidP="00966102">
      <w:pPr>
        <w:tabs>
          <w:tab w:val="left" w:pos="2943"/>
        </w:tabs>
        <w:spacing w:line="240" w:lineRule="auto"/>
        <w:rPr>
          <w:rFonts w:asciiTheme="minorHAnsi" w:hAnsiTheme="minorHAnsi"/>
          <w:color w:val="000000"/>
          <w:szCs w:val="24"/>
        </w:rPr>
      </w:pPr>
      <w:r>
        <w:t>PASC</w:t>
      </w:r>
      <w:r>
        <w:tab/>
      </w:r>
      <w:r>
        <w:rPr>
          <w:rFonts w:asciiTheme="minorHAnsi" w:hAnsiTheme="minorHAnsi"/>
          <w:color w:val="000000"/>
          <w:szCs w:val="24"/>
        </w:rPr>
        <w:t>PICO Confirmation Advisory Sub-Committee of the MSAC</w:t>
      </w:r>
    </w:p>
    <w:p w14:paraId="22C7B125" w14:textId="52A61542" w:rsidR="005070FC" w:rsidRDefault="00A76324"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PICO</w:t>
      </w:r>
      <w:r>
        <w:rPr>
          <w:rFonts w:asciiTheme="minorHAnsi" w:hAnsiTheme="minorHAnsi"/>
          <w:color w:val="000000"/>
          <w:szCs w:val="24"/>
        </w:rPr>
        <w:tab/>
        <w:t>Population, I</w:t>
      </w:r>
      <w:r w:rsidR="005070FC">
        <w:rPr>
          <w:rFonts w:asciiTheme="minorHAnsi" w:hAnsiTheme="minorHAnsi"/>
          <w:color w:val="000000"/>
          <w:szCs w:val="24"/>
        </w:rPr>
        <w:t>ntervention</w:t>
      </w:r>
      <w:r>
        <w:rPr>
          <w:rFonts w:asciiTheme="minorHAnsi" w:hAnsiTheme="minorHAnsi"/>
          <w:color w:val="000000"/>
          <w:szCs w:val="24"/>
        </w:rPr>
        <w:t>/Investigation/Index test</w:t>
      </w:r>
      <w:r w:rsidR="005070FC">
        <w:rPr>
          <w:rFonts w:asciiTheme="minorHAnsi" w:hAnsiTheme="minorHAnsi"/>
          <w:color w:val="000000"/>
          <w:szCs w:val="24"/>
        </w:rPr>
        <w:t xml:space="preserve">, </w:t>
      </w:r>
      <w:r>
        <w:rPr>
          <w:rFonts w:asciiTheme="minorHAnsi" w:hAnsiTheme="minorHAnsi"/>
          <w:color w:val="000000"/>
          <w:szCs w:val="24"/>
        </w:rPr>
        <w:t>C</w:t>
      </w:r>
      <w:r w:rsidR="005070FC">
        <w:rPr>
          <w:rFonts w:asciiTheme="minorHAnsi" w:hAnsiTheme="minorHAnsi"/>
          <w:color w:val="000000"/>
          <w:szCs w:val="24"/>
        </w:rPr>
        <w:t xml:space="preserve">omparator(s), </w:t>
      </w:r>
      <w:r>
        <w:rPr>
          <w:rFonts w:asciiTheme="minorHAnsi" w:hAnsiTheme="minorHAnsi"/>
          <w:color w:val="000000"/>
          <w:szCs w:val="24"/>
        </w:rPr>
        <w:tab/>
        <w:t>O</w:t>
      </w:r>
      <w:r w:rsidR="005070FC">
        <w:rPr>
          <w:rFonts w:asciiTheme="minorHAnsi" w:hAnsiTheme="minorHAnsi"/>
          <w:color w:val="000000"/>
          <w:szCs w:val="24"/>
        </w:rPr>
        <w:t>utcome(s)</w:t>
      </w:r>
    </w:p>
    <w:p w14:paraId="7A06A6D9" w14:textId="01A1C00C" w:rsidR="005D1437" w:rsidRDefault="005070FC"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lastRenderedPageBreak/>
        <w:t>PPV</w:t>
      </w:r>
      <w:r>
        <w:rPr>
          <w:rFonts w:asciiTheme="minorHAnsi" w:hAnsiTheme="minorHAnsi"/>
          <w:color w:val="000000"/>
          <w:szCs w:val="24"/>
        </w:rPr>
        <w:tab/>
        <w:t>p</w:t>
      </w:r>
      <w:r w:rsidR="005D1437">
        <w:rPr>
          <w:rFonts w:asciiTheme="minorHAnsi" w:hAnsiTheme="minorHAnsi"/>
          <w:color w:val="000000"/>
          <w:szCs w:val="24"/>
        </w:rPr>
        <w:t>ositive predictive value</w:t>
      </w:r>
    </w:p>
    <w:p w14:paraId="4099156B" w14:textId="16F370A0" w:rsidR="000A3454" w:rsidRDefault="000A3454" w:rsidP="00966102">
      <w:pPr>
        <w:tabs>
          <w:tab w:val="left" w:pos="2943"/>
        </w:tabs>
        <w:spacing w:line="240" w:lineRule="auto"/>
      </w:pPr>
      <w:r>
        <w:t>QALY</w:t>
      </w:r>
      <w:r w:rsidRPr="00183E4D">
        <w:tab/>
      </w:r>
      <w:r w:rsidR="005070FC">
        <w:t>quality-</w:t>
      </w:r>
      <w:r>
        <w:t>adjusted life year</w:t>
      </w:r>
    </w:p>
    <w:p w14:paraId="047B28E6" w14:textId="7B371B10" w:rsidR="00751F07" w:rsidRDefault="00751F07" w:rsidP="00966102">
      <w:pPr>
        <w:tabs>
          <w:tab w:val="left" w:pos="2943"/>
        </w:tabs>
        <w:spacing w:line="240" w:lineRule="auto"/>
      </w:pPr>
      <w:r>
        <w:t>QUIPS</w:t>
      </w:r>
      <w:r>
        <w:tab/>
        <w:t>Quality in Prognosis Studies</w:t>
      </w:r>
    </w:p>
    <w:p w14:paraId="0C1636BE" w14:textId="76BB6D1F" w:rsidR="00751F07" w:rsidRDefault="00751F07" w:rsidP="00966102">
      <w:pPr>
        <w:tabs>
          <w:tab w:val="left" w:pos="2943"/>
        </w:tabs>
        <w:spacing w:line="240" w:lineRule="auto"/>
      </w:pPr>
      <w:r>
        <w:t>RCT</w:t>
      </w:r>
      <w:r>
        <w:tab/>
        <w:t>randomised controlled trial</w:t>
      </w:r>
    </w:p>
    <w:p w14:paraId="4446625D" w14:textId="6DF74F6A" w:rsidR="00146FE1" w:rsidRDefault="005070FC" w:rsidP="00966102">
      <w:pPr>
        <w:tabs>
          <w:tab w:val="left" w:pos="2943"/>
        </w:tabs>
        <w:spacing w:line="240" w:lineRule="auto"/>
      </w:pPr>
      <w:r>
        <w:t>rFSH</w:t>
      </w:r>
      <w:r>
        <w:tab/>
        <w:t>r</w:t>
      </w:r>
      <w:r w:rsidR="00146FE1">
        <w:t>ecombinant follicle</w:t>
      </w:r>
      <w:r w:rsidR="00DE6DD5">
        <w:t>-</w:t>
      </w:r>
      <w:r w:rsidR="00146FE1">
        <w:t>stimulating hormone</w:t>
      </w:r>
    </w:p>
    <w:p w14:paraId="41ABA136" w14:textId="2B2BA50B" w:rsidR="0079262A" w:rsidRDefault="005070FC" w:rsidP="00966102">
      <w:pPr>
        <w:tabs>
          <w:tab w:val="left" w:pos="2943"/>
        </w:tabs>
        <w:spacing w:line="240" w:lineRule="auto"/>
      </w:pPr>
      <w:r>
        <w:t>ROC</w:t>
      </w:r>
      <w:r>
        <w:tab/>
        <w:t>r</w:t>
      </w:r>
      <w:r w:rsidR="0079262A">
        <w:t>eceiver operator characteristic</w:t>
      </w:r>
    </w:p>
    <w:p w14:paraId="4760ECFA" w14:textId="4C41775E" w:rsidR="005D423D" w:rsidRDefault="005070FC" w:rsidP="00966102">
      <w:pPr>
        <w:tabs>
          <w:tab w:val="left" w:pos="2943"/>
        </w:tabs>
        <w:spacing w:line="240" w:lineRule="auto"/>
      </w:pPr>
      <w:r>
        <w:t>RS</w:t>
      </w:r>
      <w:r>
        <w:tab/>
        <w:t>r</w:t>
      </w:r>
      <w:r w:rsidR="005D423D">
        <w:t>eference standard</w:t>
      </w:r>
    </w:p>
    <w:p w14:paraId="01796550" w14:textId="6FDC8768" w:rsidR="004B258B" w:rsidRDefault="005070FC" w:rsidP="00966102">
      <w:pPr>
        <w:tabs>
          <w:tab w:val="left" w:pos="2943"/>
        </w:tabs>
        <w:spacing w:line="240" w:lineRule="auto"/>
      </w:pPr>
      <w:r>
        <w:t>SD</w:t>
      </w:r>
      <w:r>
        <w:tab/>
        <w:t>s</w:t>
      </w:r>
      <w:r w:rsidR="004B258B">
        <w:t>tandard deviation</w:t>
      </w:r>
    </w:p>
    <w:p w14:paraId="7588A302" w14:textId="1063EB36" w:rsidR="00C10285" w:rsidRDefault="005070FC" w:rsidP="00966102">
      <w:pPr>
        <w:tabs>
          <w:tab w:val="left" w:pos="2943"/>
        </w:tabs>
        <w:spacing w:line="240" w:lineRule="auto"/>
      </w:pPr>
      <w:r>
        <w:t>SROC</w:t>
      </w:r>
      <w:r>
        <w:tab/>
        <w:t>s</w:t>
      </w:r>
      <w:r w:rsidR="00C10285">
        <w:t>ummary receiving operating characteristic</w:t>
      </w:r>
    </w:p>
    <w:p w14:paraId="0F562CDC" w14:textId="0CB0CC6D" w:rsidR="00751F07" w:rsidRPr="00183E4D" w:rsidRDefault="00751F07" w:rsidP="00966102">
      <w:pPr>
        <w:tabs>
          <w:tab w:val="left" w:pos="2943"/>
        </w:tabs>
        <w:spacing w:line="240" w:lineRule="auto"/>
      </w:pPr>
      <w:r>
        <w:t>TBI</w:t>
      </w:r>
      <w:r>
        <w:tab/>
        <w:t>total body irradiation</w:t>
      </w:r>
    </w:p>
    <w:p w14:paraId="4BD7880E" w14:textId="77777777" w:rsidR="000A3454" w:rsidRDefault="000A3454" w:rsidP="00966102">
      <w:pPr>
        <w:tabs>
          <w:tab w:val="left" w:pos="2943"/>
        </w:tabs>
        <w:spacing w:line="240" w:lineRule="auto"/>
      </w:pPr>
      <w:r>
        <w:t>TGA</w:t>
      </w:r>
      <w:r>
        <w:tab/>
        <w:t>Therapeutic Goods Administration</w:t>
      </w:r>
    </w:p>
    <w:p w14:paraId="5B52D9A6" w14:textId="7E81FA18" w:rsidR="005D1437" w:rsidRDefault="005070FC" w:rsidP="00966102">
      <w:pPr>
        <w:tabs>
          <w:tab w:val="left" w:pos="2943"/>
        </w:tabs>
        <w:spacing w:line="240" w:lineRule="auto"/>
      </w:pPr>
      <w:r>
        <w:t>TP</w:t>
      </w:r>
      <w:r>
        <w:tab/>
        <w:t>t</w:t>
      </w:r>
      <w:r w:rsidR="005D1437">
        <w:t>rue positive</w:t>
      </w:r>
    </w:p>
    <w:p w14:paraId="670D12AB" w14:textId="1E28671B" w:rsidR="0079262A" w:rsidRDefault="005070FC" w:rsidP="00966102">
      <w:pPr>
        <w:tabs>
          <w:tab w:val="left" w:pos="2943"/>
        </w:tabs>
        <w:spacing w:line="240" w:lineRule="auto"/>
      </w:pPr>
      <w:r>
        <w:t>TPR</w:t>
      </w:r>
      <w:r>
        <w:tab/>
        <w:t>t</w:t>
      </w:r>
      <w:r w:rsidR="00772EDC">
        <w:t>rue-</w:t>
      </w:r>
      <w:r w:rsidR="0079262A">
        <w:t>positive rate</w:t>
      </w:r>
    </w:p>
    <w:p w14:paraId="268B674A" w14:textId="77777777" w:rsidR="008F59A8" w:rsidRPr="00183E4D" w:rsidRDefault="00913620" w:rsidP="00DF343F">
      <w:pPr>
        <w:pStyle w:val="Heading1"/>
        <w:jc w:val="both"/>
      </w:pPr>
      <w:bookmarkStart w:id="88" w:name="_Toc502832893"/>
      <w:r w:rsidRPr="00183E4D">
        <w:lastRenderedPageBreak/>
        <w:t>Section A</w:t>
      </w:r>
      <w:r w:rsidRPr="00183E4D">
        <w:tab/>
        <w:t>Context</w:t>
      </w:r>
      <w:bookmarkEnd w:id="88"/>
    </w:p>
    <w:p w14:paraId="069529EB" w14:textId="0EA0322C" w:rsidR="00E05186" w:rsidRDefault="00E612CF" w:rsidP="00DF343F">
      <w:pPr>
        <w:jc w:val="both"/>
      </w:pPr>
      <w:r>
        <w:t xml:space="preserve">This </w:t>
      </w:r>
      <w:r w:rsidR="003E7EA1">
        <w:t xml:space="preserve">is a </w:t>
      </w:r>
      <w:r w:rsidR="00FD31FC" w:rsidRPr="00E612CF">
        <w:t>contracted</w:t>
      </w:r>
      <w:r w:rsidR="00FD31FC" w:rsidRPr="00183E4D">
        <w:t xml:space="preserve"> </w:t>
      </w:r>
      <w:r w:rsidR="00E05186" w:rsidRPr="00183E4D">
        <w:t xml:space="preserve">assessment </w:t>
      </w:r>
      <w:r w:rsidR="00FD31FC" w:rsidRPr="00183E4D">
        <w:t xml:space="preserve">of </w:t>
      </w:r>
      <w:r w:rsidR="00C22392">
        <w:t>a</w:t>
      </w:r>
      <w:r w:rsidRPr="00E612CF">
        <w:t>nti-Müllerian hormone (AMH)</w:t>
      </w:r>
      <w:r>
        <w:t xml:space="preserve"> testing</w:t>
      </w:r>
      <w:r w:rsidR="00E05186" w:rsidRPr="00183E4D">
        <w:t xml:space="preserve"> </w:t>
      </w:r>
      <w:r w:rsidR="00FD31FC" w:rsidRPr="00183E4D">
        <w:t>for</w:t>
      </w:r>
      <w:r w:rsidR="00F44406">
        <w:t xml:space="preserve"> female patients </w:t>
      </w:r>
      <w:r w:rsidR="003B6B21">
        <w:t>preceding or following to</w:t>
      </w:r>
      <w:r w:rsidR="003E7EA1">
        <w:t xml:space="preserve"> gonadotoxic treatment</w:t>
      </w:r>
      <w:r w:rsidR="00CE6B89">
        <w:t xml:space="preserve"> </w:t>
      </w:r>
      <w:r w:rsidR="00F44406" w:rsidRPr="00CE6B89">
        <w:t>t</w:t>
      </w:r>
      <w:r w:rsidR="00CE6B89" w:rsidRPr="00CE6B89">
        <w:t>o assess</w:t>
      </w:r>
      <w:r w:rsidR="00F44406" w:rsidRPr="00CE6B89">
        <w:t xml:space="preserve"> the </w:t>
      </w:r>
      <w:r w:rsidR="00CE6B89" w:rsidRPr="00CE6B89">
        <w:t xml:space="preserve">need </w:t>
      </w:r>
      <w:r w:rsidR="00CE6B89">
        <w:t>for fertility preservation</w:t>
      </w:r>
      <w:r w:rsidR="002332D9">
        <w:t xml:space="preserve"> or to determine the return of reproductive function following treatment</w:t>
      </w:r>
      <w:r w:rsidR="003E7EA1">
        <w:t>. This assessment</w:t>
      </w:r>
      <w:r w:rsidR="00FD31FC" w:rsidRPr="00183E4D">
        <w:t xml:space="preserve"> </w:t>
      </w:r>
      <w:r w:rsidR="00E05186" w:rsidRPr="00183E4D">
        <w:t>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w:t>
      </w:r>
      <w:r w:rsidR="003E7EA1">
        <w:t xml:space="preserve"> an evidence-based approach to assessment</w:t>
      </w:r>
      <w:r w:rsidR="00E05186" w:rsidRPr="00183E4D">
        <w:t xml:space="preserve"> based on reviews of the scientific literatur</w:t>
      </w:r>
      <w:r w:rsidR="003E7EA1">
        <w:t>e and other information sources</w:t>
      </w:r>
      <w:r w:rsidR="00E05186" w:rsidRPr="00183E4D">
        <w:t xml:space="preserve"> including clinical expertise.</w:t>
      </w:r>
    </w:p>
    <w:p w14:paraId="23D4FA99" w14:textId="685BE534" w:rsidR="007518CF" w:rsidRDefault="00F44406" w:rsidP="00C75600">
      <w:pPr>
        <w:jc w:val="both"/>
      </w:pPr>
      <w:r>
        <w:t>Adelaide Health Technology Assessment (AHTA)</w:t>
      </w:r>
      <w:r w:rsidR="00D11635">
        <w:t xml:space="preserve"> has been commissioned by the Australian Government</w:t>
      </w:r>
      <w:r w:rsidR="00D11635" w:rsidRPr="007943BC">
        <w:t xml:space="preserve"> Department of Health to conduct a systematic </w:t>
      </w:r>
      <w:r w:rsidR="00D11635">
        <w:t xml:space="preserve">literature </w:t>
      </w:r>
      <w:r w:rsidR="00D11635" w:rsidRPr="007943BC">
        <w:t xml:space="preserve">review </w:t>
      </w:r>
      <w:r w:rsidR="00D11635">
        <w:t>and economic evaluation of</w:t>
      </w:r>
      <w:r>
        <w:t xml:space="preserve"> AMH testing for female patients undergoing gonadotoxic treatment</w:t>
      </w:r>
      <w:r w:rsidR="00D11635">
        <w:t xml:space="preserve">. This assessment has been undertaken </w:t>
      </w:r>
      <w:r w:rsidR="00D11635" w:rsidRPr="007943BC">
        <w:t xml:space="preserve">in </w:t>
      </w:r>
      <w:r w:rsidR="003E7EA1">
        <w:t>order to inform MSAC’s decision</w:t>
      </w:r>
      <w:r w:rsidR="00D11635">
        <w:t xml:space="preserve"> whether the proposed medical servi</w:t>
      </w:r>
      <w:r>
        <w:t>ce should be publicly funded.</w:t>
      </w:r>
    </w:p>
    <w:p w14:paraId="7B79B511" w14:textId="552A14F5" w:rsidR="00E47093" w:rsidRDefault="004446E6" w:rsidP="00DF343F">
      <w:pPr>
        <w:jc w:val="both"/>
      </w:pPr>
      <w:r>
        <w:t>Appendix A</w:t>
      </w:r>
      <w:r w:rsidR="009D44E4" w:rsidRPr="002047EB">
        <w:t xml:space="preserve"> </w:t>
      </w:r>
      <w:r w:rsidR="003E7EA1">
        <w:t>lists</w:t>
      </w:r>
      <w:r w:rsidR="009D44E4" w:rsidRPr="00183E4D">
        <w:t xml:space="preserve"> the people involved in the development of this assessment report, </w:t>
      </w:r>
      <w:r w:rsidR="003E7EA1">
        <w:t xml:space="preserve">including </w:t>
      </w:r>
      <w:r w:rsidR="00D77273">
        <w:t>the applicants and clinical experts</w:t>
      </w:r>
      <w:r w:rsidR="009D44E4" w:rsidRPr="00183E4D">
        <w:t>.</w:t>
      </w:r>
    </w:p>
    <w:p w14:paraId="2ADB1CA2" w14:textId="01FFCA84" w:rsidR="007518CF" w:rsidRDefault="00E05186" w:rsidP="00DF343F">
      <w:pPr>
        <w:jc w:val="both"/>
      </w:pPr>
      <w:r w:rsidRPr="00183E4D">
        <w:t xml:space="preserve">The proposed </w:t>
      </w:r>
      <w:r w:rsidRPr="00E536F0">
        <w:t xml:space="preserve">use </w:t>
      </w:r>
      <w:r w:rsidR="00695731" w:rsidRPr="00E536F0">
        <w:t xml:space="preserve">of </w:t>
      </w:r>
      <w:r w:rsidR="00E536F0" w:rsidRPr="00E536F0">
        <w:t>AMH testing</w:t>
      </w:r>
      <w:r w:rsidR="00695731" w:rsidRPr="00E536F0">
        <w:t xml:space="preserve"> in Australian</w:t>
      </w:r>
      <w:r w:rsidR="00695731" w:rsidRPr="00183E4D">
        <w:t xml:space="preserve"> clinical practice was outlined in a </w:t>
      </w:r>
      <w:r w:rsidR="003E7EA1">
        <w:t>Protocol, now a PICO Confirmation,</w:t>
      </w:r>
      <w:r w:rsidR="00695731" w:rsidRPr="00183E4D">
        <w:t xml:space="preserve"> </w:t>
      </w:r>
      <w:r w:rsidR="00F458EB">
        <w:t>presented to</w:t>
      </w:r>
      <w:r w:rsidR="003E7EA1">
        <w:t xml:space="preserve"> and accepted by</w:t>
      </w:r>
      <w:r w:rsidR="00F458EB">
        <w:t xml:space="preserve"> the </w:t>
      </w:r>
      <w:r w:rsidR="003E7EA1">
        <w:t xml:space="preserve">former </w:t>
      </w:r>
      <w:r w:rsidR="003C0144">
        <w:t>Protocol</w:t>
      </w:r>
      <w:r w:rsidR="00F458EB" w:rsidRPr="00183E4D">
        <w:t xml:space="preserve"> Advisory Sub</w:t>
      </w:r>
      <w:r w:rsidR="00415491">
        <w:t>-Committee</w:t>
      </w:r>
      <w:r w:rsidR="003E7EA1">
        <w:t>.</w:t>
      </w:r>
      <w:r w:rsidR="003C0144">
        <w:t xml:space="preserve"> </w:t>
      </w:r>
      <w:r w:rsidR="003E7EA1">
        <w:t xml:space="preserve">This committee is now </w:t>
      </w:r>
      <w:r w:rsidR="003C0144">
        <w:t>known as the PICO Confirmation Advisory Sub-Committee</w:t>
      </w:r>
      <w:r w:rsidR="00F458EB" w:rsidRPr="00183E4D">
        <w:t xml:space="preserve"> (PASC)</w:t>
      </w:r>
      <w:r w:rsidR="00752C99">
        <w:t xml:space="preserve">. The </w:t>
      </w:r>
      <w:r w:rsidR="003E7EA1">
        <w:t>PICO Confirmation</w:t>
      </w:r>
      <w:r w:rsidR="00752C99">
        <w:t xml:space="preserve"> was </w:t>
      </w:r>
      <w:r w:rsidR="002332D9">
        <w:t>released for public comment in June</w:t>
      </w:r>
      <w:r w:rsidR="003E7EA1">
        <w:t> </w:t>
      </w:r>
      <w:r w:rsidR="002332D9">
        <w:t>2016 and ratified out-of-session in February</w:t>
      </w:r>
      <w:r w:rsidR="003E7EA1">
        <w:t> </w:t>
      </w:r>
      <w:r w:rsidR="002332D9">
        <w:t>2017</w:t>
      </w:r>
      <w:r w:rsidR="00BD49CE" w:rsidRPr="00183E4D">
        <w:t>.</w:t>
      </w:r>
    </w:p>
    <w:p w14:paraId="31F27202" w14:textId="6355CAF2" w:rsidR="003F169D" w:rsidRPr="00183E4D" w:rsidRDefault="001F3A7B" w:rsidP="00D366DE">
      <w:pPr>
        <w:pStyle w:val="Heading2"/>
        <w:numPr>
          <w:ilvl w:val="0"/>
          <w:numId w:val="8"/>
        </w:numPr>
      </w:pPr>
      <w:bookmarkStart w:id="89" w:name="_Toc502832894"/>
      <w:r>
        <w:t>I</w:t>
      </w:r>
      <w:r w:rsidR="009806B5">
        <w:t>tems in the a</w:t>
      </w:r>
      <w:r w:rsidR="006343AB">
        <w:t>gree</w:t>
      </w:r>
      <w:r w:rsidR="003C0144">
        <w:t xml:space="preserve">d </w:t>
      </w:r>
      <w:r w:rsidR="004446E6">
        <w:t>PICO C</w:t>
      </w:r>
      <w:r w:rsidR="003E7EA1">
        <w:t>onfirmation</w:t>
      </w:r>
      <w:bookmarkEnd w:id="89"/>
    </w:p>
    <w:p w14:paraId="56EC93BB" w14:textId="2971EF6D" w:rsidR="007518CF" w:rsidRDefault="005B6169" w:rsidP="00FD31FC">
      <w:pPr>
        <w:jc w:val="both"/>
      </w:pPr>
      <w:r w:rsidRPr="00183E4D">
        <w:t xml:space="preserve">This </w:t>
      </w:r>
      <w:r w:rsidR="00294706">
        <w:t>contracted</w:t>
      </w:r>
      <w:r w:rsidRPr="00183E4D">
        <w:t xml:space="preserve"> assessment of </w:t>
      </w:r>
      <w:r w:rsidR="00294706">
        <w:t>AMH testing</w:t>
      </w:r>
      <w:r w:rsidRPr="00183E4D">
        <w:t xml:space="preserve"> addresses </w:t>
      </w:r>
      <w:r w:rsidR="002332D9">
        <w:t>most</w:t>
      </w:r>
      <w:r w:rsidRPr="00183E4D">
        <w:t xml:space="preserve"> of the PICO elements that were </w:t>
      </w:r>
      <w:r>
        <w:t>pre-</w:t>
      </w:r>
      <w:r w:rsidRPr="00183E4D">
        <w:t xml:space="preserve">specified in the </w:t>
      </w:r>
      <w:r w:rsidR="003E7EA1">
        <w:t>PICO Confirmation</w:t>
      </w:r>
      <w:r>
        <w:t xml:space="preserve"> </w:t>
      </w:r>
      <w:r w:rsidR="002332D9">
        <w:t>approved by</w:t>
      </w:r>
      <w:r w:rsidRPr="00D52A25">
        <w:t xml:space="preserve"> </w:t>
      </w:r>
      <w:r>
        <w:t>PASC</w:t>
      </w:r>
      <w:r w:rsidRPr="00183E4D">
        <w:t>.</w:t>
      </w:r>
      <w:r w:rsidR="00307F6F">
        <w:t xml:space="preserve"> </w:t>
      </w:r>
      <w:r w:rsidR="009D137D">
        <w:t>The PICO criteria were amended to fit a linked analysis approach.</w:t>
      </w:r>
    </w:p>
    <w:p w14:paraId="5ED7A455" w14:textId="6722C8F7" w:rsidR="007518CF" w:rsidRDefault="00307F6F" w:rsidP="00FD31FC">
      <w:pPr>
        <w:jc w:val="both"/>
      </w:pPr>
      <w:r>
        <w:t xml:space="preserve">Due to lack of evidence in some steps of the linked analysis, </w:t>
      </w:r>
      <w:r w:rsidR="00422257">
        <w:t>an</w:t>
      </w:r>
      <w:r>
        <w:t xml:space="preserve"> alternative approach has been presented in the results section.</w:t>
      </w:r>
      <w:r w:rsidR="005B6169" w:rsidRPr="00183E4D">
        <w:t xml:space="preserve"> </w:t>
      </w:r>
      <w:r w:rsidR="00422257">
        <w:t>The f</w:t>
      </w:r>
      <w:r w:rsidR="003C0144">
        <w:t xml:space="preserve">inal </w:t>
      </w:r>
      <w:r w:rsidR="003E7EA1">
        <w:t>PICO Confirmation</w:t>
      </w:r>
      <w:r w:rsidR="003C0144">
        <w:t xml:space="preserve"> approved by PASC divided the population </w:t>
      </w:r>
      <w:r w:rsidR="00B3564F">
        <w:t>between females aged 0 to 14 years, 15 to 25 years and 26 to 45 years.</w:t>
      </w:r>
      <w:r w:rsidR="003C0144">
        <w:t xml:space="preserve"> As evidence was limited</w:t>
      </w:r>
      <w:r w:rsidR="002A3774">
        <w:t xml:space="preserve"> (especially regarding young girls), data could not be separated in subgroups. Where possible, studies were divided in a pre-treatment AMH testing group and a post-treatment AMH testing group.</w:t>
      </w:r>
    </w:p>
    <w:p w14:paraId="258BC26E" w14:textId="57A13F62" w:rsidR="00B313E2" w:rsidRPr="00183E4D" w:rsidRDefault="000B2FB9" w:rsidP="00D366DE">
      <w:pPr>
        <w:pStyle w:val="Heading2"/>
        <w:numPr>
          <w:ilvl w:val="0"/>
          <w:numId w:val="8"/>
        </w:numPr>
      </w:pPr>
      <w:bookmarkStart w:id="90" w:name="_Toc502832895"/>
      <w:bookmarkStart w:id="91" w:name="_Toc381796441"/>
      <w:r>
        <w:lastRenderedPageBreak/>
        <w:t>P</w:t>
      </w:r>
      <w:r w:rsidR="00835007" w:rsidRPr="00183E4D">
        <w:t>ro</w:t>
      </w:r>
      <w:r w:rsidR="004446E6">
        <w:t>posed m</w:t>
      </w:r>
      <w:r w:rsidR="00835007" w:rsidRPr="00183E4D">
        <w:t xml:space="preserve">edical </w:t>
      </w:r>
      <w:r w:rsidR="004446E6">
        <w:t>s</w:t>
      </w:r>
      <w:r w:rsidR="00835007" w:rsidRPr="00183E4D">
        <w:t>ervice</w:t>
      </w:r>
      <w:bookmarkEnd w:id="90"/>
    </w:p>
    <w:p w14:paraId="5CD9B854" w14:textId="02CC165B" w:rsidR="000B2FB9" w:rsidRDefault="000F0016" w:rsidP="000B2FB9">
      <w:pPr>
        <w:pStyle w:val="Heading3"/>
      </w:pPr>
      <w:bookmarkStart w:id="92" w:name="_Toc502832896"/>
      <w:bookmarkStart w:id="93" w:name="_Toc379118262"/>
      <w:bookmarkStart w:id="94" w:name="_Toc381796445"/>
      <w:bookmarkEnd w:id="91"/>
      <w:r>
        <w:t>Fertility and the ovarian follicle pool</w:t>
      </w:r>
      <w:bookmarkEnd w:id="92"/>
    </w:p>
    <w:p w14:paraId="4B6B74DB" w14:textId="1F88D7D4" w:rsidR="007518CF" w:rsidRDefault="00200477" w:rsidP="005B6522">
      <w:pPr>
        <w:jc w:val="both"/>
      </w:pPr>
      <w:r>
        <w:t>When follicles are recruited from the ovarian primordial follicle pool and move into the growing follicle pool they star</w:t>
      </w:r>
      <w:r w:rsidR="00307F6F">
        <w:t>t to express AMH and inhibin B</w:t>
      </w:r>
      <w:r w:rsidR="007F4459">
        <w:t xml:space="preserve">. </w:t>
      </w:r>
      <w:r w:rsidR="00B26502">
        <w:t xml:space="preserve">AMH is considered an indirect index </w:t>
      </w:r>
      <w:r w:rsidR="00422257">
        <w:t>for</w:t>
      </w:r>
      <w:r w:rsidR="00B26502">
        <w:t xml:space="preserve"> the </w:t>
      </w:r>
      <w:r w:rsidR="00422257">
        <w:t xml:space="preserve">number of follicles in the resting primordial </w:t>
      </w:r>
      <w:r w:rsidR="00B26502">
        <w:t xml:space="preserve">pool </w:t>
      </w:r>
      <w:r w:rsidR="00A109BA">
        <w:fldChar w:fldCharType="begin"/>
      </w:r>
      <w:r w:rsidR="00577E24">
        <w:instrText xml:space="preserve"> ADDIN EN.CITE &lt;EndNote&gt;&lt;Cite&gt;&lt;Author&gt;Bozza&lt;/Author&gt;&lt;Year&gt;2014&lt;/Year&gt;&lt;RecNum&gt;72&lt;/RecNum&gt;&lt;IDText&gt;R51-R65&lt;/IDText&gt;&lt;DisplayText&gt;(Bozza et al. 2014)&lt;/DisplayText&gt;&lt;record&gt;&lt;rec-number&gt;72&lt;/rec-number&gt;&lt;foreign-keys&gt;&lt;key app="EN" db-id="s2dftfxw1fvsr1efx58vfvxtvfwzxea0td02" timestamp="1511748066"&gt;72&lt;/key&gt;&lt;/foreign-keys&gt;&lt;ref-type name="Journal Article"&gt;17&lt;/ref-type&gt;&lt;contributors&gt;&lt;authors&gt;&lt;author&gt;Bozza, C.&lt;/author&gt;&lt;author&gt;Puglisi, F.&lt;/author&gt;&lt;author&gt;Lambertini, M.&lt;/author&gt;&lt;author&gt;Osa, E. O.&lt;/author&gt;&lt;author&gt;Manno, M.&lt;/author&gt;&lt;author&gt;Del Mastro, L.&lt;/author&gt;&lt;/authors&gt;&lt;/contributors&gt;&lt;titles&gt;&lt;title&gt;Anti-Müllerian hormone: Determination of ovarian reserve in early breast cancer patients&lt;/title&gt;&lt;secondary-title&gt;Endocrine-Related Cancer&lt;/secondary-title&gt;&lt;/titles&gt;&lt;periodical&gt;&lt;full-title&gt;Endocrine-Related Cancer&lt;/full-title&gt;&lt;/periodical&gt;&lt;pages&gt;R51-R65&lt;/pages&gt;&lt;volume&gt;21&lt;/volume&gt;&lt;number&gt;1&lt;/number&gt;&lt;keywords&gt;&lt;keyword&gt;Biological Markers&lt;/keyword&gt;&lt;keyword&gt;Breast Neoplasms&lt;/keyword&gt;&lt;/keywords&gt;&lt;dates&gt;&lt;year&gt;2014&lt;/year&gt;&lt;pub-dates&gt;&lt;date&gt;2014-1-1&lt;/date&gt;&lt;/pub-dates&gt;&lt;/dates&gt;&lt;isbn&gt;1351-0088&lt;/isbn&gt;&lt;accession-num&gt;rayyan-6672835&lt;/accession-num&gt;&lt;urls&gt;&lt;related-urls&gt;&lt;url&gt;http://www.embase.com/search/results?subaction=viewrecord&amp;amp;from=export&amp;amp;id=L372324162 http://dx.doi.org/10.1530/ERC-13-0335&lt;/url&gt;&lt;url&gt;http://erc.endocrinology-journals.org/content/21/1/R51.full.pdf&lt;/url&gt;&lt;/related-urls&gt;&lt;/urls&gt;&lt;custom1&gt;RAYYAN-INCLUSION: {&amp;quot;Sharon&amp;quot;=&amp;gt;true, &amp;quot;Joanne&amp;quot;=&amp;gt;true}&lt;/custom1&gt;&lt;/record&gt;&lt;/Cite&gt;&lt;/EndNote&gt;</w:instrText>
      </w:r>
      <w:r w:rsidR="00A109BA">
        <w:fldChar w:fldCharType="separate"/>
      </w:r>
      <w:r w:rsidR="00A109BA">
        <w:rPr>
          <w:noProof/>
        </w:rPr>
        <w:t>(</w:t>
      </w:r>
      <w:hyperlink w:anchor="_ENREF_12" w:tooltip="Bozza, 2014 #72" w:history="1">
        <w:r w:rsidR="00835BA6">
          <w:rPr>
            <w:noProof/>
          </w:rPr>
          <w:t>Bozza et al. 2014</w:t>
        </w:r>
      </w:hyperlink>
      <w:r w:rsidR="00A109BA">
        <w:rPr>
          <w:noProof/>
        </w:rPr>
        <w:t>)</w:t>
      </w:r>
      <w:r w:rsidR="00A109BA">
        <w:fldChar w:fldCharType="end"/>
      </w:r>
      <w:r w:rsidR="00B26502">
        <w:t xml:space="preserve">. </w:t>
      </w:r>
      <w:r>
        <w:t>In post-pubertal girls and women</w:t>
      </w:r>
      <w:r w:rsidR="00422257">
        <w:t>,</w:t>
      </w:r>
      <w:r>
        <w:t xml:space="preserve"> a limited number of follicles </w:t>
      </w:r>
      <w:r w:rsidR="00422257">
        <w:t>are</w:t>
      </w:r>
      <w:r>
        <w:t xml:space="preserve"> selected from the growing follicle pool in every menstrual cycle, influenced by </w:t>
      </w:r>
      <w:r w:rsidR="0076789D">
        <w:t>FSH</w:t>
      </w:r>
      <w:r>
        <w:t xml:space="preserve">. This is called cyclic recruitment. One follicle is then selected from </w:t>
      </w:r>
      <w:r w:rsidR="00422257">
        <w:t>the growing follicle pool</w:t>
      </w:r>
      <w:r>
        <w:t xml:space="preserve"> and ovulates under the influence of luteinising hormone (LH)</w:t>
      </w:r>
      <w:r w:rsidR="005B6522">
        <w:t xml:space="preserve"> </w:t>
      </w:r>
      <w:r w:rsidR="005B6522">
        <w:fldChar w:fldCharType="begin"/>
      </w:r>
      <w:r w:rsidR="00577E24">
        <w:instrText xml:space="preserve"> ADDIN EN.CITE &lt;EndNote&gt;&lt;Cite&gt;&lt;Author&gt;Visser&lt;/Author&gt;&lt;Year&gt;2012&lt;/Year&gt;&lt;RecNum&gt;361&lt;/RecNum&gt;&lt;IDText&gt;331-41&lt;/IDText&gt;&lt;DisplayText&gt;(Visser et al. 2012)&lt;/DisplayText&gt;&lt;record&gt;&lt;rec-number&gt;361&lt;/rec-number&gt;&lt;foreign-keys&gt;&lt;key app="EN" db-id="s2dftfxw1fvsr1efx58vfvxtvfwzxea0td02" timestamp="1511748099"&gt;361&lt;/key&gt;&lt;/foreign-keys&gt;&lt;ref-type name="Journal Article"&gt;17&lt;/ref-type&gt;&lt;contributors&gt;&lt;authors&gt;&lt;author&gt;Visser, J. A.&lt;/author&gt;&lt;author&gt;Schipper, I.&lt;/author&gt;&lt;author&gt;Laven, J. S.&lt;/author&gt;&lt;author&gt;Themmen, A. P.&lt;/author&gt;&lt;/authors&gt;&lt;/contributors&gt;&lt;auth-address&gt;Department of Internal Medicine, Ee532, Erasmus MC, PO Box 2040, 3000 CA Rotterdam, The Netherlands. j.visser@erasmusmc.nl&lt;/auth-address&gt;&lt;titles&gt;&lt;title&gt;Anti-Mullerian hormone: an ovarian reserve marker in primary ovarian insufficiency&lt;/title&gt;&lt;secondary-title&gt;Nat Rev Endocrinol&lt;/secondary-title&gt;&lt;/titles&gt;&lt;periodical&gt;&lt;full-title&gt;Nat Rev Endocrinol&lt;/full-title&gt;&lt;/periodical&gt;&lt;pages&gt;331-41&lt;/pages&gt;&lt;volume&gt;8&lt;/volume&gt;&lt;number&gt;6&lt;/number&gt;&lt;keywords&gt;&lt;keyword&gt;Anti-Mullerian Hormone/*blood/physiology&lt;/keyword&gt;&lt;keyword&gt;Biomarkers/blood&lt;/keyword&gt;&lt;keyword&gt;Female&lt;/keyword&gt;&lt;keyword&gt;Humans&lt;/keyword&gt;&lt;keyword&gt;Ovarian Follicle/physiopathology&lt;/keyword&gt;&lt;keyword&gt;Ovary/*physiopathology&lt;/keyword&gt;&lt;keyword&gt;Primary Ovarian Insufficiency/*blood/etiology/physiopathology&lt;/keyword&gt;&lt;/keywords&gt;&lt;dates&gt;&lt;year&gt;2012&lt;/year&gt;&lt;pub-dates&gt;&lt;date&gt;Jan 10&lt;/date&gt;&lt;/pub-dates&gt;&lt;/dates&gt;&lt;isbn&gt;1759-5037 (Electronic)&amp;#xD;1759-5029 (Linking)&lt;/isbn&gt;&lt;accession-num&gt;22231848&lt;/accession-num&gt;&lt;urls&gt;&lt;related-urls&gt;&lt;url&gt;http://www.ncbi.nlm.nih.gov/pubmed/22231848&lt;/url&gt;&lt;/related-urls&gt;&lt;/urls&gt;&lt;electronic-resource-num&gt;10.1038/nrendo.2011.224&lt;/electronic-resource-num&gt;&lt;/record&gt;&lt;/Cite&gt;&lt;/EndNote&gt;</w:instrText>
      </w:r>
      <w:r w:rsidR="005B6522">
        <w:fldChar w:fldCharType="separate"/>
      </w:r>
      <w:r w:rsidR="005B6522">
        <w:rPr>
          <w:noProof/>
        </w:rPr>
        <w:t>(</w:t>
      </w:r>
      <w:hyperlink w:anchor="_ENREF_74" w:tooltip="Visser, 2012 #361" w:history="1">
        <w:r w:rsidR="00835BA6">
          <w:rPr>
            <w:noProof/>
          </w:rPr>
          <w:t>Visser et al. 2012</w:t>
        </w:r>
      </w:hyperlink>
      <w:r w:rsidR="005B6522">
        <w:rPr>
          <w:noProof/>
        </w:rPr>
        <w:t>)</w:t>
      </w:r>
      <w:r w:rsidR="005B6522">
        <w:fldChar w:fldCharType="end"/>
      </w:r>
      <w:r>
        <w:t>. The selected ovarian follicles which do not ovulate during the cycle will degenerate in a process called atresia.</w:t>
      </w:r>
      <w:r w:rsidR="001175AF">
        <w:t xml:space="preserve"> FSH levels need to increase to a critical threshold concentration to save follicles from atresia and to allow FSH-dependent selection of a limited number of follicles. Throughout reproductive life</w:t>
      </w:r>
      <w:r w:rsidR="00422257">
        <w:t>,</w:t>
      </w:r>
      <w:r w:rsidR="001175AF">
        <w:t xml:space="preserve"> the number of primordial and growing follicles will decline. Subsequently, serum inhibin B and </w:t>
      </w:r>
      <w:r w:rsidR="00A70795">
        <w:t>estradiol</w:t>
      </w:r>
      <w:r w:rsidR="001175AF">
        <w:t xml:space="preserve"> (E2) concentrations decline</w:t>
      </w:r>
      <w:r w:rsidR="00422257">
        <w:t>,</w:t>
      </w:r>
      <w:r w:rsidR="001175AF">
        <w:t xml:space="preserve"> which leads to a rise in FSH (and LH) levels in menopause</w:t>
      </w:r>
      <w:r w:rsidR="00F85FAB">
        <w:t xml:space="preserve"> (</w:t>
      </w:r>
      <w:r w:rsidR="00A42B1E">
        <w:rPr>
          <w:color w:val="000000" w:themeColor="text1"/>
        </w:rPr>
        <w:fldChar w:fldCharType="begin"/>
      </w:r>
      <w:r w:rsidR="00A42B1E">
        <w:rPr>
          <w:color w:val="000000" w:themeColor="text1"/>
        </w:rPr>
        <w:instrText xml:space="preserve"> REF _Ref502758420 \h </w:instrText>
      </w:r>
      <w:r w:rsidR="00A42B1E">
        <w:rPr>
          <w:color w:val="000000" w:themeColor="text1"/>
        </w:rPr>
      </w:r>
      <w:r w:rsidR="00A42B1E">
        <w:rPr>
          <w:color w:val="000000" w:themeColor="text1"/>
        </w:rPr>
        <w:fldChar w:fldCharType="separate"/>
      </w:r>
      <w:r w:rsidR="00AC4BE5">
        <w:t xml:space="preserve">Figure </w:t>
      </w:r>
      <w:r w:rsidR="00AC4BE5">
        <w:rPr>
          <w:noProof/>
        </w:rPr>
        <w:t>1</w:t>
      </w:r>
      <w:r w:rsidR="00A42B1E">
        <w:rPr>
          <w:color w:val="000000" w:themeColor="text1"/>
        </w:rPr>
        <w:fldChar w:fldCharType="end"/>
      </w:r>
      <w:r w:rsidR="00F85FAB">
        <w:t>)</w:t>
      </w:r>
      <w:r w:rsidR="001175AF">
        <w:t>.</w:t>
      </w:r>
    </w:p>
    <w:p w14:paraId="6EB2D90E" w14:textId="11C8477E" w:rsidR="00E85338" w:rsidRPr="00633D21" w:rsidRDefault="00397182" w:rsidP="00E85338">
      <w:pPr>
        <w:keepNext/>
        <w:spacing w:after="0" w:line="240" w:lineRule="auto"/>
        <w:rPr>
          <w:rFonts w:cs="Times New Roman"/>
          <w:sz w:val="24"/>
          <w:szCs w:val="20"/>
          <w:lang w:eastAsia="en-US"/>
        </w:rPr>
      </w:pPr>
      <w:r>
        <w:rPr>
          <w:rFonts w:cs="Times New Roman"/>
          <w:noProof/>
          <w:sz w:val="24"/>
          <w:szCs w:val="20"/>
        </w:rPr>
        <w:drawing>
          <wp:inline distT="0" distB="0" distL="0" distR="0" wp14:anchorId="4EF04F6D" wp14:editId="01122ADC">
            <wp:extent cx="5395595" cy="2597150"/>
            <wp:effectExtent l="0" t="0" r="0" b="0"/>
            <wp:docPr id="4" name="Picture 4" descr="Changes in hormone levels and AFC with decreasing ovarian reserve approaching menopause and post-menopause." title="Changes in hormone levels and AFC with decreasing ovarian reserve approaching menopause and post-meno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5595" cy="2597150"/>
                    </a:xfrm>
                    <a:prstGeom prst="rect">
                      <a:avLst/>
                    </a:prstGeom>
                    <a:noFill/>
                  </pic:spPr>
                </pic:pic>
              </a:graphicData>
            </a:graphic>
          </wp:inline>
        </w:drawing>
      </w:r>
    </w:p>
    <w:p w14:paraId="5E3DEA9E" w14:textId="6BAEECD4" w:rsidR="00E85338" w:rsidRPr="00704940" w:rsidRDefault="003D3C01" w:rsidP="00805189">
      <w:pPr>
        <w:pStyle w:val="Caption"/>
        <w:rPr>
          <w:color w:val="000000" w:themeColor="text1"/>
        </w:rPr>
      </w:pPr>
      <w:bookmarkStart w:id="95" w:name="_Ref502758420"/>
      <w:bookmarkStart w:id="96" w:name="_Toc502833115"/>
      <w:r>
        <w:t xml:space="preserve">Figure </w:t>
      </w:r>
      <w:r w:rsidR="00AC4BE5">
        <w:fldChar w:fldCharType="begin"/>
      </w:r>
      <w:r w:rsidR="00AC4BE5">
        <w:instrText xml:space="preserve"> SEQ Figure \* ARABIC </w:instrText>
      </w:r>
      <w:r w:rsidR="00AC4BE5">
        <w:fldChar w:fldCharType="separate"/>
      </w:r>
      <w:r w:rsidR="00AC4BE5">
        <w:rPr>
          <w:noProof/>
        </w:rPr>
        <w:t>1</w:t>
      </w:r>
      <w:r w:rsidR="00AC4BE5">
        <w:rPr>
          <w:noProof/>
        </w:rPr>
        <w:fldChar w:fldCharType="end"/>
      </w:r>
      <w:bookmarkEnd w:id="95"/>
      <w:r w:rsidR="00E85338" w:rsidRPr="00E00C08">
        <w:tab/>
        <w:t>Changes in hormone levels and AFC with decreasing ovarian reserve approaching menopause and post-menopause.</w:t>
      </w:r>
      <w:bookmarkEnd w:id="96"/>
    </w:p>
    <w:p w14:paraId="085E850C" w14:textId="77777777" w:rsidR="00E85338" w:rsidRDefault="00E85338" w:rsidP="00E00C08">
      <w:pPr>
        <w:pStyle w:val="Tablenotes0"/>
        <w:spacing w:after="0"/>
      </w:pPr>
      <w:r>
        <w:t>The blue area depicts ovarian reserve. The lines for AMH, FSH, E2 and inhibin B reflect the change in serum levels of these hormones between ages 30 and 60 years. The line for AFC reflects the decrease in follicle counts between ages 30 and 60 years.</w:t>
      </w:r>
    </w:p>
    <w:p w14:paraId="1FEFD07C" w14:textId="363EE50F" w:rsidR="006432BE" w:rsidRDefault="006432BE" w:rsidP="00E85338">
      <w:pPr>
        <w:pStyle w:val="Tablenotes0"/>
      </w:pPr>
      <w:r>
        <w:t xml:space="preserve">AFC = antral follicle count, AMH = </w:t>
      </w:r>
      <w:r w:rsidR="00C22392">
        <w:rPr>
          <w:szCs w:val="44"/>
        </w:rPr>
        <w:t>anti-Müllerian h</w:t>
      </w:r>
      <w:r w:rsidRPr="00D358F5">
        <w:rPr>
          <w:szCs w:val="44"/>
        </w:rPr>
        <w:t>ormone</w:t>
      </w:r>
      <w:r>
        <w:rPr>
          <w:szCs w:val="44"/>
        </w:rPr>
        <w:t>, E2 = estradiol, FSH = follicle</w:t>
      </w:r>
      <w:r w:rsidR="00DE6DD5">
        <w:rPr>
          <w:szCs w:val="44"/>
        </w:rPr>
        <w:t>-</w:t>
      </w:r>
      <w:r>
        <w:rPr>
          <w:szCs w:val="44"/>
        </w:rPr>
        <w:t>stimulating hormone</w:t>
      </w:r>
    </w:p>
    <w:p w14:paraId="1336193D" w14:textId="38946CE4" w:rsidR="000B2FB9" w:rsidRDefault="000B2FB9" w:rsidP="000B2FB9">
      <w:pPr>
        <w:pStyle w:val="Heading3"/>
      </w:pPr>
      <w:bookmarkStart w:id="97" w:name="_Toc502832897"/>
      <w:r>
        <w:t>Ovari</w:t>
      </w:r>
      <w:r w:rsidR="004446E6">
        <w:t>an failure and AMH t</w:t>
      </w:r>
      <w:r>
        <w:t>esting</w:t>
      </w:r>
      <w:bookmarkEnd w:id="97"/>
    </w:p>
    <w:p w14:paraId="58961F0E" w14:textId="0C8E1B95" w:rsidR="007518CF" w:rsidRDefault="00415952" w:rsidP="00E84A6D">
      <w:pPr>
        <w:jc w:val="both"/>
      </w:pPr>
      <w:r>
        <w:t xml:space="preserve">Ovarian failure is associated with the absence of primordial follicles in the ovarian cortex, resulting in an absence of maturing follicles, which is linked to menopause </w:t>
      </w:r>
      <w:r w:rsidR="00FC3198">
        <w:fldChar w:fldCharType="begin"/>
      </w:r>
      <w:r w:rsidR="00577E24">
        <w:instrText xml:space="preserve"> ADDIN EN.CITE &lt;EndNote&gt;&lt;Cite&gt;&lt;Author&gt;Amir&lt;/Author&gt;&lt;Year&gt;2010&lt;/Year&gt;&lt;RecNum&gt;22&lt;/RecNum&gt;&lt;IDText&gt;545-8&lt;/IDText&gt;&lt;DisplayText&gt;(Amir et al. 2010)&lt;/DisplayText&gt;&lt;record&gt;&lt;rec-number&gt;22&lt;/rec-number&gt;&lt;foreign-keys&gt;&lt;key app="EN" db-id="s2dftfxw1fvsr1efx58vfvxtvfwzxea0td02" timestamp="1511748061"&gt;22&lt;/key&gt;&lt;/foreign-keys&gt;&lt;ref-type name="Journal Article"&gt;17&lt;/ref-type&gt;&lt;contributors&gt;&lt;authors&gt;&lt;author&gt;Amir, E.&lt;/author&gt;&lt;author&gt;Freedman, O.&lt;/author&gt;&lt;author&gt;Allen, L.&lt;/author&gt;&lt;author&gt;Colgan, T.&lt;/author&gt;&lt;author&gt;Clemons, M.&lt;/author&gt;&lt;/authors&gt;&lt;/contributors&gt;&lt;auth-address&gt;Division of Medical Oncology, Princess Margaret Hospital, Toronto, Canada. eitan.amir@uhn.on.ca&lt;/auth-address&gt;&lt;titles&gt;&lt;title&gt;Defining ovarian failure in amenorrheic young breast cancer patients&lt;/title&gt;&lt;secondary-title&gt;Breast&lt;/secondary-title&gt;&lt;/titles&gt;&lt;periodical&gt;&lt;full-title&gt;Breast&lt;/full-title&gt;&lt;/periodical&gt;&lt;pages&gt;545-8&lt;/pages&gt;&lt;volume&gt;19&lt;/volume&gt;&lt;number&gt;6&lt;/number&gt;&lt;keywords&gt;&lt;keyword&gt;Amenorrhea/*chemically induced&lt;/keyword&gt;&lt;keyword&gt;Antineoplastic Agents/*adverse effects/pharmacology/therapeutic use&lt;/keyword&gt;&lt;keyword&gt;Breast Neoplasms/*drug therapy&lt;/keyword&gt;&lt;keyword&gt;Female&lt;/keyword&gt;&lt;keyword&gt;Humans&lt;/keyword&gt;&lt;keyword&gt;*Menopause&lt;/keyword&gt;&lt;keyword&gt;Ovary/*physiology&lt;/keyword&gt;&lt;keyword&gt;Premenopause/*drug effects&lt;/keyword&gt;&lt;/keywords&gt;&lt;dates&gt;&lt;year&gt;2010&lt;/year&gt;&lt;pub-dates&gt;&lt;date&gt;Dec&lt;/date&gt;&lt;/pub-dates&gt;&lt;/dates&gt;&lt;isbn&gt;1532-3080 (Electronic)&amp;#xD;0960-9776 (Linking)&lt;/isbn&gt;&lt;accession-num&gt;20615705&lt;/accession-num&gt;&lt;urls&gt;&lt;related-urls&gt;&lt;url&gt;http://www.ncbi.nlm.nih.gov/pubmed/20615705&lt;/url&gt;&lt;/related-urls&gt;&lt;/urls&gt;&lt;electronic-resource-num&gt;10.1016/j.breast.2010.06.003&lt;/electronic-resource-num&gt;&lt;/record&gt;&lt;/Cite&gt;&lt;/EndNote&gt;</w:instrText>
      </w:r>
      <w:r w:rsidR="00FC3198">
        <w:fldChar w:fldCharType="separate"/>
      </w:r>
      <w:r w:rsidR="00FC3198">
        <w:rPr>
          <w:noProof/>
        </w:rPr>
        <w:t>(</w:t>
      </w:r>
      <w:hyperlink w:anchor="_ENREF_4" w:tooltip="Amir, 2010 #22" w:history="1">
        <w:r w:rsidR="00835BA6">
          <w:rPr>
            <w:noProof/>
          </w:rPr>
          <w:t>Amir et al. 2010</w:t>
        </w:r>
      </w:hyperlink>
      <w:r w:rsidR="00FC3198">
        <w:rPr>
          <w:noProof/>
        </w:rPr>
        <w:t>)</w:t>
      </w:r>
      <w:r w:rsidR="00FC3198">
        <w:fldChar w:fldCharType="end"/>
      </w:r>
      <w:r>
        <w:t xml:space="preserve">. </w:t>
      </w:r>
      <w:r w:rsidR="00C145B0">
        <w:t>AMH</w:t>
      </w:r>
      <w:r w:rsidR="003D2FFE">
        <w:t xml:space="preserve"> is a glycoprotein of the tran</w:t>
      </w:r>
      <w:r w:rsidR="00C145B0">
        <w:t xml:space="preserve">sforming growth factor β family, believed </w:t>
      </w:r>
      <w:r w:rsidR="003D2FFE">
        <w:t xml:space="preserve">to represent the non-cyclical, continuous </w:t>
      </w:r>
      <w:r w:rsidR="00E84A6D">
        <w:t xml:space="preserve">primordial follicle growth. This means it can be considered an indirect </w:t>
      </w:r>
      <w:r w:rsidR="00C145B0">
        <w:t>quantifier</w:t>
      </w:r>
      <w:r w:rsidR="00E84A6D">
        <w:t xml:space="preserve"> of the resting ovarian foll</w:t>
      </w:r>
      <w:r w:rsidR="00C145B0">
        <w:t>icle pool, i.e. the ovarian reserve</w:t>
      </w:r>
      <w:r w:rsidR="00E84A6D">
        <w:t xml:space="preserve"> </w:t>
      </w:r>
      <w:r w:rsidR="00FC3198">
        <w:fldChar w:fldCharType="begin"/>
      </w:r>
      <w:r w:rsidR="00577E24">
        <w:instrText xml:space="preserve"> ADDIN EN.CITE &lt;EndNote&gt;&lt;Cite&gt;&lt;Author&gt;Bozza&lt;/Author&gt;&lt;Year&gt;2014&lt;/Year&gt;&lt;RecNum&gt;72&lt;/RecNum&gt;&lt;IDText&gt;R51-R65&lt;/IDText&gt;&lt;DisplayText&gt;(Bozza et al. 2014)&lt;/DisplayText&gt;&lt;record&gt;&lt;rec-number&gt;72&lt;/rec-number&gt;&lt;foreign-keys&gt;&lt;key app="EN" db-id="s2dftfxw1fvsr1efx58vfvxtvfwzxea0td02" timestamp="1511748066"&gt;72&lt;/key&gt;&lt;/foreign-keys&gt;&lt;ref-type name="Journal Article"&gt;17&lt;/ref-type&gt;&lt;contributors&gt;&lt;authors&gt;&lt;author&gt;Bozza, C.&lt;/author&gt;&lt;author&gt;Puglisi, F.&lt;/author&gt;&lt;author&gt;Lambertini, M.&lt;/author&gt;&lt;author&gt;Osa, E. O.&lt;/author&gt;&lt;author&gt;Manno, M.&lt;/author&gt;&lt;author&gt;Del Mastro, L.&lt;/author&gt;&lt;/authors&gt;&lt;/contributors&gt;&lt;titles&gt;&lt;title&gt;Anti-Müllerian hormone: Determination of ovarian reserve in early breast cancer patients&lt;/title&gt;&lt;secondary-title&gt;Endocrine-Related Cancer&lt;/secondary-title&gt;&lt;/titles&gt;&lt;periodical&gt;&lt;full-title&gt;Endocrine-Related Cancer&lt;/full-title&gt;&lt;/periodical&gt;&lt;pages&gt;R51-R65&lt;/pages&gt;&lt;volume&gt;21&lt;/volume&gt;&lt;number&gt;1&lt;/number&gt;&lt;keywords&gt;&lt;keyword&gt;Biological Markers&lt;/keyword&gt;&lt;keyword&gt;Breast Neoplasms&lt;/keyword&gt;&lt;/keywords&gt;&lt;dates&gt;&lt;year&gt;2014&lt;/year&gt;&lt;pub-dates&gt;&lt;date&gt;2014-1-1&lt;/date&gt;&lt;/pub-dates&gt;&lt;/dates&gt;&lt;isbn&gt;1351-0088&lt;/isbn&gt;&lt;accession-num&gt;rayyan-6672835&lt;/accession-num&gt;&lt;urls&gt;&lt;related-urls&gt;&lt;url&gt;http://www.embase.com/search/results?subaction=viewrecord&amp;amp;from=export&amp;amp;id=L372324162 http://dx.doi.org/10.1530/ERC-13-0335&lt;/url&gt;&lt;url&gt;http://erc.endocrinology-journals.org/content/21/1/R51.full.pdf&lt;/url&gt;&lt;/related-urls&gt;&lt;/urls&gt;&lt;custom1&gt;RAYYAN-INCLUSION: {&amp;quot;Sharon&amp;quot;=&amp;gt;true, &amp;quot;Joanne&amp;quot;=&amp;gt;true}&lt;/custom1&gt;&lt;/record&gt;&lt;/Cite&gt;&lt;/EndNote&gt;</w:instrText>
      </w:r>
      <w:r w:rsidR="00FC3198">
        <w:fldChar w:fldCharType="separate"/>
      </w:r>
      <w:r w:rsidR="00FC3198">
        <w:rPr>
          <w:noProof/>
        </w:rPr>
        <w:t>(</w:t>
      </w:r>
      <w:hyperlink w:anchor="_ENREF_12" w:tooltip="Bozza, 2014 #72" w:history="1">
        <w:r w:rsidR="00835BA6">
          <w:rPr>
            <w:noProof/>
          </w:rPr>
          <w:t>Bozza et al. 2014</w:t>
        </w:r>
      </w:hyperlink>
      <w:r w:rsidR="00FC3198">
        <w:rPr>
          <w:noProof/>
        </w:rPr>
        <w:t>)</w:t>
      </w:r>
      <w:r w:rsidR="00FC3198">
        <w:fldChar w:fldCharType="end"/>
      </w:r>
      <w:r w:rsidR="00E84A6D">
        <w:t>.</w:t>
      </w:r>
    </w:p>
    <w:p w14:paraId="222BB69B" w14:textId="300CDB50" w:rsidR="00A00B06" w:rsidRDefault="00825D1E" w:rsidP="00E84A6D">
      <w:pPr>
        <w:jc w:val="both"/>
      </w:pPr>
      <w:r>
        <w:lastRenderedPageBreak/>
        <w:t>AMH is produced by granulosa cells</w:t>
      </w:r>
      <w:r w:rsidR="00CC61E1">
        <w:t xml:space="preserve"> of primary, preantral and small antral follicles</w:t>
      </w:r>
      <w:r w:rsidR="00FD0778">
        <w:t>,</w:t>
      </w:r>
      <w:r>
        <w:t xml:space="preserve"> and </w:t>
      </w:r>
      <w:r w:rsidR="00FD0778">
        <w:t xml:space="preserve">is </w:t>
      </w:r>
      <w:r>
        <w:t>subsequently released in the circulation</w:t>
      </w:r>
      <w:r w:rsidR="00953CF0">
        <w:t xml:space="preserve"> </w:t>
      </w:r>
      <w:r w:rsidR="00FC3198">
        <w:fldChar w:fldCharType="begin">
          <w:fldData xml:space="preserve">PEVuZE5vdGU+PENpdGU+PEF1dGhvcj5Cb3p6YTwvQXV0aG9yPjxZZWFyPjIwMTQ8L1llYXI+PFJl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</w:fldData>
        </w:fldChar>
      </w:r>
      <w:r w:rsidR="00577E24">
        <w:instrText xml:space="preserve"> ADDIN EN.CITE </w:instrText>
      </w:r>
      <w:r w:rsidR="00577E24">
        <w:fldChar w:fldCharType="begin">
          <w:fldData xml:space="preserve">PEVuZE5vdGU+PENpdGU+PEF1dGhvcj5Cb3p6YTwvQXV0aG9yPjxZZWFyPjIwMTQ8L1llYXI+PFJl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</w:fldData>
        </w:fldChar>
      </w:r>
      <w:r w:rsidR="00577E24">
        <w:instrText xml:space="preserve"> ADDIN EN.CITE.DATA </w:instrText>
      </w:r>
      <w:r w:rsidR="00577E24">
        <w:fldChar w:fldCharType="end"/>
      </w:r>
      <w:r w:rsidR="00FC3198">
        <w:fldChar w:fldCharType="separate"/>
      </w:r>
      <w:r w:rsidR="00FC3198">
        <w:rPr>
          <w:noProof/>
        </w:rPr>
        <w:t>(</w:t>
      </w:r>
      <w:hyperlink w:anchor="_ENREF_12" w:tooltip="Bozza, 2014 #72" w:history="1">
        <w:r w:rsidR="00835BA6">
          <w:rPr>
            <w:noProof/>
          </w:rPr>
          <w:t>Bozza et al. 2014</w:t>
        </w:r>
      </w:hyperlink>
      <w:r w:rsidR="00FC3198">
        <w:rPr>
          <w:noProof/>
        </w:rPr>
        <w:t xml:space="preserve">; </w:t>
      </w:r>
      <w:hyperlink w:anchor="_ENREF_32" w:tooltip="Iwase, 2014 #188" w:history="1">
        <w:r w:rsidR="00835BA6">
          <w:rPr>
            <w:noProof/>
          </w:rPr>
          <w:t>Iwase et al. 2014</w:t>
        </w:r>
      </w:hyperlink>
      <w:r w:rsidR="00FC3198">
        <w:rPr>
          <w:noProof/>
        </w:rPr>
        <w:t>)</w:t>
      </w:r>
      <w:r w:rsidR="00FC3198">
        <w:fldChar w:fldCharType="end"/>
      </w:r>
      <w:r>
        <w:t>. AMH leve</w:t>
      </w:r>
      <w:r w:rsidR="00C94723">
        <w:t xml:space="preserve">ls can be measured from </w:t>
      </w:r>
      <w:r>
        <w:t xml:space="preserve">birth until menopause. The hormone protects primordial follicles by </w:t>
      </w:r>
      <w:r w:rsidR="00CB237A">
        <w:t>slowing their rapid recruitment, preventing premature follicle pool depletion</w:t>
      </w:r>
      <w:r w:rsidR="00E03640">
        <w:t xml:space="preserve"> </w:t>
      </w:r>
      <w:r w:rsidR="00FC3198">
        <w:fldChar w:fldCharType="begin"/>
      </w:r>
      <w:r w:rsidR="00577E24">
        <w:instrText xml:space="preserve"> ADDIN EN.CITE &lt;EndNote&gt;&lt;Cite&gt;&lt;Author&gt;Bozza&lt;/Author&gt;&lt;Year&gt;2014&lt;/Year&gt;&lt;RecNum&gt;72&lt;/RecNum&gt;&lt;IDText&gt;R51-R65&lt;/IDText&gt;&lt;DisplayText&gt;(Bozza et al. 2014)&lt;/DisplayText&gt;&lt;record&gt;&lt;rec-number&gt;72&lt;/rec-number&gt;&lt;foreign-keys&gt;&lt;key app="EN" db-id="s2dftfxw1fvsr1efx58vfvxtvfwzxea0td02" timestamp="1511748066"&gt;72&lt;/key&gt;&lt;/foreign-keys&gt;&lt;ref-type name="Journal Article"&gt;17&lt;/ref-type&gt;&lt;contributors&gt;&lt;authors&gt;&lt;author&gt;Bozza, C.&lt;/author&gt;&lt;author&gt;Puglisi, F.&lt;/author&gt;&lt;author&gt;Lambertini, M.&lt;/author&gt;&lt;author&gt;Osa, E. O.&lt;/author&gt;&lt;author&gt;Manno, M.&lt;/author&gt;&lt;author&gt;Del Mastro, L.&lt;/author&gt;&lt;/authors&gt;&lt;/contributors&gt;&lt;titles&gt;&lt;title&gt;Anti-Müllerian hormone: Determination of ovarian reserve in early breast cancer patients&lt;/title&gt;&lt;secondary-title&gt;Endocrine-Related Cancer&lt;/secondary-title&gt;&lt;/titles&gt;&lt;periodical&gt;&lt;full-title&gt;Endocrine-Related Cancer&lt;/full-title&gt;&lt;/periodical&gt;&lt;pages&gt;R51-R65&lt;/pages&gt;&lt;volume&gt;21&lt;/volume&gt;&lt;number&gt;1&lt;/number&gt;&lt;keywords&gt;&lt;keyword&gt;Biological Markers&lt;/keyword&gt;&lt;keyword&gt;Breast Neoplasms&lt;/keyword&gt;&lt;/keywords&gt;&lt;dates&gt;&lt;year&gt;2014&lt;/year&gt;&lt;pub-dates&gt;&lt;date&gt;2014-1-1&lt;/date&gt;&lt;/pub-dates&gt;&lt;/dates&gt;&lt;isbn&gt;1351-0088&lt;/isbn&gt;&lt;accession-num&gt;rayyan-6672835&lt;/accession-num&gt;&lt;urls&gt;&lt;related-urls&gt;&lt;url&gt;http://www.embase.com/search/results?subaction=viewrecord&amp;amp;from=export&amp;amp;id=L372324162 http://dx.doi.org/10.1530/ERC-13-0335&lt;/url&gt;&lt;url&gt;http://erc.endocrinology-journals.org/content/21/1/R51.full.pdf&lt;/url&gt;&lt;/related-urls&gt;&lt;/urls&gt;&lt;custom1&gt;RAYYAN-INCLUSION: {&amp;quot;Sharon&amp;quot;=&amp;gt;true, &amp;quot;Joanne&amp;quot;=&amp;gt;true}&lt;/custom1&gt;&lt;/record&gt;&lt;/Cite&gt;&lt;/EndNote&gt;</w:instrText>
      </w:r>
      <w:r w:rsidR="00FC3198">
        <w:fldChar w:fldCharType="separate"/>
      </w:r>
      <w:r w:rsidR="00FC3198">
        <w:rPr>
          <w:noProof/>
        </w:rPr>
        <w:t>(</w:t>
      </w:r>
      <w:hyperlink w:anchor="_ENREF_12" w:tooltip="Bozza, 2014 #72" w:history="1">
        <w:r w:rsidR="00835BA6">
          <w:rPr>
            <w:noProof/>
          </w:rPr>
          <w:t>Bozza et al. 2014</w:t>
        </w:r>
      </w:hyperlink>
      <w:r w:rsidR="00FC3198">
        <w:rPr>
          <w:noProof/>
        </w:rPr>
        <w:t>)</w:t>
      </w:r>
      <w:r w:rsidR="00FC3198">
        <w:fldChar w:fldCharType="end"/>
      </w:r>
      <w:r w:rsidR="00CB237A">
        <w:t>.</w:t>
      </w:r>
    </w:p>
    <w:p w14:paraId="3DAEEF20" w14:textId="3B555721" w:rsidR="00FC6496" w:rsidRDefault="00FC6496" w:rsidP="00FC6496">
      <w:pPr>
        <w:jc w:val="both"/>
      </w:pPr>
      <w:r>
        <w:t xml:space="preserve">In women undergoing gonadotoxic therapy or surgery, damage can occur in the primordial follicles in the ovaries, which can lead to ovarian failure, infertility and the early onset of menopause. Usually AMH levels drop during gonadotoxic treatment, with the possibility of </w:t>
      </w:r>
      <w:r w:rsidR="00FD0778">
        <w:t>partial</w:t>
      </w:r>
      <w:r>
        <w:t xml:space="preserve"> reco</w:t>
      </w:r>
      <w:r w:rsidR="00FD0778">
        <w:t xml:space="preserve">very after finishing treatment. However, the level of recovery is dependent on age, </w:t>
      </w:r>
      <w:r>
        <w:t xml:space="preserve">type of treatment </w:t>
      </w:r>
      <w:r w:rsidR="00FD0778">
        <w:t xml:space="preserve">and dosage </w:t>
      </w:r>
      <w:r>
        <w:fldChar w:fldCharType="begin"/>
      </w:r>
      <w:r w:rsidR="00577E24">
        <w:instrText xml:space="preserve"> ADDIN EN.CITE &lt;EndNote&gt;&lt;Cite&gt;&lt;Author&gt;Bozza&lt;/Author&gt;&lt;Year&gt;2014&lt;/Year&gt;&lt;RecNum&gt;72&lt;/RecNum&gt;&lt;IDText&gt;R51-R65&lt;/IDText&gt;&lt;DisplayText&gt;(Bozza et al. 2014)&lt;/DisplayText&gt;&lt;record&gt;&lt;rec-number&gt;72&lt;/rec-number&gt;&lt;foreign-keys&gt;&lt;key app="EN" db-id="s2dftfxw1fvsr1efx58vfvxtvfwzxea0td02" timestamp="1511748066"&gt;72&lt;/key&gt;&lt;/foreign-keys&gt;&lt;ref-type name="Journal Article"&gt;17&lt;/ref-type&gt;&lt;contributors&gt;&lt;authors&gt;&lt;author&gt;Bozza, C.&lt;/author&gt;&lt;author&gt;Puglisi, F.&lt;/author&gt;&lt;author&gt;Lambertini, M.&lt;/author&gt;&lt;author&gt;Osa, E. O.&lt;/author&gt;&lt;author&gt;Manno, M.&lt;/author&gt;&lt;author&gt;Del Mastro, L.&lt;/author&gt;&lt;/authors&gt;&lt;/contributors&gt;&lt;titles&gt;&lt;title&gt;Anti-Müllerian hormone: Determination of ovarian reserve in early breast cancer patients&lt;/title&gt;&lt;secondary-title&gt;Endocrine-Related Cancer&lt;/secondary-title&gt;&lt;/titles&gt;&lt;periodical&gt;&lt;full-title&gt;Endocrine-Related Cancer&lt;/full-title&gt;&lt;/periodical&gt;&lt;pages&gt;R51-R65&lt;/pages&gt;&lt;volume&gt;21&lt;/volume&gt;&lt;number&gt;1&lt;/number&gt;&lt;keywords&gt;&lt;keyword&gt;Biological Markers&lt;/keyword&gt;&lt;keyword&gt;Breast Neoplasms&lt;/keyword&gt;&lt;/keywords&gt;&lt;dates&gt;&lt;year&gt;2014&lt;/year&gt;&lt;pub-dates&gt;&lt;date&gt;2014-1-1&lt;/date&gt;&lt;/pub-dates&gt;&lt;/dates&gt;&lt;isbn&gt;1351-0088&lt;/isbn&gt;&lt;accession-num&gt;rayyan-6672835&lt;/accession-num&gt;&lt;urls&gt;&lt;related-urls&gt;&lt;url&gt;http://www.embase.com/search/results?subaction=viewrecord&amp;amp;from=export&amp;amp;id=L372324162 http://dx.doi.org/10.1530/ERC-13-0335&lt;/url&gt;&lt;url&gt;http://erc.endocrinology-journals.org/content/21/1/R51.full.pdf&lt;/url&gt;&lt;/related-urls&gt;&lt;/urls&gt;&lt;custom1&gt;RAYYAN-INCLUSION: {&amp;quot;Sharon&amp;quot;=&amp;gt;true, &amp;quot;Joanne&amp;quot;=&amp;gt;true}&lt;/custom1&gt;&lt;/record&gt;&lt;/Cite&gt;&lt;/EndNote&gt;</w:instrText>
      </w:r>
      <w:r>
        <w:fldChar w:fldCharType="separate"/>
      </w:r>
      <w:r>
        <w:rPr>
          <w:noProof/>
        </w:rPr>
        <w:t>(</w:t>
      </w:r>
      <w:hyperlink w:anchor="_ENREF_12" w:tooltip="Bozza, 2014 #72" w:history="1">
        <w:r w:rsidR="00835BA6">
          <w:rPr>
            <w:noProof/>
          </w:rPr>
          <w:t>Bozza et al. 2014</w:t>
        </w:r>
      </w:hyperlink>
      <w:r>
        <w:rPr>
          <w:noProof/>
        </w:rPr>
        <w:t>)</w:t>
      </w:r>
      <w:r>
        <w:fldChar w:fldCharType="end"/>
      </w:r>
      <w:r>
        <w:t xml:space="preserve"> (</w:t>
      </w:r>
      <w:r w:rsidRPr="00154082">
        <w:t xml:space="preserve">see </w:t>
      </w:r>
      <w:r w:rsidR="00154082" w:rsidRPr="00154082">
        <w:t>S</w:t>
      </w:r>
      <w:r w:rsidRPr="00154082">
        <w:t>ection A4</w:t>
      </w:r>
      <w:r>
        <w:t>).</w:t>
      </w:r>
    </w:p>
    <w:p w14:paraId="7A624DBF" w14:textId="416D6EFA" w:rsidR="00953CF0" w:rsidRDefault="00953CF0" w:rsidP="00953CF0">
      <w:pPr>
        <w:pStyle w:val="Heading4"/>
      </w:pPr>
      <w:r>
        <w:t>Measuring AMH and other hormones</w:t>
      </w:r>
    </w:p>
    <w:p w14:paraId="35DCA471" w14:textId="2779F8BF" w:rsidR="0048099A" w:rsidRDefault="0048099A" w:rsidP="00FC6496">
      <w:pPr>
        <w:jc w:val="both"/>
      </w:pPr>
      <w:r>
        <w:t>Ovarian reserve cannot be measured directly. Therefore, a series of markers and ultrasonographic tests have been</w:t>
      </w:r>
      <w:r w:rsidR="00235BB8">
        <w:t xml:space="preserve"> adopted as indirect markers. These include </w:t>
      </w:r>
      <w:r>
        <w:t xml:space="preserve">AMH, </w:t>
      </w:r>
      <w:r w:rsidR="0076789D">
        <w:t>FSH</w:t>
      </w:r>
      <w:r>
        <w:t xml:space="preserve">, estradiol (E2), inhibin B, </w:t>
      </w:r>
      <w:r w:rsidR="0076789D">
        <w:t>AFC</w:t>
      </w:r>
      <w:r>
        <w:t xml:space="preserve"> and measurement of ovarian volume. </w:t>
      </w:r>
      <w:r w:rsidR="00235BB8">
        <w:t xml:space="preserve">Measuring </w:t>
      </w:r>
      <w:r>
        <w:t xml:space="preserve">AMH </w:t>
      </w:r>
      <w:r w:rsidR="00235BB8">
        <w:t>is</w:t>
      </w:r>
      <w:r>
        <w:t xml:space="preserve"> gaining popularity as </w:t>
      </w:r>
      <w:r w:rsidR="00235BB8">
        <w:t>AMH is</w:t>
      </w:r>
      <w:r>
        <w:t xml:space="preserve"> very sensitive to changes with advancing age and it is relatively consistent throughout the menstrual cycle </w:t>
      </w:r>
      <w:r>
        <w:fldChar w:fldCharType="begin"/>
      </w:r>
      <w:r w:rsidR="00577E24">
        <w:instrText xml:space="preserve"> ADDIN EN.CITE &lt;EndNote&gt;&lt;Cite&gt;&lt;Author&gt;Iwase&lt;/Author&gt;&lt;Year&gt;2014&lt;/Year&gt;&lt;RecNum&gt;188&lt;/RecNum&gt;&lt;DisplayText&gt;(Iwase et al. 2014)&lt;/DisplayText&gt;&lt;record&gt;&lt;rec-number&gt;188&lt;/rec-number&gt;&lt;foreign-keys&gt;&lt;key app="EN" db-id="s2dftfxw1fvsr1efx58vfvxtvfwzxea0td02" timestamp="1511748078"&gt;188&lt;/key&gt;&lt;/foreign-keys&gt;&lt;ref-type name="Journal Article"&gt;17&lt;/ref-type&gt;&lt;contributors&gt;&lt;authors&gt;&lt;author&gt;Iwase, A.&lt;/author&gt;&lt;author&gt;Nakamura, T.&lt;/author&gt;&lt;author&gt;Nakahara, T.&lt;/author&gt;&lt;author&gt;Goto, M.&lt;/author&gt;&lt;author&gt;Kikkawa, F.&lt;/author&gt;&lt;/authors&gt;&lt;/contributors&gt;&lt;titles&gt;&lt;title&gt;Assessment of ovarian reserve using anti-Müllerian hormone levels in benign gynecologic conditions and surgical interventions: A systematic narrative review&lt;/title&gt;&lt;secondary-title&gt;Reproductive Biology and Endocrinology&lt;/secondary-title&gt;&lt;/titles&gt;&lt;periodical&gt;&lt;full-title&gt;Reproductive Biology and Endocrinology&lt;/full-title&gt;&lt;/periodical&gt;&lt;volume&gt;12&lt;/volume&gt;&lt;number&gt;1&lt;/number&gt;&lt;keywords&gt;&lt;keyword&gt;Cystectomy&lt;/keyword&gt;&lt;keyword&gt;Genital Diseases, Female&lt;/keyword&gt;&lt;/keywords&gt;&lt;dates&gt;&lt;year&gt;2014&lt;/year&gt;&lt;pub-dates&gt;&lt;date&gt;2014-1-1&lt;/date&gt;&lt;/pub-dates&gt;&lt;/dates&gt;&lt;isbn&gt;1477-7827&lt;/isbn&gt;&lt;accession-num&gt;rayyan-6675229&lt;/accession-num&gt;&lt;urls&gt;&lt;related-urls&gt;&lt;url&gt;http://www.embase.com/search/results?subaction=viewrecord&amp;amp;from=export&amp;amp;id=L602650458 http://dx.doi.org/10.1186/1477-7827-12-125&lt;/url&gt;&lt;/related-urls&gt;&lt;/urls&gt;&lt;custom1&gt;RAYYAN-INCLUSION: {&amp;quot;Sharon&amp;quot;=&amp;gt;true}&lt;/custom1&gt;&lt;/record&gt;&lt;/Cite&gt;&lt;/EndNote&gt;</w:instrText>
      </w:r>
      <w:r>
        <w:fldChar w:fldCharType="separate"/>
      </w:r>
      <w:r>
        <w:rPr>
          <w:noProof/>
        </w:rPr>
        <w:t>(</w:t>
      </w:r>
      <w:hyperlink w:anchor="_ENREF_32" w:tooltip="Iwase, 2014 #188" w:history="1">
        <w:r w:rsidR="00835BA6">
          <w:rPr>
            <w:noProof/>
          </w:rPr>
          <w:t>Iwase et al. 2014</w:t>
        </w:r>
      </w:hyperlink>
      <w:r>
        <w:rPr>
          <w:noProof/>
        </w:rPr>
        <w:t>)</w:t>
      </w:r>
      <w:r>
        <w:fldChar w:fldCharType="end"/>
      </w:r>
      <w:r>
        <w:t>. FSH, inhibin B and E2 show cyclical fluctuations.</w:t>
      </w:r>
    </w:p>
    <w:p w14:paraId="70A983E8" w14:textId="6B3AFCEA" w:rsidR="00067A8F" w:rsidRDefault="00953CF0" w:rsidP="00E84A6D">
      <w:pPr>
        <w:jc w:val="both"/>
      </w:pPr>
      <w:r>
        <w:t>Different commercial assays are used in clinical practice to measure serum AMH. Prior to 2011</w:t>
      </w:r>
      <w:r w:rsidR="00235BB8">
        <w:t>,</w:t>
      </w:r>
      <w:r>
        <w:t xml:space="preserve"> </w:t>
      </w:r>
      <w:r w:rsidR="00235BB8">
        <w:t>two AMH assays were</w:t>
      </w:r>
      <w:r>
        <w:t xml:space="preserve"> available</w:t>
      </w:r>
      <w:r w:rsidR="00235BB8">
        <w:t xml:space="preserve">: </w:t>
      </w:r>
      <w:r>
        <w:t>D</w:t>
      </w:r>
      <w:r w:rsidR="00B023DE">
        <w:t>SL</w:t>
      </w:r>
      <w:r>
        <w:t xml:space="preserve"> </w:t>
      </w:r>
      <w:r w:rsidR="00235BB8">
        <w:t xml:space="preserve">and Immunotech (IOT) </w:t>
      </w:r>
      <w:r w:rsidR="00A109BA">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rsidR="00577E24">
        <w:instrText xml:space="preserve"> ADDIN EN.CITE </w:instrText>
      </w:r>
      <w:r w:rsidR="00577E24">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rsidR="00577E24">
        <w:instrText xml:space="preserve"> ADDIN EN.CITE.DATA </w:instrText>
      </w:r>
      <w:r w:rsidR="00577E24">
        <w:fldChar w:fldCharType="end"/>
      </w:r>
      <w:r w:rsidR="00A109BA">
        <w:fldChar w:fldCharType="separate"/>
      </w:r>
      <w:r w:rsidR="00A109BA">
        <w:rPr>
          <w:noProof/>
        </w:rPr>
        <w:t>(</w:t>
      </w:r>
      <w:hyperlink w:anchor="_ENREF_70" w:tooltip="Tobler, 2015 #349" w:history="1">
        <w:r w:rsidR="00835BA6">
          <w:rPr>
            <w:noProof/>
          </w:rPr>
          <w:t>Tobler et al. 2015</w:t>
        </w:r>
      </w:hyperlink>
      <w:r w:rsidR="00A109BA">
        <w:rPr>
          <w:noProof/>
        </w:rPr>
        <w:t>)</w:t>
      </w:r>
      <w:r w:rsidR="00A109BA">
        <w:fldChar w:fldCharType="end"/>
      </w:r>
      <w:r w:rsidR="00462566">
        <w:t xml:space="preserve">. </w:t>
      </w:r>
      <w:r w:rsidR="0048099A">
        <w:t>These assays use different primary antibodies again</w:t>
      </w:r>
      <w:r w:rsidR="00235BB8">
        <w:t xml:space="preserve">st AMH and different standards; </w:t>
      </w:r>
      <w:r w:rsidR="0048099A">
        <w:t xml:space="preserve">therefore crude values reported can differ substantially </w:t>
      </w:r>
      <w:r w:rsidR="00A109BA">
        <w:fldChar w:fldCharType="begin"/>
      </w:r>
      <w:r w:rsidR="00577E24">
        <w:instrText xml:space="preserve"> ADDIN EN.CITE &lt;EndNote&gt;&lt;Cite&gt;&lt;Author&gt;Nelson&lt;/Author&gt;&lt;Year&gt;2011&lt;/Year&gt;&lt;RecNum&gt;271&lt;/RecNum&gt;&lt;IDText&gt;411-20&lt;/IDText&gt;&lt;DisplayText&gt;(Nelson &amp;amp; La Marca 2011)&lt;/DisplayText&gt;&lt;record&gt;&lt;rec-number&gt;271&lt;/rec-number&gt;&lt;foreign-keys&gt;&lt;key app="EN" db-id="s2dftfxw1fvsr1efx58vfvxtvfwzxea0td02" timestamp="1511748089"&gt;271&lt;/key&gt;&lt;/foreign-keys&gt;&lt;ref-type name="Journal Article"&gt;17&lt;/ref-type&gt;&lt;contributors&gt;&lt;authors&gt;&lt;author&gt;Nelson, S. M.&lt;/author&gt;&lt;author&gt;La Marca, A.&lt;/author&gt;&lt;/authors&gt;&lt;/contributors&gt;&lt;auth-address&gt;School of Medicine, University of Glasgow, Western Infirmary, Glasgow G12 8QQ, UK. scott.nelson@glasgow.ac.uk&lt;/auth-address&gt;&lt;titles&gt;&lt;title&gt;The journey from the old to the new AMH assay: how to avoid getting lost in the values&lt;/title&gt;&lt;secondary-title&gt;Reprod Biomed Online&lt;/secondary-title&gt;&lt;/titles&gt;&lt;periodical&gt;&lt;full-title&gt;Reprod Biomed Online&lt;/full-title&gt;&lt;/periodical&gt;&lt;pages&gt;411-20&lt;/pages&gt;&lt;volume&gt;23&lt;/volume&gt;&lt;number&gt;4&lt;/number&gt;&lt;keywords&gt;&lt;keyword&gt;Adult&lt;/keyword&gt;&lt;keyword&gt;Anti-Mullerian Hormone/*analysis/immunology/physiology&lt;/keyword&gt;&lt;keyword&gt;Female&lt;/keyword&gt;&lt;keyword&gt;Humans&lt;/keyword&gt;&lt;keyword&gt;Middle Aged&lt;/keyword&gt;&lt;keyword&gt;Ovary/physiology&lt;/keyword&gt;&lt;keyword&gt;Pregnancy&lt;/keyword&gt;&lt;keyword&gt;Reagent Kits, Diagnostic/standards&lt;/keyword&gt;&lt;/keywords&gt;&lt;dates&gt;&lt;year&gt;2011&lt;/year&gt;&lt;pub-dates&gt;&lt;date&gt;Oct&lt;/date&gt;&lt;/pub-dates&gt;&lt;/dates&gt;&lt;isbn&gt;1472-6491 (Electronic)&amp;#xD;1472-6483 (Linking)&lt;/isbn&gt;&lt;accession-num&gt;21872528&lt;/accession-num&gt;&lt;urls&gt;&lt;related-urls&gt;&lt;url&gt;http://www.ncbi.nlm.nih.gov/pubmed/21872528&lt;/url&gt;&lt;/related-urls&gt;&lt;/urls&gt;&lt;electronic-resource-num&gt;10.1016/j.rbmo.2011.06.011&lt;/electronic-resource-num&gt;&lt;/record&gt;&lt;/Cite&gt;&lt;/EndNote&gt;</w:instrText>
      </w:r>
      <w:r w:rsidR="00A109BA">
        <w:fldChar w:fldCharType="separate"/>
      </w:r>
      <w:r w:rsidR="00A109BA">
        <w:rPr>
          <w:noProof/>
        </w:rPr>
        <w:t>(</w:t>
      </w:r>
      <w:hyperlink w:anchor="_ENREF_47" w:tooltip="Nelson, 2011 #271" w:history="1">
        <w:r w:rsidR="00835BA6">
          <w:rPr>
            <w:noProof/>
          </w:rPr>
          <w:t>Nelson &amp; La Marca 2011</w:t>
        </w:r>
      </w:hyperlink>
      <w:r w:rsidR="00A109BA">
        <w:rPr>
          <w:noProof/>
        </w:rPr>
        <w:t>)</w:t>
      </w:r>
      <w:r w:rsidR="00A109BA">
        <w:fldChar w:fldCharType="end"/>
      </w:r>
      <w:r w:rsidR="0048099A">
        <w:t>. A second generation assay is now available (Beckman Coulter AMH Gen II)</w:t>
      </w:r>
      <w:r w:rsidR="007F4459">
        <w:t xml:space="preserve">. </w:t>
      </w:r>
      <w:r w:rsidR="003D6712">
        <w:t>Interpreting AMH values requires</w:t>
      </w:r>
      <w:r w:rsidR="0048099A">
        <w:t xml:space="preserve"> </w:t>
      </w:r>
      <w:r w:rsidR="00235BB8">
        <w:t xml:space="preserve">awareness that scoring is </w:t>
      </w:r>
      <w:r w:rsidR="0048099A">
        <w:t>not necessarily comparable</w:t>
      </w:r>
      <w:r w:rsidR="00235BB8" w:rsidRPr="00235BB8">
        <w:t xml:space="preserve"> </w:t>
      </w:r>
      <w:r w:rsidR="00235BB8">
        <w:t xml:space="preserve">across the different assays; therefore, it is important to know which AMH assay </w:t>
      </w:r>
      <w:r w:rsidR="003D6712">
        <w:t>has generated the score</w:t>
      </w:r>
      <w:r w:rsidR="0048099A">
        <w:t>.</w:t>
      </w:r>
    </w:p>
    <w:p w14:paraId="30DD9CE7" w14:textId="1555CFEE" w:rsidR="00835007" w:rsidRPr="00183E4D" w:rsidRDefault="004446E6" w:rsidP="00D366DE">
      <w:pPr>
        <w:pStyle w:val="Heading2"/>
        <w:numPr>
          <w:ilvl w:val="0"/>
          <w:numId w:val="8"/>
        </w:numPr>
      </w:pPr>
      <w:bookmarkStart w:id="98" w:name="_Toc381796450"/>
      <w:bookmarkStart w:id="99" w:name="_Toc502832898"/>
      <w:bookmarkStart w:id="100" w:name="_Toc327540865"/>
      <w:bookmarkStart w:id="101" w:name="_Toc379118069"/>
      <w:bookmarkStart w:id="102" w:name="_Toc381796447"/>
      <w:bookmarkEnd w:id="93"/>
      <w:bookmarkEnd w:id="94"/>
      <w:r>
        <w:t>Proposal for public f</w:t>
      </w:r>
      <w:r w:rsidR="00835007" w:rsidRPr="00183E4D">
        <w:t>unding</w:t>
      </w:r>
      <w:bookmarkEnd w:id="98"/>
      <w:bookmarkEnd w:id="99"/>
    </w:p>
    <w:p w14:paraId="1B40025E" w14:textId="33987A4F" w:rsidR="0061228B" w:rsidRDefault="00835007" w:rsidP="00067A8F">
      <w:pPr>
        <w:jc w:val="both"/>
      </w:pPr>
      <w:r w:rsidRPr="00183E4D">
        <w:t xml:space="preserve">The proposed MBS item </w:t>
      </w:r>
      <w:r w:rsidR="00106705" w:rsidRPr="00183E4D">
        <w:t>descriptor</w:t>
      </w:r>
      <w:r w:rsidR="00646731">
        <w:t xml:space="preserve"> was presented in the </w:t>
      </w:r>
      <w:r w:rsidR="003E7EA1">
        <w:t>PICO Confirmation</w:t>
      </w:r>
      <w:r w:rsidR="00646731">
        <w:t xml:space="preserve"> submitted by the applicant and</w:t>
      </w:r>
      <w:r w:rsidR="00106705" w:rsidRPr="00183E4D">
        <w:t xml:space="preserve"> </w:t>
      </w:r>
      <w:r w:rsidRPr="00183E4D">
        <w:t>is summarised in</w:t>
      </w:r>
      <w:bookmarkStart w:id="103" w:name="_Ref373485347"/>
      <w:bookmarkStart w:id="104" w:name="_Ref373485342"/>
      <w:r w:rsidR="00462566">
        <w:t xml:space="preserve"> </w:t>
      </w:r>
      <w:r w:rsidR="00462566">
        <w:fldChar w:fldCharType="begin"/>
      </w:r>
      <w:r w:rsidR="00462566">
        <w:instrText xml:space="preserve"> REF _Ref394849669 \h </w:instrText>
      </w:r>
      <w:r w:rsidR="00462566">
        <w:fldChar w:fldCharType="separate"/>
      </w:r>
      <w:r w:rsidR="00AC4BE5" w:rsidRPr="00646731">
        <w:t xml:space="preserve">Table </w:t>
      </w:r>
      <w:r w:rsidR="00AC4BE5">
        <w:rPr>
          <w:noProof/>
        </w:rPr>
        <w:t>6</w:t>
      </w:r>
      <w:r w:rsidR="00462566">
        <w:fldChar w:fldCharType="end"/>
      </w:r>
      <w:r w:rsidR="007F4459">
        <w:t xml:space="preserve">. </w:t>
      </w:r>
      <w:r w:rsidR="00067A8F">
        <w:t xml:space="preserve">The applicant has proposed </w:t>
      </w:r>
      <w:r w:rsidR="00BE786A">
        <w:t xml:space="preserve">that </w:t>
      </w:r>
      <w:r w:rsidR="00067A8F">
        <w:t xml:space="preserve">the scheduled fee for an AMH test </w:t>
      </w:r>
      <w:r w:rsidR="00BE786A">
        <w:t xml:space="preserve">should be </w:t>
      </w:r>
      <w:r w:rsidR="00067A8F">
        <w:t>$100. This is higher than the fee currently charged by many providers offering the service to privately funded patients</w:t>
      </w:r>
      <w:r w:rsidR="00067A8F" w:rsidRPr="00154082">
        <w:t>.</w:t>
      </w:r>
      <w:r w:rsidR="00067A8F" w:rsidRPr="00154082">
        <w:rPr>
          <w:rStyle w:val="FootnoteReference"/>
        </w:rPr>
        <w:footnoteReference w:id="2"/>
      </w:r>
    </w:p>
    <w:p w14:paraId="7B9902AF" w14:textId="77777777" w:rsidR="0061228B" w:rsidRDefault="0061228B">
      <w:pPr>
        <w:spacing w:after="0" w:line="240" w:lineRule="auto"/>
      </w:pPr>
      <w:r>
        <w:br w:type="page"/>
      </w:r>
    </w:p>
    <w:p w14:paraId="544F1909" w14:textId="77777777" w:rsidR="00315C77" w:rsidRPr="00646731" w:rsidRDefault="00106705" w:rsidP="00BB381C">
      <w:pPr>
        <w:pStyle w:val="Caption"/>
        <w:tabs>
          <w:tab w:val="left" w:pos="1134"/>
        </w:tabs>
        <w:ind w:left="1134" w:hanging="1134"/>
      </w:pPr>
      <w:bookmarkStart w:id="105" w:name="_Ref394849669"/>
      <w:bookmarkStart w:id="106" w:name="_Toc502833024"/>
      <w:bookmarkEnd w:id="103"/>
      <w:bookmarkEnd w:id="104"/>
      <w:r w:rsidRPr="00646731">
        <w:lastRenderedPageBreak/>
        <w:t xml:space="preserve">Table </w:t>
      </w:r>
      <w:r w:rsidR="00AC4BE5">
        <w:fldChar w:fldCharType="begin"/>
      </w:r>
      <w:r w:rsidR="00AC4BE5">
        <w:instrText xml:space="preserve"> SEQ Table \* ARABIC </w:instrText>
      </w:r>
      <w:r w:rsidR="00AC4BE5">
        <w:fldChar w:fldCharType="separate"/>
      </w:r>
      <w:r w:rsidR="00AC4BE5">
        <w:rPr>
          <w:noProof/>
        </w:rPr>
        <w:t>6</w:t>
      </w:r>
      <w:r w:rsidR="00AC4BE5">
        <w:rPr>
          <w:noProof/>
        </w:rPr>
        <w:fldChar w:fldCharType="end"/>
      </w:r>
      <w:bookmarkEnd w:id="105"/>
      <w:r w:rsidRPr="00646731">
        <w:tab/>
      </w:r>
      <w:r w:rsidR="00315C77" w:rsidRPr="00646731">
        <w:t>Proposed MBS item descriptor</w:t>
      </w:r>
      <w:bookmarkEnd w:id="106"/>
    </w:p>
    <w:tbl>
      <w:tblPr>
        <w:tblStyle w:val="TableGrid1"/>
        <w:tblW w:w="0" w:type="auto"/>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8888"/>
      </w:tblGrid>
      <w:tr w:rsidR="00315C77" w:rsidRPr="00183E4D" w14:paraId="4BE7AE7D"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8888" w:type="dxa"/>
          </w:tcPr>
          <w:p w14:paraId="7980591D" w14:textId="0834FDBE" w:rsidR="00315C77" w:rsidRPr="00183E4D" w:rsidRDefault="00315C77" w:rsidP="005A30D7">
            <w:pPr>
              <w:pStyle w:val="Tabletext1"/>
            </w:pPr>
            <w:r w:rsidRPr="00183E4D">
              <w:t>Category</w:t>
            </w:r>
            <w:r w:rsidR="00545629">
              <w:t xml:space="preserve"> 6</w:t>
            </w:r>
            <w:r w:rsidRPr="00183E4D">
              <w:t xml:space="preserve"> </w:t>
            </w:r>
            <w:r w:rsidR="00E00C08">
              <w:t>-</w:t>
            </w:r>
            <w:r w:rsidR="00545629">
              <w:t xml:space="preserve"> Pathology services</w:t>
            </w:r>
          </w:p>
        </w:tc>
      </w:tr>
      <w:tr w:rsidR="00315C77" w:rsidRPr="00183E4D" w14:paraId="19C6820C" w14:textId="77777777" w:rsidTr="004D6D0A">
        <w:tc>
          <w:tcPr>
            <w:tcW w:w="8888" w:type="dxa"/>
          </w:tcPr>
          <w:p w14:paraId="26C3CAC7" w14:textId="77777777" w:rsidR="00545629" w:rsidRPr="00545629" w:rsidRDefault="00545629" w:rsidP="005A30D7">
            <w:pPr>
              <w:pStyle w:val="Tabletext1"/>
            </w:pPr>
            <w:r w:rsidRPr="00545629">
              <w:t>MBS [item number]</w:t>
            </w:r>
          </w:p>
          <w:p w14:paraId="3332B41C" w14:textId="77777777" w:rsidR="00545629" w:rsidRDefault="00545629" w:rsidP="005A30D7">
            <w:pPr>
              <w:pStyle w:val="Tabletext1"/>
            </w:pPr>
          </w:p>
          <w:p w14:paraId="000DD8FA" w14:textId="51FA6D31" w:rsidR="007518CF" w:rsidRDefault="00545629" w:rsidP="005A30D7">
            <w:pPr>
              <w:pStyle w:val="Tabletext1"/>
            </w:pPr>
            <w:r w:rsidRPr="00545629">
              <w:t>Anti-M</w:t>
            </w:r>
            <w:r w:rsidRPr="00545629">
              <w:rPr>
                <w:rFonts w:hint="eastAsia"/>
              </w:rPr>
              <w:t>ü</w:t>
            </w:r>
            <w:r w:rsidR="00C22392">
              <w:t>llerian h</w:t>
            </w:r>
            <w:r w:rsidRPr="00545629">
              <w:t>ormone (AMH) for female patients who will or have received gonadotoxic</w:t>
            </w:r>
            <w:r>
              <w:t xml:space="preserve"> </w:t>
            </w:r>
            <w:r w:rsidRPr="00545629">
              <w:t>treatment.</w:t>
            </w:r>
          </w:p>
          <w:p w14:paraId="0A4D4C75" w14:textId="7BCCEF86" w:rsidR="00545629" w:rsidRDefault="00545629" w:rsidP="005A30D7">
            <w:pPr>
              <w:pStyle w:val="Tabletext1"/>
            </w:pPr>
          </w:p>
          <w:p w14:paraId="344616F2" w14:textId="3D76B2EC" w:rsidR="00545629" w:rsidRPr="00545629" w:rsidRDefault="00545629" w:rsidP="005A30D7">
            <w:pPr>
              <w:pStyle w:val="Tabletext1"/>
            </w:pPr>
            <w:r w:rsidRPr="00545629">
              <w:t>Fee: $100</w:t>
            </w:r>
          </w:p>
          <w:p w14:paraId="527ACA91" w14:textId="77777777" w:rsidR="00545629" w:rsidRDefault="00545629" w:rsidP="005A30D7">
            <w:pPr>
              <w:pStyle w:val="Tabletext1"/>
            </w:pPr>
          </w:p>
          <w:p w14:paraId="7FEB0E43" w14:textId="77777777" w:rsidR="00545629" w:rsidRPr="00545629" w:rsidRDefault="00545629" w:rsidP="005A30D7">
            <w:pPr>
              <w:pStyle w:val="Tabletext1"/>
            </w:pPr>
            <w:r w:rsidRPr="00545629">
              <w:t>Explanatory notes:</w:t>
            </w:r>
          </w:p>
          <w:p w14:paraId="57D32714" w14:textId="77777777" w:rsidR="007518CF" w:rsidRDefault="00545629" w:rsidP="005A30D7">
            <w:pPr>
              <w:pStyle w:val="Tabletext1"/>
            </w:pPr>
            <w:r w:rsidRPr="00AE0AAE">
              <w:t>Diagnosis requiring treatment with gonadotoxic therapy</w:t>
            </w:r>
          </w:p>
          <w:p w14:paraId="2D80CF14" w14:textId="0AEE04D1" w:rsidR="00AE0AAE" w:rsidRDefault="00E00C08" w:rsidP="005A30D7">
            <w:pPr>
              <w:pStyle w:val="Tabletext1"/>
            </w:pPr>
            <w:r>
              <w:t>Female patient aged 0</w:t>
            </w:r>
            <w:r w:rsidRPr="00183E4D">
              <w:t>–</w:t>
            </w:r>
            <w:r w:rsidR="00545629" w:rsidRPr="00AE0AAE">
              <w:t>45 years of age will eligible for this service.</w:t>
            </w:r>
          </w:p>
          <w:p w14:paraId="5CC66FEF" w14:textId="77777777" w:rsidR="00AE0AAE" w:rsidRDefault="00545629" w:rsidP="005A30D7">
            <w:pPr>
              <w:pStyle w:val="Tabletext1"/>
            </w:pPr>
            <w:r w:rsidRPr="00AE0AAE">
              <w:t>Maximum of one AMH test in female prior to initial or relapse treatment with</w:t>
            </w:r>
            <w:r w:rsidR="00AE0AAE" w:rsidRPr="00AE0AAE">
              <w:t xml:space="preserve"> </w:t>
            </w:r>
            <w:r w:rsidRPr="00AE0AAE">
              <w:t>gonadotoxic treatment for malignant or non-malignant disease.</w:t>
            </w:r>
          </w:p>
          <w:p w14:paraId="121DBC1E" w14:textId="05E657A9" w:rsidR="00315C77" w:rsidRPr="00183E4D" w:rsidRDefault="00545629" w:rsidP="005A30D7">
            <w:pPr>
              <w:pStyle w:val="Tabletext1"/>
            </w:pPr>
            <w:r w:rsidRPr="00AE0AAE">
              <w:t>Assessment of ovarian reserve with a maximum of one AMH test per year following</w:t>
            </w:r>
            <w:r w:rsidR="00AE0AAE" w:rsidRPr="00AE0AAE">
              <w:t xml:space="preserve"> </w:t>
            </w:r>
            <w:r w:rsidRPr="00AE0AAE">
              <w:t>treatment in patients who have had gonadotoxic treatment to assess the gonadotoxic</w:t>
            </w:r>
            <w:r w:rsidR="00AE0AAE" w:rsidRPr="00AE0AAE">
              <w:t xml:space="preserve"> </w:t>
            </w:r>
            <w:r w:rsidRPr="00AE0AAE">
              <w:t>effects of treatment, to assess pubertal delay, to assess ovarian failure, to assess the</w:t>
            </w:r>
            <w:r w:rsidR="00AE0AAE">
              <w:t xml:space="preserve"> </w:t>
            </w:r>
            <w:r w:rsidRPr="00AE0AAE">
              <w:t>need for fertility preservation following treatment and to assess the need for assisted</w:t>
            </w:r>
            <w:r w:rsidR="00AE0AAE">
              <w:t xml:space="preserve"> </w:t>
            </w:r>
            <w:r w:rsidRPr="00545629">
              <w:t>reproductive treatment for family planning.</w:t>
            </w:r>
          </w:p>
        </w:tc>
      </w:tr>
    </w:tbl>
    <w:p w14:paraId="490913E5" w14:textId="3196F5CD" w:rsidR="001C0D2D" w:rsidRDefault="0061228B" w:rsidP="0061228B">
      <w:pPr>
        <w:pStyle w:val="Heading2"/>
        <w:numPr>
          <w:ilvl w:val="0"/>
          <w:numId w:val="8"/>
        </w:numPr>
      </w:pPr>
      <w:bookmarkStart w:id="107" w:name="_Toc502832899"/>
      <w:bookmarkStart w:id="108" w:name="_Toc379118076"/>
      <w:bookmarkStart w:id="109" w:name="_Toc381796455"/>
      <w:bookmarkStart w:id="110" w:name="_Toc379118072"/>
      <w:bookmarkStart w:id="111" w:name="_Toc355274709"/>
      <w:bookmarkEnd w:id="100"/>
      <w:bookmarkEnd w:id="101"/>
      <w:bookmarkEnd w:id="102"/>
      <w:r>
        <w:t>Proposed population</w:t>
      </w:r>
      <w:bookmarkEnd w:id="107"/>
    </w:p>
    <w:p w14:paraId="7DDD74E8" w14:textId="77777777" w:rsidR="00067442" w:rsidRPr="00CF0261" w:rsidRDefault="00067442" w:rsidP="00067442">
      <w:pPr>
        <w:pStyle w:val="Heading3"/>
      </w:pPr>
      <w:bookmarkStart w:id="112" w:name="_Toc491975929"/>
      <w:bookmarkStart w:id="113" w:name="_Toc502832900"/>
      <w:r>
        <w:t>Patients prior to, or after completion of gonadotoxic treatment</w:t>
      </w:r>
      <w:bookmarkEnd w:id="112"/>
      <w:bookmarkEnd w:id="113"/>
    </w:p>
    <w:p w14:paraId="3C3E4A3D" w14:textId="435DE91B" w:rsidR="007518CF" w:rsidRDefault="00AA34D0" w:rsidP="00506096">
      <w:pPr>
        <w:jc w:val="both"/>
      </w:pPr>
      <w:r>
        <w:t xml:space="preserve">The proposed population </w:t>
      </w:r>
      <w:r w:rsidR="00BE786A">
        <w:t>includes</w:t>
      </w:r>
      <w:r>
        <w:t xml:space="preserve"> female patients</w:t>
      </w:r>
      <w:r w:rsidR="00067442">
        <w:t xml:space="preserve"> of reproductive age</w:t>
      </w:r>
      <w:r>
        <w:t xml:space="preserve"> </w:t>
      </w:r>
      <w:r w:rsidR="00067442">
        <w:t xml:space="preserve">who will be having, or have had, </w:t>
      </w:r>
      <w:r>
        <w:t>gonadotoxic treatment.</w:t>
      </w:r>
      <w:r w:rsidR="00D720D4">
        <w:t xml:space="preserve"> Gonadotoxic treatment includes any treatment which is associated with a risk of ovarian damage or sterility. </w:t>
      </w:r>
      <w:r>
        <w:t xml:space="preserve">This includes </w:t>
      </w:r>
      <w:r w:rsidR="00067442">
        <w:t>treatment for</w:t>
      </w:r>
      <w:r>
        <w:t xml:space="preserve"> malignancy</w:t>
      </w:r>
      <w:r w:rsidR="00506096">
        <w:t xml:space="preserve"> (i.e. chemotherapy, irradiation)</w:t>
      </w:r>
      <w:r>
        <w:t xml:space="preserve">, </w:t>
      </w:r>
      <w:r w:rsidR="00BE786A">
        <w:t>and treatment</w:t>
      </w:r>
      <w:r>
        <w:t xml:space="preserve"> </w:t>
      </w:r>
      <w:r w:rsidR="00067442">
        <w:t xml:space="preserve">for </w:t>
      </w:r>
      <w:r>
        <w:t>precancerous or benign conditions</w:t>
      </w:r>
      <w:r w:rsidR="00506096">
        <w:t xml:space="preserve"> (pelvic surgery)</w:t>
      </w:r>
      <w:r w:rsidR="007F4459">
        <w:t xml:space="preserve">. </w:t>
      </w:r>
      <w:r w:rsidR="00506096">
        <w:t>Ovarian function is key for induction of puberty, for fertility and for timing of menopause.</w:t>
      </w:r>
    </w:p>
    <w:p w14:paraId="35A9AF6E" w14:textId="5A8F084D" w:rsidR="00067442" w:rsidRDefault="00067442" w:rsidP="00BE57B1">
      <w:r>
        <w:t>Examples of malignant disorders in women of reproductive age include:</w:t>
      </w:r>
    </w:p>
    <w:p w14:paraId="76FE0075" w14:textId="54BA4985" w:rsidR="00067442" w:rsidRDefault="00120886" w:rsidP="00D366DE">
      <w:pPr>
        <w:pStyle w:val="ListParagraph"/>
        <w:numPr>
          <w:ilvl w:val="0"/>
          <w:numId w:val="23"/>
        </w:numPr>
        <w:ind w:left="714" w:hanging="357"/>
        <w:contextualSpacing/>
      </w:pPr>
      <w:r>
        <w:t>b</w:t>
      </w:r>
      <w:r w:rsidR="00067442">
        <w:t>reast cancer</w:t>
      </w:r>
    </w:p>
    <w:p w14:paraId="663C650F" w14:textId="5B40AD44" w:rsidR="00067442" w:rsidRDefault="00120886" w:rsidP="00D366DE">
      <w:pPr>
        <w:pStyle w:val="ListParagraph"/>
        <w:numPr>
          <w:ilvl w:val="0"/>
          <w:numId w:val="23"/>
        </w:numPr>
        <w:ind w:left="714" w:hanging="357"/>
        <w:contextualSpacing/>
      </w:pPr>
      <w:r>
        <w:t>h</w:t>
      </w:r>
      <w:r w:rsidR="00067442">
        <w:t>aematological malignancies (e.g. Hodgkin’s and non-Hodgkin’s lymphoma, leukaemia)</w:t>
      </w:r>
    </w:p>
    <w:p w14:paraId="4F83CCB3" w14:textId="5B00A92D" w:rsidR="00067442" w:rsidRDefault="00120886" w:rsidP="00D366DE">
      <w:pPr>
        <w:pStyle w:val="ListParagraph"/>
        <w:numPr>
          <w:ilvl w:val="0"/>
          <w:numId w:val="23"/>
        </w:numPr>
        <w:ind w:left="714" w:hanging="357"/>
        <w:contextualSpacing/>
      </w:pPr>
      <w:r>
        <w:t>o</w:t>
      </w:r>
      <w:r w:rsidR="00067442">
        <w:t>varian cancer</w:t>
      </w:r>
    </w:p>
    <w:p w14:paraId="0E27D10D" w14:textId="65AC36D3" w:rsidR="005B55AE" w:rsidRDefault="00120886" w:rsidP="00D366DE">
      <w:pPr>
        <w:pStyle w:val="ListParagraph"/>
        <w:numPr>
          <w:ilvl w:val="0"/>
          <w:numId w:val="23"/>
        </w:numPr>
        <w:ind w:left="714" w:hanging="357"/>
        <w:contextualSpacing/>
      </w:pPr>
      <w:r>
        <w:t>c</w:t>
      </w:r>
      <w:r w:rsidR="005B55AE">
        <w:t>ervical cancer</w:t>
      </w:r>
    </w:p>
    <w:p w14:paraId="70F134F2" w14:textId="5698D24E" w:rsidR="00B45ECF" w:rsidRDefault="00B45ECF" w:rsidP="00B45ECF">
      <w:pPr>
        <w:contextualSpacing/>
      </w:pPr>
      <w:r>
        <w:t>Examples of non-malignant disorders in women of reproductive age (requiring gonadotoxic treatment) include:</w:t>
      </w:r>
    </w:p>
    <w:p w14:paraId="5852FCBC" w14:textId="5A5EC113" w:rsidR="00B45ECF" w:rsidRDefault="00120886" w:rsidP="00D366DE">
      <w:pPr>
        <w:pStyle w:val="ListParagraph"/>
        <w:numPr>
          <w:ilvl w:val="0"/>
          <w:numId w:val="24"/>
        </w:numPr>
        <w:contextualSpacing/>
      </w:pPr>
      <w:r>
        <w:t>e</w:t>
      </w:r>
      <w:r w:rsidR="00B45ECF">
        <w:t>ndometriosis</w:t>
      </w:r>
    </w:p>
    <w:p w14:paraId="2EF8852F" w14:textId="30D747E6" w:rsidR="00B45ECF" w:rsidRDefault="00120886" w:rsidP="00D366DE">
      <w:pPr>
        <w:pStyle w:val="ListParagraph"/>
        <w:numPr>
          <w:ilvl w:val="0"/>
          <w:numId w:val="24"/>
        </w:numPr>
        <w:contextualSpacing/>
      </w:pPr>
      <w:r>
        <w:t>o</w:t>
      </w:r>
      <w:r w:rsidR="00B45ECF">
        <w:t>varian cysts</w:t>
      </w:r>
    </w:p>
    <w:p w14:paraId="06BF5F31" w14:textId="3EBF1D0C" w:rsidR="00B45ECF" w:rsidRDefault="00120886" w:rsidP="00D366DE">
      <w:pPr>
        <w:pStyle w:val="ListParagraph"/>
        <w:numPr>
          <w:ilvl w:val="0"/>
          <w:numId w:val="24"/>
        </w:numPr>
        <w:contextualSpacing/>
      </w:pPr>
      <w:r>
        <w:t>a</w:t>
      </w:r>
      <w:r w:rsidR="00B45ECF">
        <w:t>uto-immune diseases (e.g. systemic lupus erythematosus, rheumatoid arthritis)</w:t>
      </w:r>
    </w:p>
    <w:p w14:paraId="5302A62C" w14:textId="0A2DAC32" w:rsidR="001D4680" w:rsidRDefault="006D3A53" w:rsidP="009445C1">
      <w:pPr>
        <w:jc w:val="both"/>
      </w:pPr>
      <w:r>
        <w:t xml:space="preserve">The nature of the treatment often determines the degree of damage to the ovaries, and it is often difficult to give an accurate fertility prognosis before the start of the treatment </w:t>
      </w:r>
      <w:r w:rsidR="00A109BA">
        <w:fldChar w:fldCharType="begin"/>
      </w:r>
      <w:r w:rsidR="00577E24">
        <w:instrText xml:space="preserve"> ADDIN EN.CITE &lt;EndNote&gt;&lt;Cite&gt;&lt;Author&gt;Anderson&lt;/Author&gt;&lt;Year&gt;2013&lt;/Year&gt;&lt;RecNum&gt;31&lt;/RecNum&gt;&lt;IDText&gt;1469-75&lt;/IDText&gt;&lt;DisplayText&gt;(Anderson &amp;amp; Wallace 2013)&lt;/DisplayText&gt;&lt;record&gt;&lt;rec-number&gt;31&lt;/rec-number&gt;&lt;foreign-keys&gt;&lt;key app="EN" db-id="s2dftfxw1fvsr1efx58vfvxtvfwzxea0td02" timestamp="1511748063"&gt;31&lt;/key&gt;&lt;/foreign-keys&gt;&lt;ref-type name="Journal Article"&gt;17&lt;/ref-type&gt;&lt;contributors&gt;&lt;authors&gt;&lt;author&gt;Anderson, R. A.&lt;/author&gt;&lt;author&gt;Wallace, W. H.&lt;/author&gt;&lt;/authors&gt;&lt;/contributors&gt;&lt;auth-address&gt;Medical Research Council Centre for Reproductive Health, University of Edinburgh, Edinburgh, United Kingdom. richard.anderson@ed.ac.uk&lt;/auth-address&gt;&lt;titles&gt;&lt;title&gt;Antimullerian hormone, the assessment of the ovarian reserve, and the reproductive outcome of the young patient with cancer&lt;/title&gt;&lt;secondary-title&gt;Fertil Steril&lt;/secondary-title&gt;&lt;/titles&gt;&lt;periodical&gt;&lt;full-title&gt;Fertil Steril&lt;/full-title&gt;&lt;/periodical&gt;&lt;pages&gt;1469-75&lt;/pages&gt;&lt;volume&gt;99&lt;/volume&gt;&lt;number&gt;6&lt;/number&gt;&lt;keywords&gt;&lt;keyword&gt;Age Factors&lt;/keyword&gt;&lt;keyword&gt;Anti-Mullerian Hormone/blood/*physiology&lt;/keyword&gt;&lt;keyword&gt;Biomarkers/blood&lt;/keyword&gt;&lt;keyword&gt;Female&lt;/keyword&gt;&lt;keyword&gt;Humans&lt;/keyword&gt;&lt;keyword&gt;Infertility, Female/*blood/epidemiology/physiopathology&lt;/keyword&gt;&lt;keyword&gt;Neoplasms/*blood/epidemiology/physiopathology&lt;/keyword&gt;&lt;keyword&gt;Ovary/blood supply/*metabolism/physiopathology&lt;/keyword&gt;&lt;keyword&gt;Pregnancy&lt;/keyword&gt;&lt;keyword&gt;Reproduction/*physiology&lt;/keyword&gt;&lt;/keywords&gt;&lt;dates&gt;&lt;year&gt;2013&lt;/year&gt;&lt;pub-dates&gt;&lt;date&gt;May&lt;/date&gt;&lt;/pub-dates&gt;&lt;/dates&gt;&lt;isbn&gt;1556-5653 (Electronic)&amp;#xD;0015-0282 (Linking)&lt;/isbn&gt;&lt;accession-num&gt;23541317&lt;/accession-num&gt;&lt;urls&gt;&lt;related-urls&gt;&lt;url&gt;http://www.ncbi.nlm.nih.gov/pubmed/23541317&lt;/url&gt;&lt;/related-urls&gt;&lt;/urls&gt;&lt;electronic-resource-num&gt;10.1016/j.fertnstert.2013.03.014&lt;/electronic-resource-num&gt;&lt;/record&gt;&lt;/Cite&gt;&lt;/EndNote&gt;</w:instrText>
      </w:r>
      <w:r w:rsidR="00A109BA">
        <w:fldChar w:fldCharType="separate"/>
      </w:r>
      <w:r w:rsidR="00A109BA">
        <w:rPr>
          <w:noProof/>
        </w:rPr>
        <w:t>(</w:t>
      </w:r>
      <w:hyperlink w:anchor="_ENREF_8" w:tooltip="Anderson, 2013 #31" w:history="1">
        <w:r w:rsidR="00835BA6">
          <w:rPr>
            <w:noProof/>
          </w:rPr>
          <w:t>Anderson &amp; Wallace 2013</w:t>
        </w:r>
      </w:hyperlink>
      <w:r w:rsidR="00A109BA">
        <w:rPr>
          <w:noProof/>
        </w:rPr>
        <w:t>)</w:t>
      </w:r>
      <w:r w:rsidR="00A109BA">
        <w:fldChar w:fldCharType="end"/>
      </w:r>
      <w:r>
        <w:t>.</w:t>
      </w:r>
      <w:r w:rsidR="005B55AE">
        <w:t xml:space="preserve"> </w:t>
      </w:r>
      <w:r w:rsidR="005B55AE" w:rsidRPr="001D4680">
        <w:t xml:space="preserve">The gonadotoxicity of combination chemotherapy </w:t>
      </w:r>
      <w:r w:rsidR="005B55AE" w:rsidRPr="005B55AE">
        <w:t xml:space="preserve">treatments varies according to the specific agents used, their cumulative doses, the protocol used, and the reproductive potential of the patient </w:t>
      </w:r>
      <w:r w:rsidR="005B55AE" w:rsidRPr="005B55AE">
        <w:lastRenderedPageBreak/>
        <w:t>at the time of treatmen</w:t>
      </w:r>
      <w:r w:rsidR="001D4680" w:rsidRPr="001D4680">
        <w:t>t</w:t>
      </w:r>
      <w:r w:rsidR="001D4680">
        <w:t xml:space="preserve">. </w:t>
      </w:r>
      <w:r w:rsidR="005B55AE">
        <w:t>High-dose alkylating agents and ionising radiation have well-recognised gonadotoxicity, which leads to infertility in a high proportion of patients</w:t>
      </w:r>
      <w:r w:rsidR="00BE3B9A">
        <w:t xml:space="preserve"> </w:t>
      </w:r>
      <w:r w:rsidR="00A109BA">
        <w:fldChar w:fldCharType="begin"/>
      </w:r>
      <w:r w:rsidR="00577E24">
        <w:instrText xml:space="preserve"> ADDIN EN.CITE &lt;EndNote&gt;&lt;Cite&gt;&lt;Author&gt;Roberts&lt;/Author&gt;&lt;Year&gt;2015&lt;/Year&gt;&lt;RecNum&gt;293&lt;/RecNum&gt;&lt;IDText&gt;e294-304&lt;/IDText&gt;&lt;DisplayText&gt;(Roberts et al. 2015)&lt;/DisplayText&gt;&lt;record&gt;&lt;rec-number&gt;293&lt;/rec-number&gt;&lt;foreign-keys&gt;&lt;key app="EN" db-id="s2dftfxw1fvsr1efx58vfvxtvfwzxea0td02" timestamp="1511748092"&gt;293&lt;/key&gt;&lt;/foreign-keys&gt;&lt;ref-type name="Journal Article"&gt;17&lt;/ref-type&gt;&lt;contributors&gt;&lt;authors&gt;&lt;author&gt;Roberts, J.&lt;/author&gt;&lt;author&gt;Ronn, R.&lt;/author&gt;&lt;author&gt;Tallon, N.&lt;/author&gt;&lt;author&gt;Holzer, H.&lt;/author&gt;&lt;/authors&gt;&lt;/contributors&gt;&lt;auth-address&gt;Pacific Centre for Reproductive Medicine, Burnaby, BC;&amp;#xD;Department of Obstetrics and Gynecology, Queen&amp;apos;s University, Kingston, ON;&amp;#xD;McGill University Health Centre, Reproductive Centre, and Department of Obstetrics and Gynecology, McGill University, Montreal, QC.&lt;/auth-address&gt;&lt;titles&gt;&lt;title&gt;Fertility preservation in reproductive-age women facing gonadotoxic treatments&lt;/title&gt;&lt;secondary-title&gt;Curr Oncol&lt;/secondary-title&gt;&lt;/titles&gt;&lt;periodical&gt;&lt;full-title&gt;Curr Oncol&lt;/full-title&gt;&lt;/periodical&gt;&lt;pages&gt;e294-304&lt;/pages&gt;&lt;volume&gt;22&lt;/volume&gt;&lt;number&gt;4&lt;/number&gt;&lt;keywords&gt;&lt;keyword&gt;Oncofertility&lt;/keyword&gt;&lt;keyword&gt;adolescents&lt;/keyword&gt;&lt;keyword&gt;cryopreservation&lt;/keyword&gt;&lt;keyword&gt;fertility preservation&lt;/keyword&gt;&lt;keyword&gt;gonadotoxicity&lt;/keyword&gt;&lt;keyword&gt;young adults&lt;/keyword&gt;&lt;/keywords&gt;&lt;dates&gt;&lt;year&gt;2015&lt;/year&gt;&lt;pub-dates&gt;&lt;date&gt;Aug&lt;/date&gt;&lt;/pub-dates&gt;&lt;/dates&gt;&lt;isbn&gt;1198-0052 (Print)&amp;#xD;1198-0052 (Linking)&lt;/isbn&gt;&lt;accession-num&gt;26300680&lt;/accession-num&gt;&lt;urls&gt;&lt;related-urls&gt;&lt;url&gt;http://www.ncbi.nlm.nih.gov/pubmed/26300680&lt;/url&gt;&lt;/related-urls&gt;&lt;/urls&gt;&lt;custom2&gt;4530827&lt;/custom2&gt;&lt;electronic-resource-num&gt;10.3747/co.22.2334&lt;/electronic-resource-num&gt;&lt;/record&gt;&lt;/Cite&gt;&lt;/EndNote&gt;</w:instrText>
      </w:r>
      <w:r w:rsidR="00A109BA">
        <w:fldChar w:fldCharType="separate"/>
      </w:r>
      <w:r w:rsidR="00A109BA">
        <w:rPr>
          <w:noProof/>
        </w:rPr>
        <w:t>(</w:t>
      </w:r>
      <w:hyperlink w:anchor="_ENREF_58" w:tooltip="Roberts, 2015 #293" w:history="1">
        <w:r w:rsidR="00835BA6">
          <w:rPr>
            <w:noProof/>
          </w:rPr>
          <w:t>Roberts et al. 2015</w:t>
        </w:r>
      </w:hyperlink>
      <w:r w:rsidR="00A109BA">
        <w:rPr>
          <w:noProof/>
        </w:rPr>
        <w:t>)</w:t>
      </w:r>
      <w:r w:rsidR="00A109BA">
        <w:fldChar w:fldCharType="end"/>
      </w:r>
      <w:r w:rsidR="005B55AE">
        <w:t xml:space="preserve">. </w:t>
      </w:r>
      <w:r w:rsidR="001D4680">
        <w:t>Quantifying the gonadotoxic effects of each chemotherap</w:t>
      </w:r>
      <w:r w:rsidR="00120886">
        <w:t>y</w:t>
      </w:r>
      <w:r w:rsidR="001D4680">
        <w:t xml:space="preserve"> regimen is difficult and poorly studied to date. </w:t>
      </w:r>
      <w:r w:rsidR="00120886">
        <w:t xml:space="preserve">The impact of these treatments, such as </w:t>
      </w:r>
      <w:r w:rsidR="001D4680">
        <w:t xml:space="preserve">ovarian failure, </w:t>
      </w:r>
      <w:r w:rsidR="00120886">
        <w:t xml:space="preserve">infertility and </w:t>
      </w:r>
      <w:r w:rsidR="001D4680">
        <w:t>early</w:t>
      </w:r>
      <w:r w:rsidR="00120886">
        <w:t xml:space="preserve"> menopause, increases</w:t>
      </w:r>
      <w:r w:rsidR="00C23CFB">
        <w:t xml:space="preserve"> with age.</w:t>
      </w:r>
      <w:r w:rsidR="001D4680">
        <w:t xml:space="preserve"> </w:t>
      </w:r>
      <w:r w:rsidR="00780EDF">
        <w:t xml:space="preserve">The </w:t>
      </w:r>
      <w:r w:rsidR="00776418">
        <w:t>American Society of Clinical Oncology (</w:t>
      </w:r>
      <w:r w:rsidR="00780EDF">
        <w:t>ASCO</w:t>
      </w:r>
      <w:r w:rsidR="00776418">
        <w:t>)</w:t>
      </w:r>
      <w:r w:rsidR="00780EDF">
        <w:t xml:space="preserve"> guidelines </w:t>
      </w:r>
      <w:r w:rsidR="00120886">
        <w:t xml:space="preserve">have </w:t>
      </w:r>
      <w:r w:rsidR="00780EDF">
        <w:t>estimated the risk of amenorrhea in women treated with chemotherapy and radiotherapy (</w:t>
      </w:r>
      <w:r w:rsidR="00780EDF" w:rsidRPr="007C3449">
        <w:fldChar w:fldCharType="begin"/>
      </w:r>
      <w:r w:rsidR="00780EDF" w:rsidRPr="007C3449">
        <w:instrText xml:space="preserve"> REF _Ref497382166 \h </w:instrText>
      </w:r>
      <w:r w:rsidR="007C3449">
        <w:instrText xml:space="preserve"> \* MERGEFORMAT </w:instrText>
      </w:r>
      <w:r w:rsidR="00780EDF" w:rsidRPr="007C3449">
        <w:fldChar w:fldCharType="separate"/>
      </w:r>
      <w:r w:rsidR="00AC4BE5" w:rsidRPr="007C3449">
        <w:t xml:space="preserve">Table </w:t>
      </w:r>
      <w:r w:rsidR="00AC4BE5">
        <w:rPr>
          <w:noProof/>
        </w:rPr>
        <w:t>7</w:t>
      </w:r>
      <w:r w:rsidR="00780EDF" w:rsidRPr="007C3449">
        <w:fldChar w:fldCharType="end"/>
      </w:r>
      <w:r w:rsidR="00780EDF" w:rsidRPr="007C3449">
        <w:t>)</w:t>
      </w:r>
      <w:r w:rsidR="00780EDF">
        <w:t xml:space="preserve"> </w:t>
      </w:r>
      <w:r w:rsidR="00A109BA">
        <w:fldChar w:fldCharType="begin">
          <w:fldData xml:space="preserve">PEVuZE5vdGU+PENpdGU+PEF1dGhvcj5Mb3JlbjwvQXV0aG9yPjxZZWFyPjIwMTM8L1llYXI+PFJl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</w:fldData>
        </w:fldChar>
      </w:r>
      <w:r w:rsidR="00577E24">
        <w:instrText xml:space="preserve"> ADDIN EN.CITE </w:instrText>
      </w:r>
      <w:r w:rsidR="00577E24">
        <w:fldChar w:fldCharType="begin">
          <w:fldData xml:space="preserve">PEVuZE5vdGU+PENpdGU+PEF1dGhvcj5Mb3JlbjwvQXV0aG9yPjxZZWFyPjIwMTM8L1llYXI+PFJl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</w:fldData>
        </w:fldChar>
      </w:r>
      <w:r w:rsidR="00577E24">
        <w:instrText xml:space="preserve"> ADDIN EN.CITE.DATA </w:instrText>
      </w:r>
      <w:r w:rsidR="00577E24">
        <w:fldChar w:fldCharType="end"/>
      </w:r>
      <w:r w:rsidR="00A109BA">
        <w:fldChar w:fldCharType="separate"/>
      </w:r>
      <w:r w:rsidR="00A109BA">
        <w:rPr>
          <w:noProof/>
        </w:rPr>
        <w:t>(</w:t>
      </w:r>
      <w:hyperlink w:anchor="_ENREF_39" w:tooltip="Loren, 2013 #236" w:history="1">
        <w:r w:rsidR="00835BA6">
          <w:rPr>
            <w:noProof/>
          </w:rPr>
          <w:t>Loren et al. 2013</w:t>
        </w:r>
      </w:hyperlink>
      <w:r w:rsidR="00A109BA">
        <w:rPr>
          <w:noProof/>
        </w:rPr>
        <w:t>)</w:t>
      </w:r>
      <w:r w:rsidR="00A109BA">
        <w:fldChar w:fldCharType="end"/>
      </w:r>
      <w:r w:rsidR="00780EDF">
        <w:t>.</w:t>
      </w:r>
    </w:p>
    <w:p w14:paraId="07AC64D2" w14:textId="4255E4C0" w:rsidR="00193212" w:rsidRDefault="00193212" w:rsidP="007C3449">
      <w:pPr>
        <w:pStyle w:val="Caption"/>
        <w:keepNext/>
        <w:ind w:left="1134" w:hanging="1134"/>
      </w:pPr>
      <w:bookmarkStart w:id="114" w:name="_Ref497382166"/>
      <w:bookmarkStart w:id="115" w:name="_Toc502833025"/>
      <w:r w:rsidRPr="007C3449">
        <w:t xml:space="preserve">Table </w:t>
      </w:r>
      <w:r w:rsidR="00AC4BE5">
        <w:fldChar w:fldCharType="begin"/>
      </w:r>
      <w:r w:rsidR="00AC4BE5">
        <w:instrText xml:space="preserve"> SEQ Table \* ARABIC </w:instrText>
      </w:r>
      <w:r w:rsidR="00AC4BE5">
        <w:fldChar w:fldCharType="separate"/>
      </w:r>
      <w:r w:rsidR="00AC4BE5">
        <w:rPr>
          <w:noProof/>
        </w:rPr>
        <w:t>7</w:t>
      </w:r>
      <w:r w:rsidR="00AC4BE5">
        <w:rPr>
          <w:noProof/>
        </w:rPr>
        <w:fldChar w:fldCharType="end"/>
      </w:r>
      <w:bookmarkEnd w:id="114"/>
      <w:r w:rsidR="007C3449" w:rsidRPr="007C3449">
        <w:tab/>
      </w:r>
      <w:r w:rsidR="007C3449" w:rsidRPr="007C3449">
        <w:tab/>
      </w:r>
      <w:r w:rsidRPr="007C3449">
        <w:t>Risk of amenorrhea</w:t>
      </w:r>
      <w:r>
        <w:t xml:space="preserve"> in women treated with chemotherapy an</w:t>
      </w:r>
      <w:r w:rsidR="007C3449">
        <w:t>d radiotherapy, a</w:t>
      </w:r>
      <w:r>
        <w:t>dapted from Loren</w:t>
      </w:r>
      <w:r w:rsidR="007C3449">
        <w:t> </w:t>
      </w:r>
      <w:r>
        <w:t>et</w:t>
      </w:r>
      <w:r w:rsidR="007C3449">
        <w:t> </w:t>
      </w:r>
      <w:r>
        <w:t>al.</w:t>
      </w:r>
      <w:r w:rsidR="007C3449">
        <w:t> 2013</w:t>
      </w:r>
      <w:r>
        <w:t xml:space="preserve"> </w:t>
      </w:r>
      <w:r w:rsidR="007C3449">
        <w:t>(</w:t>
      </w:r>
      <w:r>
        <w:t>ASCO guidelines</w:t>
      </w:r>
      <w:r w:rsidR="007C3449">
        <w:t>)</w:t>
      </w:r>
      <w:bookmarkEnd w:id="115"/>
    </w:p>
    <w:tbl>
      <w:tblPr>
        <w:tblStyle w:val="TableGrid"/>
        <w:tblW w:w="0" w:type="auto"/>
        <w:tblLook w:val="04A0" w:firstRow="1" w:lastRow="0" w:firstColumn="1" w:lastColumn="0" w:noHBand="0" w:noVBand="1"/>
        <w:tblCaption w:val="Risk of amenorrhea in women treated with chemotherapy and radiotherapy (Adapted from Loren et al. 2013. ASCO guidelines)"/>
        <w:tblDescription w:val="Risk of amenorrhea in women treated with chemotherapy and radiotherapy (Adapted from Loren et al. 2013. ASCO guidelines)"/>
      </w:tblPr>
      <w:tblGrid>
        <w:gridCol w:w="1848"/>
        <w:gridCol w:w="2341"/>
        <w:gridCol w:w="1985"/>
        <w:gridCol w:w="2835"/>
      </w:tblGrid>
      <w:tr w:rsidR="00C156A5" w14:paraId="3515C9CD" w14:textId="77777777" w:rsidTr="000740A9">
        <w:trPr>
          <w:tblHeader/>
        </w:trPr>
        <w:tc>
          <w:tcPr>
            <w:tcW w:w="1848" w:type="dxa"/>
            <w:tcBorders>
              <w:bottom w:val="single" w:sz="4" w:space="0" w:color="auto"/>
            </w:tcBorders>
          </w:tcPr>
          <w:p w14:paraId="4BE21A42" w14:textId="56E0D069" w:rsidR="00C156A5" w:rsidRDefault="00C156A5" w:rsidP="000740A9">
            <w:pPr>
              <w:pStyle w:val="Caption"/>
              <w:ind w:left="0"/>
            </w:pPr>
            <w:r>
              <w:t>Degree of risk</w:t>
            </w:r>
          </w:p>
        </w:tc>
        <w:tc>
          <w:tcPr>
            <w:tcW w:w="2341" w:type="dxa"/>
            <w:tcBorders>
              <w:bottom w:val="single" w:sz="4" w:space="0" w:color="auto"/>
            </w:tcBorders>
          </w:tcPr>
          <w:p w14:paraId="3C16446C" w14:textId="089C2C76" w:rsidR="00C156A5" w:rsidRDefault="00C156A5" w:rsidP="000740A9">
            <w:pPr>
              <w:pStyle w:val="Caption"/>
              <w:ind w:left="0"/>
            </w:pPr>
            <w:r>
              <w:t>Treatment protocol</w:t>
            </w:r>
          </w:p>
        </w:tc>
        <w:tc>
          <w:tcPr>
            <w:tcW w:w="1985" w:type="dxa"/>
            <w:tcBorders>
              <w:bottom w:val="single" w:sz="4" w:space="0" w:color="auto"/>
            </w:tcBorders>
          </w:tcPr>
          <w:p w14:paraId="3D4BB309" w14:textId="6A6261B6" w:rsidR="00C156A5" w:rsidRDefault="00C156A5" w:rsidP="000740A9">
            <w:pPr>
              <w:pStyle w:val="Caption"/>
              <w:ind w:left="0"/>
            </w:pPr>
            <w:r>
              <w:t>Patient and dose factors</w:t>
            </w:r>
          </w:p>
        </w:tc>
        <w:tc>
          <w:tcPr>
            <w:tcW w:w="2835" w:type="dxa"/>
            <w:tcBorders>
              <w:bottom w:val="single" w:sz="4" w:space="0" w:color="auto"/>
            </w:tcBorders>
          </w:tcPr>
          <w:p w14:paraId="1C2024E8" w14:textId="5B4B81D2" w:rsidR="00C156A5" w:rsidRDefault="00C156A5" w:rsidP="000740A9">
            <w:pPr>
              <w:pStyle w:val="Caption"/>
              <w:ind w:left="0"/>
            </w:pPr>
            <w:r>
              <w:t>Common uses</w:t>
            </w:r>
          </w:p>
        </w:tc>
      </w:tr>
      <w:tr w:rsidR="00C156A5" w:rsidRPr="00C156A5" w14:paraId="129566F9" w14:textId="77777777" w:rsidTr="000740A9">
        <w:trPr>
          <w:trHeight w:val="1485"/>
        </w:trPr>
        <w:tc>
          <w:tcPr>
            <w:tcW w:w="1848" w:type="dxa"/>
            <w:tcBorders>
              <w:top w:val="single" w:sz="4" w:space="0" w:color="auto"/>
              <w:left w:val="single" w:sz="4" w:space="0" w:color="auto"/>
              <w:bottom w:val="nil"/>
              <w:right w:val="single" w:sz="4" w:space="0" w:color="auto"/>
            </w:tcBorders>
          </w:tcPr>
          <w:p w14:paraId="0B02F686" w14:textId="6FDE9838" w:rsidR="00C156A5" w:rsidRPr="00C156A5" w:rsidRDefault="00C156A5" w:rsidP="000740A9">
            <w:pPr>
              <w:pStyle w:val="Caption"/>
              <w:spacing w:after="0"/>
              <w:ind w:left="0"/>
              <w:rPr>
                <w:b w:val="0"/>
              </w:rPr>
            </w:pPr>
            <w:r>
              <w:rPr>
                <w:b w:val="0"/>
              </w:rPr>
              <w:t>High risk of amenorrhea (&gt;70%)</w:t>
            </w:r>
          </w:p>
        </w:tc>
        <w:tc>
          <w:tcPr>
            <w:tcW w:w="2341" w:type="dxa"/>
            <w:tcBorders>
              <w:top w:val="single" w:sz="4" w:space="0" w:color="auto"/>
              <w:left w:val="single" w:sz="4" w:space="0" w:color="auto"/>
            </w:tcBorders>
          </w:tcPr>
          <w:p w14:paraId="0BB830B9" w14:textId="471574E3" w:rsidR="00C156A5" w:rsidRPr="00C156A5" w:rsidRDefault="006F4D4F" w:rsidP="000740A9">
            <w:pPr>
              <w:spacing w:after="0" w:line="240" w:lineRule="auto"/>
              <w:ind w:left="0"/>
            </w:pPr>
            <w:r w:rsidRPr="006F4D4F">
              <w:rPr>
                <w:rFonts w:ascii="Arial Narrow" w:hAnsi="Arial Narrow"/>
                <w:bCs/>
                <w:sz w:val="20"/>
              </w:rPr>
              <w:t>Any alkylating agent (e.g.,busulfan, carmustine,</w:t>
            </w:r>
            <w:r w:rsidR="00253054">
              <w:rPr>
                <w:rFonts w:ascii="Arial Narrow" w:hAnsi="Arial Narrow"/>
                <w:bCs/>
                <w:sz w:val="20"/>
              </w:rPr>
              <w:t xml:space="preserve"> </w:t>
            </w:r>
            <w:r w:rsidRPr="006F4D4F">
              <w:rPr>
                <w:rFonts w:ascii="Arial Narrow" w:hAnsi="Arial Narrow"/>
                <w:bCs/>
                <w:sz w:val="20"/>
              </w:rPr>
              <w:t>cyclophosphamide, ifosfamide, lomustine, melphalan,</w:t>
            </w:r>
            <w:r w:rsidR="00253054">
              <w:rPr>
                <w:rFonts w:ascii="Arial Narrow" w:hAnsi="Arial Narrow"/>
                <w:bCs/>
                <w:sz w:val="20"/>
              </w:rPr>
              <w:t xml:space="preserve"> </w:t>
            </w:r>
            <w:r w:rsidRPr="00253054">
              <w:rPr>
                <w:rFonts w:ascii="Arial Narrow" w:hAnsi="Arial Narrow"/>
                <w:bCs/>
                <w:sz w:val="20"/>
              </w:rPr>
              <w:t>procarbazine) + total body irradiation</w:t>
            </w:r>
          </w:p>
        </w:tc>
        <w:tc>
          <w:tcPr>
            <w:tcW w:w="1985" w:type="dxa"/>
            <w:tcBorders>
              <w:top w:val="single" w:sz="4" w:space="0" w:color="auto"/>
            </w:tcBorders>
          </w:tcPr>
          <w:p w14:paraId="3431EBF8" w14:textId="0C141F8F" w:rsidR="00C156A5" w:rsidRPr="00C156A5" w:rsidRDefault="008D123B" w:rsidP="000740A9">
            <w:pPr>
              <w:pStyle w:val="Caption"/>
              <w:spacing w:after="0"/>
              <w:ind w:left="0"/>
              <w:rPr>
                <w:b w:val="0"/>
              </w:rPr>
            </w:pPr>
            <w:r>
              <w:rPr>
                <w:b w:val="0"/>
              </w:rPr>
              <w:t>-</w:t>
            </w:r>
          </w:p>
        </w:tc>
        <w:tc>
          <w:tcPr>
            <w:tcW w:w="2835" w:type="dxa"/>
            <w:tcBorders>
              <w:top w:val="single" w:sz="4" w:space="0" w:color="auto"/>
              <w:right w:val="single" w:sz="4" w:space="0" w:color="auto"/>
            </w:tcBorders>
          </w:tcPr>
          <w:p w14:paraId="7A365CDC" w14:textId="195C000C" w:rsidR="00C156A5" w:rsidRPr="00C156A5" w:rsidRDefault="006F4D4F" w:rsidP="000740A9">
            <w:pPr>
              <w:spacing w:after="0" w:line="240" w:lineRule="auto"/>
              <w:ind w:left="0"/>
            </w:pPr>
            <w:r w:rsidRPr="006F4D4F">
              <w:rPr>
                <w:rFonts w:ascii="Arial Narrow" w:hAnsi="Arial Narrow"/>
                <w:bCs/>
                <w:sz w:val="20"/>
              </w:rPr>
              <w:t xml:space="preserve">Conditioning for HSCT for </w:t>
            </w:r>
            <w:r>
              <w:rPr>
                <w:rFonts w:ascii="Arial Narrow" w:hAnsi="Arial Narrow"/>
                <w:bCs/>
                <w:sz w:val="20"/>
              </w:rPr>
              <w:t>leukaemias</w:t>
            </w:r>
            <w:r w:rsidRPr="006F4D4F">
              <w:rPr>
                <w:rFonts w:ascii="Arial Narrow" w:hAnsi="Arial Narrow"/>
                <w:bCs/>
                <w:sz w:val="20"/>
              </w:rPr>
              <w:t>, lymphomas,</w:t>
            </w:r>
            <w:r w:rsidR="00253054">
              <w:rPr>
                <w:rFonts w:ascii="Arial Narrow" w:hAnsi="Arial Narrow"/>
                <w:bCs/>
                <w:sz w:val="20"/>
              </w:rPr>
              <w:t xml:space="preserve"> </w:t>
            </w:r>
            <w:r w:rsidRPr="006F4D4F">
              <w:rPr>
                <w:rFonts w:ascii="Arial Narrow" w:hAnsi="Arial Narrow"/>
                <w:bCs/>
                <w:sz w:val="20"/>
              </w:rPr>
              <w:t>myelomas, Ewing’s sarcoma, neuroblastoma, choriocarcinoma</w:t>
            </w:r>
          </w:p>
        </w:tc>
      </w:tr>
      <w:tr w:rsidR="006F4D4F" w:rsidRPr="00C156A5" w14:paraId="329C3A47" w14:textId="77777777" w:rsidTr="000740A9">
        <w:tc>
          <w:tcPr>
            <w:tcW w:w="1848" w:type="dxa"/>
            <w:tcBorders>
              <w:top w:val="nil"/>
              <w:left w:val="single" w:sz="4" w:space="0" w:color="auto"/>
              <w:bottom w:val="nil"/>
              <w:right w:val="single" w:sz="4" w:space="0" w:color="auto"/>
            </w:tcBorders>
          </w:tcPr>
          <w:p w14:paraId="01A3FE41" w14:textId="77777777" w:rsidR="006F4D4F" w:rsidRDefault="006F4D4F" w:rsidP="000740A9">
            <w:pPr>
              <w:pStyle w:val="Caption"/>
              <w:spacing w:after="0"/>
              <w:ind w:left="0"/>
              <w:rPr>
                <w:b w:val="0"/>
              </w:rPr>
            </w:pPr>
          </w:p>
        </w:tc>
        <w:tc>
          <w:tcPr>
            <w:tcW w:w="2341" w:type="dxa"/>
            <w:tcBorders>
              <w:left w:val="single" w:sz="4" w:space="0" w:color="auto"/>
            </w:tcBorders>
          </w:tcPr>
          <w:p w14:paraId="0B5DB3CC" w14:textId="3FC12CB1" w:rsidR="006F4D4F" w:rsidRPr="006F4D4F" w:rsidRDefault="001068B9" w:rsidP="000740A9">
            <w:pPr>
              <w:spacing w:after="0" w:line="240" w:lineRule="auto"/>
              <w:ind w:left="0"/>
              <w:rPr>
                <w:rFonts w:ascii="Arial Narrow" w:hAnsi="Arial Narrow"/>
                <w:bCs/>
                <w:sz w:val="20"/>
              </w:rPr>
            </w:pPr>
            <w:r w:rsidRPr="001068B9">
              <w:rPr>
                <w:rFonts w:ascii="Arial Narrow" w:hAnsi="Arial Narrow"/>
                <w:bCs/>
                <w:sz w:val="20"/>
              </w:rPr>
              <w:t>Any alkylating agent + pelvic radiation</w:t>
            </w:r>
          </w:p>
        </w:tc>
        <w:tc>
          <w:tcPr>
            <w:tcW w:w="1985" w:type="dxa"/>
          </w:tcPr>
          <w:p w14:paraId="24C744B9" w14:textId="7B0B5A15" w:rsidR="006F4D4F" w:rsidRPr="00C156A5" w:rsidRDefault="008D123B" w:rsidP="000740A9">
            <w:pPr>
              <w:pStyle w:val="Caption"/>
              <w:spacing w:after="0"/>
              <w:ind w:left="0"/>
              <w:rPr>
                <w:b w:val="0"/>
              </w:rPr>
            </w:pPr>
            <w:r>
              <w:rPr>
                <w:b w:val="0"/>
              </w:rPr>
              <w:t>-</w:t>
            </w:r>
          </w:p>
        </w:tc>
        <w:tc>
          <w:tcPr>
            <w:tcW w:w="2835" w:type="dxa"/>
            <w:tcBorders>
              <w:right w:val="single" w:sz="4" w:space="0" w:color="auto"/>
            </w:tcBorders>
          </w:tcPr>
          <w:p w14:paraId="0BA42140" w14:textId="086A8DD5" w:rsidR="006F4D4F" w:rsidRPr="006F4D4F" w:rsidRDefault="001068B9" w:rsidP="000740A9">
            <w:pPr>
              <w:spacing w:after="0" w:line="240" w:lineRule="auto"/>
              <w:ind w:left="0"/>
              <w:rPr>
                <w:rFonts w:ascii="Arial Narrow" w:hAnsi="Arial Narrow"/>
                <w:bCs/>
                <w:sz w:val="20"/>
              </w:rPr>
            </w:pPr>
            <w:r>
              <w:rPr>
                <w:rFonts w:ascii="Arial Narrow" w:hAnsi="Arial Narrow"/>
                <w:bCs/>
                <w:sz w:val="20"/>
              </w:rPr>
              <w:t>Ovarian</w:t>
            </w:r>
            <w:r w:rsidR="00A7727C">
              <w:rPr>
                <w:rFonts w:ascii="Arial Narrow" w:hAnsi="Arial Narrow"/>
                <w:bCs/>
                <w:sz w:val="20"/>
              </w:rPr>
              <w:t xml:space="preserve"> cancer,</w:t>
            </w:r>
            <w:r>
              <w:rPr>
                <w:rFonts w:ascii="Arial Narrow" w:hAnsi="Arial Narrow"/>
                <w:bCs/>
                <w:sz w:val="20"/>
              </w:rPr>
              <w:t xml:space="preserve"> sarcomas</w:t>
            </w:r>
          </w:p>
        </w:tc>
      </w:tr>
      <w:tr w:rsidR="001068B9" w:rsidRPr="00C156A5" w14:paraId="325E09DD" w14:textId="77777777" w:rsidTr="000740A9">
        <w:trPr>
          <w:trHeight w:val="1059"/>
        </w:trPr>
        <w:tc>
          <w:tcPr>
            <w:tcW w:w="1848" w:type="dxa"/>
            <w:tcBorders>
              <w:top w:val="nil"/>
              <w:left w:val="single" w:sz="4" w:space="0" w:color="auto"/>
              <w:bottom w:val="nil"/>
              <w:right w:val="single" w:sz="4" w:space="0" w:color="auto"/>
            </w:tcBorders>
          </w:tcPr>
          <w:p w14:paraId="25CE74C0" w14:textId="55D5FB20" w:rsidR="001068B9" w:rsidRDefault="00BF4090" w:rsidP="000740A9">
            <w:pPr>
              <w:pStyle w:val="Caption"/>
              <w:spacing w:after="0"/>
              <w:ind w:left="0"/>
              <w:rPr>
                <w:b w:val="0"/>
              </w:rPr>
            </w:pPr>
            <w:r>
              <w:rPr>
                <w:b w:val="0"/>
              </w:rPr>
              <w:t>High risk of amenorrhea (&gt;70%)</w:t>
            </w:r>
          </w:p>
        </w:tc>
        <w:tc>
          <w:tcPr>
            <w:tcW w:w="2341" w:type="dxa"/>
            <w:tcBorders>
              <w:left w:val="single" w:sz="4" w:space="0" w:color="auto"/>
            </w:tcBorders>
          </w:tcPr>
          <w:p w14:paraId="7C61BF51" w14:textId="35704428" w:rsidR="001068B9" w:rsidRPr="001068B9" w:rsidRDefault="001068B9" w:rsidP="000740A9">
            <w:pPr>
              <w:spacing w:after="0" w:line="240" w:lineRule="auto"/>
              <w:ind w:left="0"/>
              <w:rPr>
                <w:rFonts w:ascii="Arial Narrow" w:hAnsi="Arial Narrow"/>
                <w:bCs/>
                <w:sz w:val="20"/>
              </w:rPr>
            </w:pPr>
            <w:r w:rsidRPr="001068B9">
              <w:rPr>
                <w:rFonts w:ascii="Arial Narrow" w:hAnsi="Arial Narrow"/>
                <w:bCs/>
                <w:sz w:val="20"/>
              </w:rPr>
              <w:t>Total cyclophosphamide</w:t>
            </w:r>
          </w:p>
        </w:tc>
        <w:tc>
          <w:tcPr>
            <w:tcW w:w="1985" w:type="dxa"/>
          </w:tcPr>
          <w:p w14:paraId="426562D5" w14:textId="1EB7C486" w:rsidR="00C87336" w:rsidRPr="00C87336" w:rsidRDefault="00C87336" w:rsidP="000740A9">
            <w:pPr>
              <w:spacing w:after="0" w:line="240" w:lineRule="auto"/>
              <w:ind w:left="0"/>
              <w:rPr>
                <w:rFonts w:ascii="Arial Narrow" w:hAnsi="Arial Narrow"/>
                <w:bCs/>
                <w:sz w:val="20"/>
              </w:rPr>
            </w:pPr>
            <w:r w:rsidRPr="00C87336">
              <w:rPr>
                <w:rFonts w:ascii="Arial Narrow" w:hAnsi="Arial Narrow"/>
                <w:bCs/>
                <w:sz w:val="20"/>
              </w:rPr>
              <w:t>5 g/m</w:t>
            </w:r>
            <w:r w:rsidRPr="0064098D">
              <w:rPr>
                <w:rFonts w:ascii="Arial Narrow" w:hAnsi="Arial Narrow"/>
                <w:bCs/>
                <w:sz w:val="20"/>
                <w:vertAlign w:val="superscript"/>
              </w:rPr>
              <w:t>2</w:t>
            </w:r>
            <w:r w:rsidRPr="00C87336">
              <w:rPr>
                <w:rFonts w:ascii="Arial Narrow" w:hAnsi="Arial Narrow"/>
                <w:bCs/>
                <w:sz w:val="20"/>
              </w:rPr>
              <w:t xml:space="preserve"> in women age &gt;40</w:t>
            </w:r>
          </w:p>
          <w:p w14:paraId="4CF570E6" w14:textId="3B948C3E" w:rsidR="001068B9" w:rsidRPr="000740A9" w:rsidRDefault="00C87336" w:rsidP="000740A9">
            <w:pPr>
              <w:spacing w:after="0" w:line="240" w:lineRule="auto"/>
              <w:ind w:left="0"/>
              <w:rPr>
                <w:rFonts w:ascii="Arial Narrow" w:hAnsi="Arial Narrow"/>
                <w:bCs/>
                <w:sz w:val="20"/>
              </w:rPr>
            </w:pPr>
            <w:r w:rsidRPr="00C87336">
              <w:rPr>
                <w:rFonts w:ascii="Arial Narrow" w:hAnsi="Arial Narrow"/>
                <w:bCs/>
                <w:sz w:val="20"/>
              </w:rPr>
              <w:t>7.5 g/m</w:t>
            </w:r>
            <w:r w:rsidRPr="0064098D">
              <w:rPr>
                <w:rFonts w:ascii="Arial Narrow" w:hAnsi="Arial Narrow"/>
                <w:bCs/>
                <w:sz w:val="20"/>
                <w:vertAlign w:val="superscript"/>
              </w:rPr>
              <w:t>2</w:t>
            </w:r>
            <w:r w:rsidRPr="00C87336">
              <w:rPr>
                <w:rFonts w:ascii="Arial Narrow" w:hAnsi="Arial Narrow"/>
                <w:bCs/>
                <w:sz w:val="20"/>
              </w:rPr>
              <w:t xml:space="preserve"> in women and</w:t>
            </w:r>
            <w:r w:rsidR="000740A9">
              <w:rPr>
                <w:rFonts w:ascii="Arial Narrow" w:hAnsi="Arial Narrow"/>
                <w:bCs/>
                <w:sz w:val="20"/>
              </w:rPr>
              <w:t xml:space="preserve"> </w:t>
            </w:r>
            <w:r w:rsidRPr="000740A9">
              <w:rPr>
                <w:rFonts w:ascii="Arial Narrow" w:hAnsi="Arial Narrow"/>
                <w:bCs/>
                <w:sz w:val="20"/>
              </w:rPr>
              <w:t>girls age &lt;20</w:t>
            </w:r>
          </w:p>
        </w:tc>
        <w:tc>
          <w:tcPr>
            <w:tcW w:w="2835" w:type="dxa"/>
            <w:tcBorders>
              <w:right w:val="single" w:sz="4" w:space="0" w:color="auto"/>
            </w:tcBorders>
          </w:tcPr>
          <w:p w14:paraId="7EF905BC" w14:textId="21B1B6A1" w:rsidR="001068B9" w:rsidRPr="006F4D4F" w:rsidRDefault="001068B9" w:rsidP="000740A9">
            <w:pPr>
              <w:spacing w:after="0" w:line="240" w:lineRule="auto"/>
              <w:ind w:left="0"/>
              <w:rPr>
                <w:rFonts w:ascii="Arial Narrow" w:hAnsi="Arial Narrow"/>
                <w:bCs/>
                <w:sz w:val="20"/>
              </w:rPr>
            </w:pPr>
            <w:r>
              <w:rPr>
                <w:rFonts w:ascii="Arial Narrow" w:hAnsi="Arial Narrow"/>
                <w:bCs/>
                <w:sz w:val="20"/>
              </w:rPr>
              <w:t xml:space="preserve">Multiple cancers: breast cancer, non-Hodgkin lymphoma, conditioning for </w:t>
            </w:r>
            <w:r w:rsidR="001F21D0">
              <w:rPr>
                <w:rFonts w:ascii="Arial Narrow" w:hAnsi="Arial Narrow"/>
                <w:bCs/>
                <w:sz w:val="20"/>
              </w:rPr>
              <w:t>h</w:t>
            </w:r>
            <w:r w:rsidR="00495159">
              <w:rPr>
                <w:rFonts w:ascii="Arial Narrow" w:hAnsi="Arial Narrow"/>
                <w:bCs/>
                <w:sz w:val="20"/>
              </w:rPr>
              <w:t>aematopoietic</w:t>
            </w:r>
            <w:r w:rsidR="001F21D0">
              <w:rPr>
                <w:rFonts w:ascii="Arial Narrow" w:hAnsi="Arial Narrow"/>
                <w:bCs/>
                <w:sz w:val="20"/>
              </w:rPr>
              <w:t xml:space="preserve"> stem cell transplantation</w:t>
            </w:r>
          </w:p>
        </w:tc>
      </w:tr>
      <w:tr w:rsidR="001068B9" w:rsidRPr="00C156A5" w14:paraId="69EEB8E6" w14:textId="77777777" w:rsidTr="000740A9">
        <w:trPr>
          <w:trHeight w:val="1046"/>
        </w:trPr>
        <w:tc>
          <w:tcPr>
            <w:tcW w:w="1848" w:type="dxa"/>
            <w:tcBorders>
              <w:top w:val="nil"/>
              <w:left w:val="single" w:sz="4" w:space="0" w:color="auto"/>
              <w:bottom w:val="nil"/>
              <w:right w:val="single" w:sz="4" w:space="0" w:color="auto"/>
            </w:tcBorders>
          </w:tcPr>
          <w:p w14:paraId="4EF2399B" w14:textId="77777777" w:rsidR="001068B9" w:rsidRDefault="001068B9" w:rsidP="004932AF">
            <w:pPr>
              <w:pStyle w:val="Caption"/>
              <w:spacing w:after="0"/>
              <w:rPr>
                <w:b w:val="0"/>
              </w:rPr>
            </w:pPr>
          </w:p>
        </w:tc>
        <w:tc>
          <w:tcPr>
            <w:tcW w:w="2341" w:type="dxa"/>
            <w:tcBorders>
              <w:left w:val="single" w:sz="4" w:space="0" w:color="auto"/>
            </w:tcBorders>
          </w:tcPr>
          <w:p w14:paraId="06E9502B" w14:textId="77777777" w:rsidR="001068B9" w:rsidRPr="001068B9" w:rsidRDefault="001068B9" w:rsidP="000740A9">
            <w:pPr>
              <w:spacing w:after="0" w:line="240" w:lineRule="auto"/>
              <w:ind w:left="0"/>
              <w:rPr>
                <w:rFonts w:ascii="Arial Narrow" w:hAnsi="Arial Narrow"/>
                <w:bCs/>
                <w:sz w:val="20"/>
              </w:rPr>
            </w:pPr>
            <w:r w:rsidRPr="001068B9">
              <w:rPr>
                <w:rFonts w:ascii="Arial Narrow" w:hAnsi="Arial Narrow"/>
                <w:bCs/>
                <w:sz w:val="20"/>
              </w:rPr>
              <w:t>Protocols containing procarbazine:</w:t>
            </w:r>
          </w:p>
          <w:p w14:paraId="3FB53C71" w14:textId="77777777" w:rsidR="001068B9" w:rsidRPr="001068B9" w:rsidRDefault="001068B9" w:rsidP="000740A9">
            <w:pPr>
              <w:spacing w:after="0" w:line="240" w:lineRule="auto"/>
              <w:ind w:left="0"/>
              <w:rPr>
                <w:rFonts w:ascii="Arial Narrow" w:hAnsi="Arial Narrow"/>
                <w:bCs/>
                <w:sz w:val="20"/>
              </w:rPr>
            </w:pPr>
            <w:r w:rsidRPr="001068B9">
              <w:rPr>
                <w:rFonts w:ascii="Arial Narrow" w:hAnsi="Arial Narrow"/>
                <w:bCs/>
                <w:sz w:val="20"/>
              </w:rPr>
              <w:t>MOPP</w:t>
            </w:r>
          </w:p>
          <w:p w14:paraId="3D98BD29" w14:textId="26DC8515" w:rsidR="001068B9" w:rsidRPr="001068B9" w:rsidRDefault="001068B9" w:rsidP="000740A9">
            <w:pPr>
              <w:spacing w:after="0" w:line="240" w:lineRule="auto"/>
              <w:ind w:left="0"/>
              <w:rPr>
                <w:rFonts w:ascii="Arial Narrow" w:hAnsi="Arial Narrow"/>
                <w:bCs/>
                <w:sz w:val="20"/>
              </w:rPr>
            </w:pPr>
            <w:r w:rsidRPr="001068B9">
              <w:rPr>
                <w:rFonts w:ascii="Arial Narrow" w:hAnsi="Arial Narrow"/>
                <w:bCs/>
                <w:sz w:val="20"/>
              </w:rPr>
              <w:t>BEACOPP</w:t>
            </w:r>
          </w:p>
        </w:tc>
        <w:tc>
          <w:tcPr>
            <w:tcW w:w="1985" w:type="dxa"/>
          </w:tcPr>
          <w:p w14:paraId="6E43A10B" w14:textId="77777777" w:rsidR="00C87336" w:rsidRDefault="00C87336" w:rsidP="004932AF">
            <w:pPr>
              <w:spacing w:after="0" w:line="240" w:lineRule="auto"/>
              <w:rPr>
                <w:rFonts w:ascii="Arial Narrow" w:hAnsi="Arial Narrow"/>
                <w:bCs/>
                <w:sz w:val="20"/>
              </w:rPr>
            </w:pPr>
          </w:p>
          <w:p w14:paraId="3386223A" w14:textId="77777777" w:rsidR="00C87336" w:rsidRDefault="00C87336" w:rsidP="004932AF">
            <w:pPr>
              <w:spacing w:after="0" w:line="240" w:lineRule="auto"/>
              <w:rPr>
                <w:rFonts w:ascii="Arial Narrow" w:hAnsi="Arial Narrow"/>
                <w:bCs/>
                <w:sz w:val="20"/>
              </w:rPr>
            </w:pPr>
          </w:p>
          <w:p w14:paraId="5A3F094F" w14:textId="2CB19F64" w:rsidR="00C87336" w:rsidRPr="00C87336" w:rsidRDefault="00035EEF" w:rsidP="000740A9">
            <w:pPr>
              <w:spacing w:after="0" w:line="240" w:lineRule="auto"/>
              <w:ind w:left="0"/>
              <w:rPr>
                <w:rFonts w:ascii="Arial Narrow" w:hAnsi="Arial Narrow"/>
                <w:bCs/>
                <w:sz w:val="20"/>
              </w:rPr>
            </w:pPr>
            <w:r>
              <w:rPr>
                <w:rFonts w:ascii="Arial Narrow" w:hAnsi="Arial Narrow"/>
                <w:bCs/>
                <w:sz w:val="20"/>
              </w:rPr>
              <w:t>&gt;</w:t>
            </w:r>
            <w:r w:rsidR="00C87336" w:rsidRPr="00C87336">
              <w:rPr>
                <w:rFonts w:ascii="Arial Narrow" w:hAnsi="Arial Narrow"/>
                <w:bCs/>
                <w:sz w:val="20"/>
              </w:rPr>
              <w:t>3 cycles</w:t>
            </w:r>
          </w:p>
          <w:p w14:paraId="279D9D2C" w14:textId="26C610CE" w:rsidR="001068B9" w:rsidRPr="00C156A5" w:rsidRDefault="00035EEF" w:rsidP="000740A9">
            <w:pPr>
              <w:spacing w:after="0" w:line="240" w:lineRule="auto"/>
              <w:ind w:left="0"/>
              <w:rPr>
                <w:b/>
              </w:rPr>
            </w:pPr>
            <w:r>
              <w:rPr>
                <w:rFonts w:ascii="Arial Narrow" w:hAnsi="Arial Narrow"/>
                <w:bCs/>
                <w:sz w:val="20"/>
              </w:rPr>
              <w:t>&gt;</w:t>
            </w:r>
            <w:r w:rsidR="00C87336" w:rsidRPr="00C87336">
              <w:rPr>
                <w:rFonts w:ascii="Arial Narrow" w:hAnsi="Arial Narrow"/>
                <w:bCs/>
                <w:sz w:val="20"/>
              </w:rPr>
              <w:t>6 cycles</w:t>
            </w:r>
          </w:p>
        </w:tc>
        <w:tc>
          <w:tcPr>
            <w:tcW w:w="2835" w:type="dxa"/>
            <w:tcBorders>
              <w:right w:val="single" w:sz="4" w:space="0" w:color="auto"/>
            </w:tcBorders>
          </w:tcPr>
          <w:p w14:paraId="64A35B34" w14:textId="3F9F9563" w:rsidR="001068B9" w:rsidRPr="006F4D4F" w:rsidRDefault="00C87336" w:rsidP="000740A9">
            <w:pPr>
              <w:spacing w:after="0" w:line="240" w:lineRule="auto"/>
              <w:ind w:left="0"/>
              <w:rPr>
                <w:rFonts w:ascii="Arial Narrow" w:hAnsi="Arial Narrow"/>
                <w:bCs/>
                <w:sz w:val="20"/>
              </w:rPr>
            </w:pPr>
            <w:r>
              <w:rPr>
                <w:rFonts w:ascii="Arial Narrow" w:hAnsi="Arial Narrow"/>
                <w:bCs/>
                <w:sz w:val="20"/>
              </w:rPr>
              <w:t>Hodgkin lymphoma</w:t>
            </w:r>
          </w:p>
        </w:tc>
      </w:tr>
      <w:tr w:rsidR="001068B9" w:rsidRPr="00C156A5" w14:paraId="11773251" w14:textId="77777777" w:rsidTr="000740A9">
        <w:tc>
          <w:tcPr>
            <w:tcW w:w="1848" w:type="dxa"/>
            <w:tcBorders>
              <w:top w:val="nil"/>
              <w:left w:val="single" w:sz="4" w:space="0" w:color="auto"/>
              <w:bottom w:val="nil"/>
              <w:right w:val="single" w:sz="4" w:space="0" w:color="auto"/>
            </w:tcBorders>
          </w:tcPr>
          <w:p w14:paraId="4F27EA40" w14:textId="77777777" w:rsidR="001068B9" w:rsidRDefault="001068B9" w:rsidP="004932AF">
            <w:pPr>
              <w:pStyle w:val="Caption"/>
              <w:spacing w:after="0"/>
              <w:rPr>
                <w:b w:val="0"/>
              </w:rPr>
            </w:pPr>
          </w:p>
        </w:tc>
        <w:tc>
          <w:tcPr>
            <w:tcW w:w="2341" w:type="dxa"/>
            <w:tcBorders>
              <w:left w:val="single" w:sz="4" w:space="0" w:color="auto"/>
            </w:tcBorders>
          </w:tcPr>
          <w:p w14:paraId="495272CA" w14:textId="1245D5BA" w:rsidR="001068B9" w:rsidRPr="001068B9" w:rsidRDefault="001068B9" w:rsidP="000740A9">
            <w:pPr>
              <w:spacing w:after="0" w:line="240" w:lineRule="auto"/>
              <w:ind w:left="0"/>
              <w:rPr>
                <w:rFonts w:ascii="Arial Narrow" w:hAnsi="Arial Narrow"/>
                <w:bCs/>
                <w:sz w:val="20"/>
              </w:rPr>
            </w:pPr>
            <w:r w:rsidRPr="001068B9">
              <w:rPr>
                <w:rFonts w:ascii="Arial Narrow" w:hAnsi="Arial Narrow"/>
                <w:bCs/>
                <w:sz w:val="20"/>
              </w:rPr>
              <w:t>Protocols containing temozolomide or BCNU + cranial radiation</w:t>
            </w:r>
          </w:p>
        </w:tc>
        <w:tc>
          <w:tcPr>
            <w:tcW w:w="1985" w:type="dxa"/>
          </w:tcPr>
          <w:p w14:paraId="7B0A8B8B" w14:textId="075962F6" w:rsidR="001068B9" w:rsidRPr="00C156A5" w:rsidRDefault="00CF2622" w:rsidP="000740A9">
            <w:pPr>
              <w:pStyle w:val="Caption"/>
              <w:spacing w:after="0"/>
              <w:ind w:left="0"/>
              <w:rPr>
                <w:b w:val="0"/>
              </w:rPr>
            </w:pPr>
            <w:r>
              <w:rPr>
                <w:b w:val="0"/>
              </w:rPr>
              <w:t>-</w:t>
            </w:r>
          </w:p>
        </w:tc>
        <w:tc>
          <w:tcPr>
            <w:tcW w:w="2835" w:type="dxa"/>
            <w:tcBorders>
              <w:right w:val="single" w:sz="4" w:space="0" w:color="auto"/>
            </w:tcBorders>
          </w:tcPr>
          <w:p w14:paraId="5E983D5E" w14:textId="46EA47E3" w:rsidR="001068B9" w:rsidRPr="006F4D4F" w:rsidRDefault="00C87336" w:rsidP="000740A9">
            <w:pPr>
              <w:spacing w:after="0" w:line="240" w:lineRule="auto"/>
              <w:ind w:left="0"/>
              <w:rPr>
                <w:rFonts w:ascii="Arial Narrow" w:hAnsi="Arial Narrow"/>
                <w:bCs/>
                <w:sz w:val="20"/>
              </w:rPr>
            </w:pPr>
            <w:r>
              <w:rPr>
                <w:rFonts w:ascii="Arial Narrow" w:hAnsi="Arial Narrow"/>
                <w:bCs/>
                <w:sz w:val="20"/>
              </w:rPr>
              <w:t>Brain tumour</w:t>
            </w:r>
          </w:p>
        </w:tc>
      </w:tr>
      <w:tr w:rsidR="001068B9" w:rsidRPr="00C156A5" w14:paraId="6C617349" w14:textId="77777777" w:rsidTr="000740A9">
        <w:tc>
          <w:tcPr>
            <w:tcW w:w="1848" w:type="dxa"/>
            <w:tcBorders>
              <w:top w:val="nil"/>
              <w:left w:val="single" w:sz="4" w:space="0" w:color="auto"/>
              <w:bottom w:val="single" w:sz="4" w:space="0" w:color="auto"/>
              <w:right w:val="single" w:sz="4" w:space="0" w:color="auto"/>
            </w:tcBorders>
          </w:tcPr>
          <w:p w14:paraId="7B75A3EF" w14:textId="77777777" w:rsidR="001068B9" w:rsidRDefault="001068B9" w:rsidP="004932AF">
            <w:pPr>
              <w:pStyle w:val="Caption"/>
              <w:spacing w:after="0"/>
              <w:rPr>
                <w:b w:val="0"/>
              </w:rPr>
            </w:pPr>
          </w:p>
        </w:tc>
        <w:tc>
          <w:tcPr>
            <w:tcW w:w="2341" w:type="dxa"/>
            <w:tcBorders>
              <w:left w:val="single" w:sz="4" w:space="0" w:color="auto"/>
            </w:tcBorders>
          </w:tcPr>
          <w:p w14:paraId="6B1F0D1F" w14:textId="57E3E649" w:rsidR="001068B9" w:rsidRPr="001068B9" w:rsidRDefault="001068B9" w:rsidP="000740A9">
            <w:pPr>
              <w:spacing w:after="0" w:line="240" w:lineRule="auto"/>
              <w:ind w:left="0"/>
              <w:rPr>
                <w:rFonts w:ascii="Arial Narrow" w:hAnsi="Arial Narrow"/>
                <w:bCs/>
                <w:sz w:val="20"/>
              </w:rPr>
            </w:pPr>
            <w:r w:rsidRPr="001068B9">
              <w:rPr>
                <w:rFonts w:ascii="Arial Narrow" w:hAnsi="Arial Narrow"/>
                <w:bCs/>
                <w:sz w:val="20"/>
              </w:rPr>
              <w:t>Whole abdominal or pelvic radiation doses</w:t>
            </w:r>
          </w:p>
        </w:tc>
        <w:tc>
          <w:tcPr>
            <w:tcW w:w="1985" w:type="dxa"/>
          </w:tcPr>
          <w:p w14:paraId="5D0A15EC" w14:textId="2C020459" w:rsidR="00C87336" w:rsidRPr="00C87336" w:rsidRDefault="00035EEF" w:rsidP="000740A9">
            <w:pPr>
              <w:spacing w:after="0" w:line="240" w:lineRule="auto"/>
              <w:ind w:left="0"/>
              <w:rPr>
                <w:rFonts w:ascii="Arial Narrow" w:hAnsi="Arial Narrow"/>
                <w:bCs/>
                <w:sz w:val="20"/>
              </w:rPr>
            </w:pPr>
            <w:r>
              <w:rPr>
                <w:rFonts w:ascii="Arial Narrow" w:hAnsi="Arial Narrow"/>
                <w:bCs/>
                <w:sz w:val="20"/>
              </w:rPr>
              <w:t>&gt;</w:t>
            </w:r>
            <w:r w:rsidR="00C87336" w:rsidRPr="00C87336">
              <w:rPr>
                <w:rFonts w:ascii="Arial Narrow" w:hAnsi="Arial Narrow"/>
                <w:bCs/>
                <w:sz w:val="20"/>
              </w:rPr>
              <w:t>6 Gy in adult women</w:t>
            </w:r>
          </w:p>
          <w:p w14:paraId="4CDD7557" w14:textId="1F84572A" w:rsidR="00C87336" w:rsidRPr="00C87336" w:rsidRDefault="00035EEF" w:rsidP="000740A9">
            <w:pPr>
              <w:spacing w:after="0" w:line="240" w:lineRule="auto"/>
              <w:ind w:left="0"/>
              <w:rPr>
                <w:rFonts w:ascii="Arial Narrow" w:hAnsi="Arial Narrow"/>
                <w:bCs/>
                <w:sz w:val="20"/>
              </w:rPr>
            </w:pPr>
            <w:r>
              <w:rPr>
                <w:rFonts w:ascii="Arial Narrow" w:hAnsi="Arial Narrow"/>
                <w:bCs/>
                <w:sz w:val="20"/>
              </w:rPr>
              <w:t>&gt;</w:t>
            </w:r>
            <w:r w:rsidR="00C87336" w:rsidRPr="00C87336">
              <w:rPr>
                <w:rFonts w:ascii="Arial Narrow" w:hAnsi="Arial Narrow"/>
                <w:bCs/>
                <w:sz w:val="20"/>
              </w:rPr>
              <w:t>10 Gy in post-pubertal</w:t>
            </w:r>
            <w:r w:rsidR="00C87336">
              <w:rPr>
                <w:rFonts w:ascii="Arial Narrow" w:hAnsi="Arial Narrow"/>
                <w:bCs/>
                <w:sz w:val="20"/>
              </w:rPr>
              <w:t xml:space="preserve"> </w:t>
            </w:r>
            <w:r w:rsidR="00C87336" w:rsidRPr="00C87336">
              <w:rPr>
                <w:rFonts w:ascii="Arial Narrow" w:hAnsi="Arial Narrow"/>
                <w:bCs/>
                <w:sz w:val="20"/>
              </w:rPr>
              <w:t>girls</w:t>
            </w:r>
          </w:p>
          <w:p w14:paraId="21473D7F" w14:textId="70BAAB05" w:rsidR="001068B9" w:rsidRPr="00C87336" w:rsidRDefault="00035EEF" w:rsidP="000740A9">
            <w:pPr>
              <w:spacing w:after="0" w:line="240" w:lineRule="auto"/>
              <w:ind w:left="0"/>
              <w:rPr>
                <w:rFonts w:ascii="Arial Narrow" w:hAnsi="Arial Narrow"/>
                <w:bCs/>
                <w:sz w:val="20"/>
              </w:rPr>
            </w:pPr>
            <w:r>
              <w:rPr>
                <w:rFonts w:ascii="Arial Narrow" w:hAnsi="Arial Narrow"/>
                <w:bCs/>
                <w:sz w:val="20"/>
              </w:rPr>
              <w:t>&gt;</w:t>
            </w:r>
            <w:r w:rsidR="00C87336">
              <w:rPr>
                <w:rFonts w:ascii="Arial Narrow" w:hAnsi="Arial Narrow"/>
                <w:bCs/>
                <w:sz w:val="20"/>
              </w:rPr>
              <w:t xml:space="preserve">15 Gy in pre-pubertal </w:t>
            </w:r>
            <w:r w:rsidR="00C87336" w:rsidRPr="00C87336">
              <w:rPr>
                <w:rFonts w:ascii="Arial Narrow" w:hAnsi="Arial Narrow"/>
                <w:bCs/>
                <w:sz w:val="20"/>
              </w:rPr>
              <w:t>girls</w:t>
            </w:r>
          </w:p>
        </w:tc>
        <w:tc>
          <w:tcPr>
            <w:tcW w:w="2835" w:type="dxa"/>
            <w:tcBorders>
              <w:right w:val="single" w:sz="4" w:space="0" w:color="auto"/>
            </w:tcBorders>
          </w:tcPr>
          <w:p w14:paraId="450F05E1" w14:textId="0CE5ED38" w:rsidR="001068B9" w:rsidRPr="006F4D4F" w:rsidRDefault="00C87336" w:rsidP="000740A9">
            <w:pPr>
              <w:spacing w:after="0" w:line="240" w:lineRule="auto"/>
              <w:ind w:left="0"/>
              <w:rPr>
                <w:rFonts w:ascii="Arial Narrow" w:hAnsi="Arial Narrow"/>
                <w:bCs/>
                <w:sz w:val="20"/>
              </w:rPr>
            </w:pPr>
            <w:r>
              <w:rPr>
                <w:rFonts w:ascii="Arial Narrow" w:hAnsi="Arial Narrow"/>
                <w:bCs/>
                <w:sz w:val="20"/>
              </w:rPr>
              <w:t xml:space="preserve">Wilms tumour, neuroblastoma, sarcomas, Hodgkin lymphoma, ovarian </w:t>
            </w:r>
          </w:p>
        </w:tc>
      </w:tr>
      <w:tr w:rsidR="001068B9" w:rsidRPr="00C156A5" w14:paraId="5A9585A9" w14:textId="77777777" w:rsidTr="000740A9">
        <w:tc>
          <w:tcPr>
            <w:tcW w:w="1848" w:type="dxa"/>
            <w:tcBorders>
              <w:top w:val="single" w:sz="4" w:space="0" w:color="auto"/>
              <w:left w:val="single" w:sz="4" w:space="0" w:color="auto"/>
              <w:bottom w:val="nil"/>
              <w:right w:val="single" w:sz="4" w:space="0" w:color="auto"/>
            </w:tcBorders>
          </w:tcPr>
          <w:p w14:paraId="1DA54572" w14:textId="77777777" w:rsidR="001068B9" w:rsidRDefault="001068B9" w:rsidP="004932AF">
            <w:pPr>
              <w:pStyle w:val="Caption"/>
              <w:spacing w:after="0"/>
              <w:rPr>
                <w:b w:val="0"/>
              </w:rPr>
            </w:pPr>
          </w:p>
        </w:tc>
        <w:tc>
          <w:tcPr>
            <w:tcW w:w="2341" w:type="dxa"/>
            <w:tcBorders>
              <w:left w:val="single" w:sz="4" w:space="0" w:color="auto"/>
            </w:tcBorders>
          </w:tcPr>
          <w:p w14:paraId="6865FAA2" w14:textId="63325332" w:rsidR="001068B9" w:rsidRPr="001068B9" w:rsidRDefault="001068B9" w:rsidP="00C63AC7">
            <w:pPr>
              <w:spacing w:after="0" w:line="240" w:lineRule="auto"/>
              <w:ind w:left="0"/>
              <w:rPr>
                <w:rFonts w:ascii="Arial Narrow" w:hAnsi="Arial Narrow"/>
                <w:bCs/>
                <w:sz w:val="20"/>
              </w:rPr>
            </w:pPr>
            <w:r w:rsidRPr="001068B9">
              <w:rPr>
                <w:rFonts w:ascii="Arial Narrow" w:hAnsi="Arial Narrow"/>
                <w:bCs/>
                <w:sz w:val="20"/>
              </w:rPr>
              <w:t>Total Body Irradiation (TBI) doses</w:t>
            </w:r>
          </w:p>
        </w:tc>
        <w:tc>
          <w:tcPr>
            <w:tcW w:w="1985" w:type="dxa"/>
          </w:tcPr>
          <w:p w14:paraId="2B4CF8FC" w14:textId="0B36271A" w:rsidR="001068B9" w:rsidRPr="00C156A5" w:rsidRDefault="00CF2622" w:rsidP="00C63AC7">
            <w:pPr>
              <w:pStyle w:val="Caption"/>
              <w:spacing w:after="0"/>
              <w:ind w:left="0"/>
              <w:rPr>
                <w:b w:val="0"/>
              </w:rPr>
            </w:pPr>
            <w:r>
              <w:rPr>
                <w:b w:val="0"/>
              </w:rPr>
              <w:t>-</w:t>
            </w:r>
          </w:p>
        </w:tc>
        <w:tc>
          <w:tcPr>
            <w:tcW w:w="2835" w:type="dxa"/>
            <w:tcBorders>
              <w:right w:val="single" w:sz="4" w:space="0" w:color="auto"/>
            </w:tcBorders>
          </w:tcPr>
          <w:p w14:paraId="42F8B71C" w14:textId="6411BCA3" w:rsidR="001068B9" w:rsidRPr="006F4D4F" w:rsidRDefault="001F21D0" w:rsidP="00C63AC7">
            <w:pPr>
              <w:spacing w:after="0" w:line="240" w:lineRule="auto"/>
              <w:ind w:left="0"/>
              <w:rPr>
                <w:rFonts w:ascii="Arial Narrow" w:hAnsi="Arial Narrow"/>
                <w:bCs/>
                <w:sz w:val="20"/>
              </w:rPr>
            </w:pPr>
            <w:r>
              <w:rPr>
                <w:rFonts w:ascii="Arial Narrow" w:hAnsi="Arial Narrow"/>
                <w:bCs/>
                <w:sz w:val="20"/>
              </w:rPr>
              <w:t>H</w:t>
            </w:r>
            <w:r w:rsidR="00495159">
              <w:rPr>
                <w:rFonts w:ascii="Arial Narrow" w:hAnsi="Arial Narrow"/>
                <w:bCs/>
                <w:sz w:val="20"/>
              </w:rPr>
              <w:t>aematopoietic</w:t>
            </w:r>
            <w:r>
              <w:rPr>
                <w:rFonts w:ascii="Arial Narrow" w:hAnsi="Arial Narrow"/>
                <w:bCs/>
                <w:sz w:val="20"/>
              </w:rPr>
              <w:t xml:space="preserve"> stem cell transplantation</w:t>
            </w:r>
          </w:p>
        </w:tc>
      </w:tr>
      <w:tr w:rsidR="001068B9" w:rsidRPr="00C156A5" w14:paraId="68CEFF71" w14:textId="77777777" w:rsidTr="000740A9">
        <w:tc>
          <w:tcPr>
            <w:tcW w:w="1848" w:type="dxa"/>
            <w:tcBorders>
              <w:top w:val="nil"/>
              <w:left w:val="single" w:sz="4" w:space="0" w:color="auto"/>
              <w:bottom w:val="single" w:sz="4" w:space="0" w:color="auto"/>
              <w:right w:val="single" w:sz="4" w:space="0" w:color="auto"/>
            </w:tcBorders>
          </w:tcPr>
          <w:p w14:paraId="2244051D" w14:textId="09B0B2A8" w:rsidR="001068B9" w:rsidRDefault="001068B9" w:rsidP="004932AF">
            <w:pPr>
              <w:pStyle w:val="Caption"/>
              <w:spacing w:after="0"/>
              <w:rPr>
                <w:b w:val="0"/>
              </w:rPr>
            </w:pPr>
          </w:p>
        </w:tc>
        <w:tc>
          <w:tcPr>
            <w:tcW w:w="2341" w:type="dxa"/>
            <w:tcBorders>
              <w:left w:val="single" w:sz="4" w:space="0" w:color="auto"/>
              <w:bottom w:val="single" w:sz="4" w:space="0" w:color="auto"/>
            </w:tcBorders>
          </w:tcPr>
          <w:p w14:paraId="2684ECD3" w14:textId="5D75C26D" w:rsidR="001068B9" w:rsidRPr="001068B9" w:rsidRDefault="001068B9" w:rsidP="00C63AC7">
            <w:pPr>
              <w:spacing w:after="0" w:line="240" w:lineRule="auto"/>
              <w:ind w:left="0"/>
              <w:rPr>
                <w:rFonts w:ascii="Arial Narrow" w:hAnsi="Arial Narrow"/>
                <w:bCs/>
                <w:sz w:val="20"/>
              </w:rPr>
            </w:pPr>
            <w:r w:rsidRPr="001068B9">
              <w:rPr>
                <w:rFonts w:ascii="Arial Narrow" w:hAnsi="Arial Narrow"/>
                <w:bCs/>
                <w:sz w:val="20"/>
              </w:rPr>
              <w:t>Cranial radiation</w:t>
            </w:r>
          </w:p>
        </w:tc>
        <w:tc>
          <w:tcPr>
            <w:tcW w:w="1985" w:type="dxa"/>
            <w:tcBorders>
              <w:bottom w:val="single" w:sz="4" w:space="0" w:color="auto"/>
            </w:tcBorders>
          </w:tcPr>
          <w:p w14:paraId="547E1279" w14:textId="449C3270" w:rsidR="001068B9" w:rsidRPr="00C156A5" w:rsidRDefault="00035EEF" w:rsidP="00C63AC7">
            <w:pPr>
              <w:pStyle w:val="Caption"/>
              <w:spacing w:after="0"/>
              <w:ind w:left="0"/>
              <w:rPr>
                <w:b w:val="0"/>
              </w:rPr>
            </w:pPr>
            <w:r>
              <w:rPr>
                <w:b w:val="0"/>
                <w:bCs w:val="0"/>
              </w:rPr>
              <w:t>&gt;</w:t>
            </w:r>
            <w:r w:rsidR="00C87336">
              <w:rPr>
                <w:b w:val="0"/>
              </w:rPr>
              <w:t>40 Gy</w:t>
            </w:r>
          </w:p>
        </w:tc>
        <w:tc>
          <w:tcPr>
            <w:tcW w:w="2835" w:type="dxa"/>
            <w:tcBorders>
              <w:bottom w:val="single" w:sz="4" w:space="0" w:color="auto"/>
              <w:right w:val="single" w:sz="12" w:space="0" w:color="auto"/>
            </w:tcBorders>
          </w:tcPr>
          <w:p w14:paraId="0397922A" w14:textId="47947064" w:rsidR="001068B9" w:rsidRPr="006F4D4F" w:rsidRDefault="00C87336" w:rsidP="00C63AC7">
            <w:pPr>
              <w:spacing w:after="0" w:line="240" w:lineRule="auto"/>
              <w:ind w:left="0"/>
              <w:rPr>
                <w:rFonts w:ascii="Arial Narrow" w:hAnsi="Arial Narrow"/>
                <w:bCs/>
                <w:sz w:val="20"/>
              </w:rPr>
            </w:pPr>
            <w:r>
              <w:rPr>
                <w:rFonts w:ascii="Arial Narrow" w:hAnsi="Arial Narrow"/>
                <w:bCs/>
                <w:sz w:val="20"/>
              </w:rPr>
              <w:t>Brain tumour</w:t>
            </w:r>
          </w:p>
        </w:tc>
      </w:tr>
      <w:tr w:rsidR="00C156A5" w:rsidRPr="00C156A5" w14:paraId="34FCAAA9" w14:textId="77777777" w:rsidTr="000740A9">
        <w:tc>
          <w:tcPr>
            <w:tcW w:w="1848" w:type="dxa"/>
            <w:tcBorders>
              <w:top w:val="single" w:sz="4" w:space="0" w:color="auto"/>
              <w:left w:val="single" w:sz="4" w:space="0" w:color="auto"/>
              <w:bottom w:val="nil"/>
              <w:right w:val="single" w:sz="4" w:space="0" w:color="auto"/>
            </w:tcBorders>
          </w:tcPr>
          <w:p w14:paraId="05FBD9F3" w14:textId="20E2B78A" w:rsidR="00C156A5" w:rsidRDefault="00C156A5" w:rsidP="000740A9">
            <w:pPr>
              <w:pStyle w:val="Caption"/>
              <w:spacing w:after="0"/>
              <w:ind w:left="0"/>
              <w:rPr>
                <w:b w:val="0"/>
              </w:rPr>
            </w:pPr>
            <w:r>
              <w:rPr>
                <w:b w:val="0"/>
              </w:rPr>
              <w:t>Intermediate risk of amenorrhea (</w:t>
            </w:r>
            <w:r w:rsidR="00193212">
              <w:rPr>
                <w:b w:val="0"/>
              </w:rPr>
              <w:t>~30-70%)</w:t>
            </w:r>
          </w:p>
        </w:tc>
        <w:tc>
          <w:tcPr>
            <w:tcW w:w="2341" w:type="dxa"/>
            <w:tcBorders>
              <w:top w:val="single" w:sz="4" w:space="0" w:color="auto"/>
              <w:left w:val="single" w:sz="4" w:space="0" w:color="auto"/>
            </w:tcBorders>
          </w:tcPr>
          <w:p w14:paraId="29E4EA5D" w14:textId="7ACFE33E" w:rsidR="00C156A5" w:rsidRPr="00C156A5" w:rsidRDefault="00A7727C" w:rsidP="00C63AC7">
            <w:pPr>
              <w:pStyle w:val="Caption"/>
              <w:spacing w:after="0"/>
              <w:ind w:left="0"/>
              <w:rPr>
                <w:b w:val="0"/>
              </w:rPr>
            </w:pPr>
            <w:r>
              <w:rPr>
                <w:b w:val="0"/>
              </w:rPr>
              <w:t>Total cyclophosphamide</w:t>
            </w:r>
          </w:p>
        </w:tc>
        <w:tc>
          <w:tcPr>
            <w:tcW w:w="1985" w:type="dxa"/>
            <w:tcBorders>
              <w:top w:val="single" w:sz="4" w:space="0" w:color="auto"/>
            </w:tcBorders>
          </w:tcPr>
          <w:p w14:paraId="4DFFB645" w14:textId="6520A66E" w:rsidR="00C156A5" w:rsidRPr="00CF2622" w:rsidRDefault="00CF2622" w:rsidP="00C63AC7">
            <w:pPr>
              <w:pStyle w:val="Caption"/>
              <w:spacing w:after="0"/>
              <w:ind w:left="0"/>
              <w:rPr>
                <w:b w:val="0"/>
                <w:bCs w:val="0"/>
              </w:rPr>
            </w:pPr>
            <w:r w:rsidRPr="00CF2622">
              <w:rPr>
                <w:b w:val="0"/>
                <w:bCs w:val="0"/>
              </w:rPr>
              <w:t>5 g/m</w:t>
            </w:r>
            <w:r w:rsidRPr="0064098D">
              <w:rPr>
                <w:b w:val="0"/>
                <w:bCs w:val="0"/>
                <w:vertAlign w:val="superscript"/>
              </w:rPr>
              <w:t>2</w:t>
            </w:r>
            <w:r w:rsidRPr="00CF2622">
              <w:rPr>
                <w:b w:val="0"/>
                <w:bCs w:val="0"/>
              </w:rPr>
              <w:t xml:space="preserve"> </w:t>
            </w:r>
            <w:r>
              <w:rPr>
                <w:b w:val="0"/>
                <w:bCs w:val="0"/>
              </w:rPr>
              <w:t>in women age 30-</w:t>
            </w:r>
            <w:r w:rsidRPr="00CF2622">
              <w:rPr>
                <w:b w:val="0"/>
                <w:bCs w:val="0"/>
              </w:rPr>
              <w:t>40</w:t>
            </w:r>
          </w:p>
        </w:tc>
        <w:tc>
          <w:tcPr>
            <w:tcW w:w="2835" w:type="dxa"/>
            <w:tcBorders>
              <w:top w:val="single" w:sz="4" w:space="0" w:color="auto"/>
              <w:right w:val="single" w:sz="4" w:space="0" w:color="auto"/>
            </w:tcBorders>
          </w:tcPr>
          <w:p w14:paraId="66004FA7" w14:textId="578A92F8" w:rsidR="00C156A5" w:rsidRPr="00C156A5" w:rsidRDefault="00D44E5F" w:rsidP="00C63AC7">
            <w:pPr>
              <w:pStyle w:val="Caption"/>
              <w:spacing w:after="0"/>
              <w:ind w:left="0"/>
              <w:rPr>
                <w:b w:val="0"/>
              </w:rPr>
            </w:pPr>
            <w:r>
              <w:rPr>
                <w:b w:val="0"/>
              </w:rPr>
              <w:t>Multiple cancers, breast cancer</w:t>
            </w:r>
          </w:p>
        </w:tc>
      </w:tr>
      <w:tr w:rsidR="00A7727C" w:rsidRPr="00C156A5" w14:paraId="7851E04D" w14:textId="77777777" w:rsidTr="000740A9">
        <w:tc>
          <w:tcPr>
            <w:tcW w:w="1848" w:type="dxa"/>
            <w:tcBorders>
              <w:top w:val="nil"/>
              <w:left w:val="single" w:sz="4" w:space="0" w:color="auto"/>
              <w:bottom w:val="nil"/>
              <w:right w:val="single" w:sz="4" w:space="0" w:color="auto"/>
            </w:tcBorders>
          </w:tcPr>
          <w:p w14:paraId="5310E2BE" w14:textId="77777777" w:rsidR="00A7727C" w:rsidRDefault="00A7727C" w:rsidP="000740A9">
            <w:pPr>
              <w:pStyle w:val="Caption"/>
              <w:spacing w:after="0"/>
              <w:ind w:left="0"/>
              <w:rPr>
                <w:b w:val="0"/>
              </w:rPr>
            </w:pPr>
          </w:p>
        </w:tc>
        <w:tc>
          <w:tcPr>
            <w:tcW w:w="2341" w:type="dxa"/>
            <w:tcBorders>
              <w:left w:val="single" w:sz="4" w:space="0" w:color="auto"/>
            </w:tcBorders>
          </w:tcPr>
          <w:p w14:paraId="49D7775A" w14:textId="144DAA93" w:rsidR="00A7727C" w:rsidRPr="00C156A5" w:rsidRDefault="00A7727C" w:rsidP="00C63AC7">
            <w:pPr>
              <w:pStyle w:val="Caption"/>
              <w:spacing w:after="0"/>
              <w:ind w:left="0"/>
              <w:rPr>
                <w:b w:val="0"/>
              </w:rPr>
            </w:pPr>
            <w:r>
              <w:rPr>
                <w:b w:val="0"/>
              </w:rPr>
              <w:t>AC for breast cancer</w:t>
            </w:r>
          </w:p>
        </w:tc>
        <w:tc>
          <w:tcPr>
            <w:tcW w:w="1985" w:type="dxa"/>
          </w:tcPr>
          <w:p w14:paraId="6A0A99D9" w14:textId="344D8B5C" w:rsidR="00A7727C" w:rsidRPr="00CF2622" w:rsidRDefault="00CF2622" w:rsidP="00C63AC7">
            <w:pPr>
              <w:pStyle w:val="Caption"/>
              <w:spacing w:after="0"/>
              <w:ind w:left="0"/>
              <w:rPr>
                <w:b w:val="0"/>
                <w:bCs w:val="0"/>
              </w:rPr>
            </w:pPr>
            <w:r w:rsidRPr="00CF2622">
              <w:rPr>
                <w:b w:val="0"/>
                <w:bCs w:val="0"/>
              </w:rPr>
              <w:t>x4 + Paclitaxel or Docetaxel in women age</w:t>
            </w:r>
            <w:r>
              <w:rPr>
                <w:b w:val="0"/>
                <w:bCs w:val="0"/>
              </w:rPr>
              <w:t xml:space="preserve"> </w:t>
            </w:r>
            <w:r w:rsidR="003B42B2">
              <w:rPr>
                <w:b w:val="0"/>
                <w:bCs w:val="0"/>
              </w:rPr>
              <w:t>&lt;</w:t>
            </w:r>
            <w:r w:rsidRPr="00CF2622">
              <w:rPr>
                <w:b w:val="0"/>
                <w:bCs w:val="0"/>
              </w:rPr>
              <w:t>40</w:t>
            </w:r>
          </w:p>
        </w:tc>
        <w:tc>
          <w:tcPr>
            <w:tcW w:w="2835" w:type="dxa"/>
            <w:tcBorders>
              <w:right w:val="single" w:sz="4" w:space="0" w:color="auto"/>
            </w:tcBorders>
          </w:tcPr>
          <w:p w14:paraId="33BD1816" w14:textId="1F172F9E" w:rsidR="00A7727C" w:rsidRPr="00C156A5" w:rsidRDefault="00D44E5F" w:rsidP="00C63AC7">
            <w:pPr>
              <w:pStyle w:val="Caption"/>
              <w:spacing w:after="0"/>
              <w:ind w:left="0"/>
              <w:rPr>
                <w:b w:val="0"/>
              </w:rPr>
            </w:pPr>
            <w:r>
              <w:rPr>
                <w:b w:val="0"/>
              </w:rPr>
              <w:t>Breast cancer</w:t>
            </w:r>
          </w:p>
        </w:tc>
      </w:tr>
      <w:tr w:rsidR="00A7727C" w:rsidRPr="00C156A5" w14:paraId="7E045CD7" w14:textId="77777777" w:rsidTr="000740A9">
        <w:tc>
          <w:tcPr>
            <w:tcW w:w="1848" w:type="dxa"/>
            <w:tcBorders>
              <w:top w:val="nil"/>
              <w:left w:val="single" w:sz="4" w:space="0" w:color="auto"/>
              <w:bottom w:val="nil"/>
              <w:right w:val="single" w:sz="4" w:space="0" w:color="auto"/>
            </w:tcBorders>
          </w:tcPr>
          <w:p w14:paraId="34E12B59" w14:textId="77777777" w:rsidR="00A7727C" w:rsidRDefault="00A7727C" w:rsidP="000740A9">
            <w:pPr>
              <w:pStyle w:val="Caption"/>
              <w:spacing w:after="0"/>
              <w:ind w:left="0"/>
              <w:rPr>
                <w:b w:val="0"/>
              </w:rPr>
            </w:pPr>
          </w:p>
        </w:tc>
        <w:tc>
          <w:tcPr>
            <w:tcW w:w="2341" w:type="dxa"/>
            <w:tcBorders>
              <w:left w:val="single" w:sz="4" w:space="0" w:color="auto"/>
            </w:tcBorders>
          </w:tcPr>
          <w:p w14:paraId="3D48B399" w14:textId="07760FF1" w:rsidR="00A7727C" w:rsidRPr="00C156A5" w:rsidRDefault="00A7727C" w:rsidP="00C63AC7">
            <w:pPr>
              <w:pStyle w:val="Caption"/>
              <w:spacing w:after="0"/>
              <w:ind w:left="0"/>
              <w:rPr>
                <w:b w:val="0"/>
              </w:rPr>
            </w:pPr>
            <w:r>
              <w:rPr>
                <w:b w:val="0"/>
              </w:rPr>
              <w:t xml:space="preserve">Monoclonal Antibodies </w:t>
            </w:r>
            <w:r w:rsidRPr="00A7727C">
              <w:rPr>
                <w:b w:val="0"/>
              </w:rPr>
              <w:t>(e.g., Bevacizumab (Avastin))</w:t>
            </w:r>
          </w:p>
        </w:tc>
        <w:tc>
          <w:tcPr>
            <w:tcW w:w="1985" w:type="dxa"/>
          </w:tcPr>
          <w:p w14:paraId="291ECC40" w14:textId="4507C908" w:rsidR="00A7727C" w:rsidRPr="00CF2622" w:rsidRDefault="00CF2622" w:rsidP="00C63AC7">
            <w:pPr>
              <w:pStyle w:val="Caption"/>
              <w:spacing w:after="0"/>
              <w:ind w:left="0"/>
              <w:rPr>
                <w:b w:val="0"/>
                <w:bCs w:val="0"/>
              </w:rPr>
            </w:pPr>
            <w:r>
              <w:rPr>
                <w:b w:val="0"/>
                <w:bCs w:val="0"/>
              </w:rPr>
              <w:t>-</w:t>
            </w:r>
          </w:p>
        </w:tc>
        <w:tc>
          <w:tcPr>
            <w:tcW w:w="2835" w:type="dxa"/>
            <w:tcBorders>
              <w:right w:val="single" w:sz="4" w:space="0" w:color="auto"/>
            </w:tcBorders>
          </w:tcPr>
          <w:p w14:paraId="1D8E7AA9" w14:textId="10BE8320" w:rsidR="00A7727C" w:rsidRPr="00C156A5" w:rsidRDefault="00D44E5F" w:rsidP="00C63AC7">
            <w:pPr>
              <w:pStyle w:val="Caption"/>
              <w:spacing w:after="0"/>
              <w:ind w:left="0"/>
              <w:rPr>
                <w:b w:val="0"/>
              </w:rPr>
            </w:pPr>
            <w:r>
              <w:rPr>
                <w:b w:val="0"/>
              </w:rPr>
              <w:t>Colon cancer, non-small-cell lung cancer, head and neck cancer, breast cancer</w:t>
            </w:r>
          </w:p>
        </w:tc>
      </w:tr>
      <w:tr w:rsidR="00A7727C" w:rsidRPr="00C156A5" w14:paraId="3D067306" w14:textId="77777777" w:rsidTr="000740A9">
        <w:tc>
          <w:tcPr>
            <w:tcW w:w="1848" w:type="dxa"/>
            <w:tcBorders>
              <w:top w:val="nil"/>
              <w:left w:val="single" w:sz="4" w:space="0" w:color="auto"/>
              <w:bottom w:val="nil"/>
              <w:right w:val="single" w:sz="4" w:space="0" w:color="auto"/>
            </w:tcBorders>
          </w:tcPr>
          <w:p w14:paraId="6BBAF097" w14:textId="77777777" w:rsidR="00A7727C" w:rsidRDefault="00A7727C" w:rsidP="000740A9">
            <w:pPr>
              <w:pStyle w:val="Caption"/>
              <w:spacing w:after="0"/>
              <w:ind w:left="0"/>
              <w:rPr>
                <w:b w:val="0"/>
              </w:rPr>
            </w:pPr>
          </w:p>
        </w:tc>
        <w:tc>
          <w:tcPr>
            <w:tcW w:w="2341" w:type="dxa"/>
            <w:tcBorders>
              <w:left w:val="single" w:sz="4" w:space="0" w:color="auto"/>
            </w:tcBorders>
          </w:tcPr>
          <w:p w14:paraId="7DACC55E" w14:textId="71A5A5ED" w:rsidR="00A7727C" w:rsidRPr="00C156A5" w:rsidRDefault="00A7727C" w:rsidP="00C63AC7">
            <w:pPr>
              <w:pStyle w:val="Caption"/>
              <w:spacing w:after="0"/>
              <w:ind w:left="0"/>
              <w:rPr>
                <w:b w:val="0"/>
              </w:rPr>
            </w:pPr>
            <w:r w:rsidRPr="00A7727C">
              <w:rPr>
                <w:b w:val="0"/>
              </w:rPr>
              <w:t>FOLFOX4</w:t>
            </w:r>
          </w:p>
        </w:tc>
        <w:tc>
          <w:tcPr>
            <w:tcW w:w="1985" w:type="dxa"/>
          </w:tcPr>
          <w:p w14:paraId="681C925E" w14:textId="56B803F5" w:rsidR="00A7727C" w:rsidRPr="00CF2622" w:rsidRDefault="00CF2622" w:rsidP="00C63AC7">
            <w:pPr>
              <w:pStyle w:val="Caption"/>
              <w:spacing w:after="0"/>
              <w:ind w:left="0"/>
              <w:rPr>
                <w:b w:val="0"/>
                <w:bCs w:val="0"/>
              </w:rPr>
            </w:pPr>
            <w:r>
              <w:rPr>
                <w:b w:val="0"/>
                <w:bCs w:val="0"/>
              </w:rPr>
              <w:t>-</w:t>
            </w:r>
          </w:p>
        </w:tc>
        <w:tc>
          <w:tcPr>
            <w:tcW w:w="2835" w:type="dxa"/>
            <w:tcBorders>
              <w:right w:val="single" w:sz="4" w:space="0" w:color="auto"/>
            </w:tcBorders>
          </w:tcPr>
          <w:p w14:paraId="2B281DA8" w14:textId="2482712C" w:rsidR="00A7727C" w:rsidRPr="00C156A5" w:rsidRDefault="00253054" w:rsidP="00C63AC7">
            <w:pPr>
              <w:pStyle w:val="Caption"/>
              <w:spacing w:after="0"/>
              <w:ind w:left="0"/>
              <w:rPr>
                <w:b w:val="0"/>
              </w:rPr>
            </w:pPr>
            <w:r>
              <w:rPr>
                <w:b w:val="0"/>
              </w:rPr>
              <w:t>Colon cancer</w:t>
            </w:r>
          </w:p>
        </w:tc>
      </w:tr>
      <w:tr w:rsidR="00A7727C" w:rsidRPr="00C156A5" w14:paraId="47A15ED1" w14:textId="77777777" w:rsidTr="000740A9">
        <w:tc>
          <w:tcPr>
            <w:tcW w:w="1848" w:type="dxa"/>
            <w:tcBorders>
              <w:top w:val="nil"/>
              <w:left w:val="single" w:sz="4" w:space="0" w:color="auto"/>
              <w:bottom w:val="nil"/>
              <w:right w:val="single" w:sz="4" w:space="0" w:color="auto"/>
            </w:tcBorders>
          </w:tcPr>
          <w:p w14:paraId="02961935" w14:textId="77777777" w:rsidR="00A7727C" w:rsidRDefault="00A7727C" w:rsidP="000740A9">
            <w:pPr>
              <w:pStyle w:val="Caption"/>
              <w:spacing w:after="0"/>
              <w:ind w:left="0"/>
              <w:rPr>
                <w:b w:val="0"/>
              </w:rPr>
            </w:pPr>
          </w:p>
        </w:tc>
        <w:tc>
          <w:tcPr>
            <w:tcW w:w="2341" w:type="dxa"/>
            <w:tcBorders>
              <w:left w:val="single" w:sz="4" w:space="0" w:color="auto"/>
            </w:tcBorders>
          </w:tcPr>
          <w:p w14:paraId="5351AEB7" w14:textId="4EF0CB00" w:rsidR="00A7727C" w:rsidRPr="00C156A5" w:rsidRDefault="00A7727C" w:rsidP="00C63AC7">
            <w:pPr>
              <w:pStyle w:val="Caption"/>
              <w:spacing w:after="0"/>
              <w:ind w:left="0"/>
              <w:rPr>
                <w:b w:val="0"/>
              </w:rPr>
            </w:pPr>
            <w:r w:rsidRPr="00A7727C">
              <w:rPr>
                <w:b w:val="0"/>
              </w:rPr>
              <w:t>Protocols containing cisplatin</w:t>
            </w:r>
          </w:p>
        </w:tc>
        <w:tc>
          <w:tcPr>
            <w:tcW w:w="1985" w:type="dxa"/>
          </w:tcPr>
          <w:p w14:paraId="7FA87F9D" w14:textId="6C7CB5DA" w:rsidR="00A7727C" w:rsidRPr="00CF2622" w:rsidRDefault="00CF2622" w:rsidP="00C63AC7">
            <w:pPr>
              <w:pStyle w:val="Caption"/>
              <w:spacing w:after="0"/>
              <w:ind w:left="0"/>
              <w:rPr>
                <w:b w:val="0"/>
                <w:bCs w:val="0"/>
              </w:rPr>
            </w:pPr>
            <w:r>
              <w:rPr>
                <w:b w:val="0"/>
                <w:bCs w:val="0"/>
              </w:rPr>
              <w:t>-</w:t>
            </w:r>
          </w:p>
        </w:tc>
        <w:tc>
          <w:tcPr>
            <w:tcW w:w="2835" w:type="dxa"/>
            <w:tcBorders>
              <w:right w:val="single" w:sz="4" w:space="0" w:color="auto"/>
            </w:tcBorders>
          </w:tcPr>
          <w:p w14:paraId="7E34B8C5" w14:textId="16F1E355" w:rsidR="00A7727C" w:rsidRPr="00C156A5" w:rsidRDefault="00253054" w:rsidP="00C63AC7">
            <w:pPr>
              <w:pStyle w:val="Caption"/>
              <w:spacing w:after="0"/>
              <w:ind w:left="0"/>
              <w:rPr>
                <w:b w:val="0"/>
              </w:rPr>
            </w:pPr>
            <w:r>
              <w:rPr>
                <w:b w:val="0"/>
              </w:rPr>
              <w:t>Cervical cancer</w:t>
            </w:r>
          </w:p>
        </w:tc>
      </w:tr>
      <w:tr w:rsidR="00A7727C" w:rsidRPr="00C156A5" w14:paraId="676D4D25" w14:textId="77777777" w:rsidTr="000740A9">
        <w:tc>
          <w:tcPr>
            <w:tcW w:w="1848" w:type="dxa"/>
            <w:tcBorders>
              <w:top w:val="nil"/>
              <w:left w:val="single" w:sz="4" w:space="0" w:color="auto"/>
              <w:bottom w:val="single" w:sz="4" w:space="0" w:color="auto"/>
              <w:right w:val="single" w:sz="4" w:space="0" w:color="auto"/>
            </w:tcBorders>
          </w:tcPr>
          <w:p w14:paraId="7D08499F" w14:textId="77777777" w:rsidR="00A7727C" w:rsidRDefault="00A7727C" w:rsidP="000740A9">
            <w:pPr>
              <w:pStyle w:val="Caption"/>
              <w:spacing w:after="0"/>
              <w:ind w:left="0"/>
              <w:rPr>
                <w:b w:val="0"/>
              </w:rPr>
            </w:pPr>
          </w:p>
        </w:tc>
        <w:tc>
          <w:tcPr>
            <w:tcW w:w="2341" w:type="dxa"/>
            <w:tcBorders>
              <w:left w:val="single" w:sz="4" w:space="0" w:color="auto"/>
              <w:bottom w:val="single" w:sz="4" w:space="0" w:color="auto"/>
            </w:tcBorders>
          </w:tcPr>
          <w:p w14:paraId="41FD622E" w14:textId="0C7DC779" w:rsidR="00A7727C" w:rsidRPr="00C156A5" w:rsidRDefault="00A7727C" w:rsidP="00C63AC7">
            <w:pPr>
              <w:pStyle w:val="Caption"/>
              <w:spacing w:after="0"/>
              <w:ind w:left="0"/>
              <w:rPr>
                <w:b w:val="0"/>
              </w:rPr>
            </w:pPr>
            <w:r w:rsidRPr="00A7727C">
              <w:rPr>
                <w:b w:val="0"/>
              </w:rPr>
              <w:t>Abdominal/pelvic radiation</w:t>
            </w:r>
          </w:p>
        </w:tc>
        <w:tc>
          <w:tcPr>
            <w:tcW w:w="1985" w:type="dxa"/>
            <w:tcBorders>
              <w:bottom w:val="single" w:sz="4" w:space="0" w:color="auto"/>
            </w:tcBorders>
          </w:tcPr>
          <w:p w14:paraId="30AC5DA5" w14:textId="65198C79" w:rsidR="00A7727C" w:rsidRPr="00CF2622" w:rsidRDefault="00CF2622" w:rsidP="00C63AC7">
            <w:pPr>
              <w:pStyle w:val="Caption"/>
              <w:spacing w:after="0"/>
              <w:ind w:left="0"/>
              <w:rPr>
                <w:b w:val="0"/>
                <w:bCs w:val="0"/>
              </w:rPr>
            </w:pPr>
            <w:r w:rsidRPr="00CF2622">
              <w:rPr>
                <w:b w:val="0"/>
                <w:bCs w:val="0"/>
              </w:rPr>
              <w:t>10-15 Gy in pre</w:t>
            </w:r>
            <w:r w:rsidR="00415491">
              <w:rPr>
                <w:b w:val="0"/>
                <w:bCs w:val="0"/>
              </w:rPr>
              <w:t>-pubertal</w:t>
            </w:r>
            <w:r>
              <w:rPr>
                <w:b w:val="0"/>
                <w:bCs w:val="0"/>
              </w:rPr>
              <w:t xml:space="preserve"> </w:t>
            </w:r>
            <w:r w:rsidRPr="00CF2622">
              <w:rPr>
                <w:b w:val="0"/>
                <w:bCs w:val="0"/>
              </w:rPr>
              <w:t>girls</w:t>
            </w:r>
            <w:r>
              <w:rPr>
                <w:b w:val="0"/>
                <w:bCs w:val="0"/>
              </w:rPr>
              <w:t>, 5</w:t>
            </w:r>
            <w:r w:rsidRPr="00CF2622">
              <w:rPr>
                <w:b w:val="0"/>
                <w:bCs w:val="0"/>
              </w:rPr>
              <w:t>-10 Gy in post-pubertal</w:t>
            </w:r>
            <w:r>
              <w:rPr>
                <w:b w:val="0"/>
                <w:bCs w:val="0"/>
              </w:rPr>
              <w:t xml:space="preserve"> </w:t>
            </w:r>
            <w:r w:rsidRPr="00CF2622">
              <w:rPr>
                <w:b w:val="0"/>
                <w:bCs w:val="0"/>
              </w:rPr>
              <w:t>girls</w:t>
            </w:r>
          </w:p>
        </w:tc>
        <w:tc>
          <w:tcPr>
            <w:tcW w:w="2835" w:type="dxa"/>
            <w:tcBorders>
              <w:bottom w:val="single" w:sz="4" w:space="0" w:color="auto"/>
              <w:right w:val="single" w:sz="4" w:space="0" w:color="auto"/>
            </w:tcBorders>
          </w:tcPr>
          <w:p w14:paraId="5F916219" w14:textId="0E7331DA" w:rsidR="00A7727C" w:rsidRPr="00C156A5" w:rsidRDefault="00253054" w:rsidP="00C63AC7">
            <w:pPr>
              <w:pStyle w:val="Caption"/>
              <w:spacing w:after="0"/>
              <w:ind w:left="0"/>
              <w:rPr>
                <w:b w:val="0"/>
              </w:rPr>
            </w:pPr>
            <w:r>
              <w:rPr>
                <w:b w:val="0"/>
              </w:rPr>
              <w:t>Wilms tumour, neuroblastoma, spinal tum</w:t>
            </w:r>
            <w:r w:rsidR="001F21D0">
              <w:rPr>
                <w:b w:val="0"/>
              </w:rPr>
              <w:t>ours, brain tumo</w:t>
            </w:r>
            <w:r w:rsidR="00B023DE">
              <w:rPr>
                <w:b w:val="0"/>
              </w:rPr>
              <w:t>urs</w:t>
            </w:r>
            <w:r w:rsidR="001F21D0">
              <w:rPr>
                <w:b w:val="0"/>
              </w:rPr>
              <w:t xml:space="preserve">, relapsed acute lymphoblastic </w:t>
            </w:r>
            <w:r w:rsidR="001F21D0">
              <w:rPr>
                <w:b w:val="0"/>
              </w:rPr>
              <w:lastRenderedPageBreak/>
              <w:t>leukaemia</w:t>
            </w:r>
            <w:r>
              <w:rPr>
                <w:b w:val="0"/>
              </w:rPr>
              <w:t xml:space="preserve"> or non-Hodgkin lymphoma</w:t>
            </w:r>
          </w:p>
        </w:tc>
      </w:tr>
      <w:tr w:rsidR="00193212" w:rsidRPr="00C156A5" w14:paraId="75171472" w14:textId="77777777" w:rsidTr="000740A9">
        <w:tc>
          <w:tcPr>
            <w:tcW w:w="1848" w:type="dxa"/>
            <w:tcBorders>
              <w:top w:val="single" w:sz="4" w:space="0" w:color="auto"/>
              <w:left w:val="single" w:sz="4" w:space="0" w:color="auto"/>
              <w:bottom w:val="nil"/>
              <w:right w:val="single" w:sz="4" w:space="0" w:color="auto"/>
            </w:tcBorders>
          </w:tcPr>
          <w:p w14:paraId="2AB2320C" w14:textId="625E5E3B" w:rsidR="00193212" w:rsidRDefault="00193212" w:rsidP="000740A9">
            <w:pPr>
              <w:pStyle w:val="Caption"/>
              <w:spacing w:after="0"/>
              <w:ind w:left="0"/>
              <w:rPr>
                <w:b w:val="0"/>
              </w:rPr>
            </w:pPr>
            <w:r>
              <w:rPr>
                <w:b w:val="0"/>
              </w:rPr>
              <w:lastRenderedPageBreak/>
              <w:t>Lower risk of amenorrhea (</w:t>
            </w:r>
            <w:r w:rsidR="003B42B2">
              <w:rPr>
                <w:b w:val="0"/>
              </w:rPr>
              <w:t>&lt;</w:t>
            </w:r>
            <w:r>
              <w:rPr>
                <w:b w:val="0"/>
              </w:rPr>
              <w:t>30%)</w:t>
            </w:r>
          </w:p>
        </w:tc>
        <w:tc>
          <w:tcPr>
            <w:tcW w:w="2341" w:type="dxa"/>
            <w:tcBorders>
              <w:top w:val="single" w:sz="4" w:space="0" w:color="auto"/>
              <w:left w:val="single" w:sz="4" w:space="0" w:color="auto"/>
              <w:bottom w:val="single" w:sz="2" w:space="0" w:color="auto"/>
            </w:tcBorders>
          </w:tcPr>
          <w:p w14:paraId="1136CA35" w14:textId="05B6B56F" w:rsidR="00193212" w:rsidRPr="00C156A5" w:rsidRDefault="004932AF" w:rsidP="00C63AC7">
            <w:pPr>
              <w:autoSpaceDE w:val="0"/>
              <w:autoSpaceDN w:val="0"/>
              <w:adjustRightInd w:val="0"/>
              <w:spacing w:after="0" w:line="240" w:lineRule="auto"/>
              <w:ind w:left="0"/>
              <w:rPr>
                <w:b/>
              </w:rPr>
            </w:pPr>
            <w:r w:rsidRPr="004932AF">
              <w:rPr>
                <w:rFonts w:ascii="Arial Narrow" w:hAnsi="Arial Narrow"/>
                <w:bCs/>
                <w:sz w:val="20"/>
              </w:rPr>
              <w:t>Protocols containing non</w:t>
            </w:r>
            <w:r>
              <w:rPr>
                <w:rFonts w:ascii="Arial Narrow" w:hAnsi="Arial Narrow"/>
                <w:bCs/>
                <w:sz w:val="20"/>
              </w:rPr>
              <w:t>-</w:t>
            </w:r>
            <w:r w:rsidRPr="004932AF">
              <w:rPr>
                <w:rFonts w:ascii="Arial Narrow" w:hAnsi="Arial Narrow"/>
                <w:bCs/>
                <w:sz w:val="20"/>
              </w:rPr>
              <w:t>alkylating agents or</w:t>
            </w:r>
            <w:r>
              <w:rPr>
                <w:rFonts w:ascii="Arial Narrow" w:hAnsi="Arial Narrow"/>
                <w:bCs/>
                <w:sz w:val="20"/>
              </w:rPr>
              <w:t xml:space="preserve"> </w:t>
            </w:r>
            <w:r w:rsidRPr="004932AF">
              <w:rPr>
                <w:rFonts w:ascii="Arial Narrow" w:hAnsi="Arial Narrow"/>
                <w:bCs/>
                <w:sz w:val="20"/>
              </w:rPr>
              <w:t>lower levels of</w:t>
            </w:r>
            <w:r>
              <w:rPr>
                <w:rFonts w:ascii="Arial Narrow" w:hAnsi="Arial Narrow"/>
                <w:bCs/>
                <w:sz w:val="20"/>
              </w:rPr>
              <w:t xml:space="preserve"> alkylating agents (e.g. </w:t>
            </w:r>
            <w:r w:rsidRPr="004932AF">
              <w:rPr>
                <w:rFonts w:ascii="Arial Narrow" w:hAnsi="Arial Narrow"/>
                <w:bCs/>
                <w:sz w:val="20"/>
              </w:rPr>
              <w:t>ABVD, CHOP, COP; multi-agent therapies</w:t>
            </w:r>
            <w:r>
              <w:rPr>
                <w:rFonts w:ascii="Arial Narrow" w:hAnsi="Arial Narrow"/>
                <w:bCs/>
                <w:sz w:val="20"/>
              </w:rPr>
              <w:t xml:space="preserve"> </w:t>
            </w:r>
            <w:r w:rsidRPr="004932AF">
              <w:rPr>
                <w:rFonts w:ascii="Arial Narrow" w:hAnsi="Arial Narrow"/>
                <w:bCs/>
                <w:sz w:val="20"/>
              </w:rPr>
              <w:t>for leukaemia)</w:t>
            </w:r>
          </w:p>
        </w:tc>
        <w:tc>
          <w:tcPr>
            <w:tcW w:w="1985" w:type="dxa"/>
            <w:tcBorders>
              <w:top w:val="single" w:sz="4" w:space="0" w:color="auto"/>
              <w:bottom w:val="single" w:sz="2" w:space="0" w:color="auto"/>
            </w:tcBorders>
          </w:tcPr>
          <w:p w14:paraId="7DF8108B" w14:textId="5C0361EF" w:rsidR="00193212" w:rsidRPr="00C156A5" w:rsidRDefault="00C63AC7" w:rsidP="00C63AC7">
            <w:pPr>
              <w:pStyle w:val="Caption"/>
              <w:spacing w:after="0"/>
              <w:ind w:left="0"/>
              <w:rPr>
                <w:b w:val="0"/>
              </w:rPr>
            </w:pPr>
            <w:r>
              <w:rPr>
                <w:b w:val="0"/>
              </w:rPr>
              <w:t>-</w:t>
            </w:r>
          </w:p>
        </w:tc>
        <w:tc>
          <w:tcPr>
            <w:tcW w:w="2835" w:type="dxa"/>
            <w:tcBorders>
              <w:top w:val="single" w:sz="4" w:space="0" w:color="auto"/>
              <w:bottom w:val="single" w:sz="2" w:space="0" w:color="auto"/>
              <w:right w:val="single" w:sz="4" w:space="0" w:color="auto"/>
            </w:tcBorders>
          </w:tcPr>
          <w:p w14:paraId="309F94AA" w14:textId="0C3D44DF" w:rsidR="00193212" w:rsidRPr="00C156A5" w:rsidRDefault="004932AF" w:rsidP="00C63AC7">
            <w:pPr>
              <w:pStyle w:val="Caption"/>
              <w:spacing w:after="0"/>
              <w:ind w:left="0"/>
              <w:rPr>
                <w:b w:val="0"/>
              </w:rPr>
            </w:pPr>
            <w:r>
              <w:rPr>
                <w:b w:val="0"/>
              </w:rPr>
              <w:t xml:space="preserve">Hodgkin lymphoma, </w:t>
            </w:r>
            <w:r w:rsidR="005A30D7">
              <w:rPr>
                <w:b w:val="0"/>
              </w:rPr>
              <w:t>non-Hodgkin lymphoma, leukaemia</w:t>
            </w:r>
          </w:p>
        </w:tc>
      </w:tr>
      <w:tr w:rsidR="00253054" w:rsidRPr="00C156A5" w14:paraId="1288B129" w14:textId="77777777" w:rsidTr="000740A9">
        <w:tc>
          <w:tcPr>
            <w:tcW w:w="1848" w:type="dxa"/>
            <w:tcBorders>
              <w:top w:val="nil"/>
              <w:left w:val="single" w:sz="4" w:space="0" w:color="auto"/>
              <w:bottom w:val="nil"/>
              <w:right w:val="single" w:sz="4" w:space="0" w:color="auto"/>
            </w:tcBorders>
          </w:tcPr>
          <w:p w14:paraId="6A1CB46D" w14:textId="77777777" w:rsidR="00253054" w:rsidRDefault="00253054" w:rsidP="000740A9">
            <w:pPr>
              <w:pStyle w:val="Caption"/>
              <w:spacing w:after="0"/>
              <w:ind w:left="0"/>
              <w:rPr>
                <w:b w:val="0"/>
              </w:rPr>
            </w:pPr>
          </w:p>
        </w:tc>
        <w:tc>
          <w:tcPr>
            <w:tcW w:w="2341" w:type="dxa"/>
            <w:tcBorders>
              <w:top w:val="single" w:sz="2" w:space="0" w:color="auto"/>
              <w:left w:val="single" w:sz="4" w:space="0" w:color="auto"/>
            </w:tcBorders>
          </w:tcPr>
          <w:p w14:paraId="6A42B886" w14:textId="7F660DC8" w:rsidR="00253054" w:rsidRPr="004932AF" w:rsidRDefault="004932AF" w:rsidP="00C63AC7">
            <w:pPr>
              <w:autoSpaceDE w:val="0"/>
              <w:autoSpaceDN w:val="0"/>
              <w:adjustRightInd w:val="0"/>
              <w:spacing w:after="0" w:line="240" w:lineRule="auto"/>
              <w:ind w:left="0"/>
              <w:rPr>
                <w:rFonts w:ascii="Arial Narrow" w:hAnsi="Arial Narrow"/>
                <w:bCs/>
                <w:sz w:val="20"/>
              </w:rPr>
            </w:pPr>
            <w:r w:rsidRPr="004932AF">
              <w:rPr>
                <w:rFonts w:ascii="Arial Narrow" w:hAnsi="Arial Narrow"/>
                <w:bCs/>
                <w:sz w:val="20"/>
              </w:rPr>
              <w:t>Protocols for breast cancer containing cyclophosphamide (e.g. CMF, CEF, or CAF)</w:t>
            </w:r>
          </w:p>
        </w:tc>
        <w:tc>
          <w:tcPr>
            <w:tcW w:w="1985" w:type="dxa"/>
            <w:tcBorders>
              <w:top w:val="single" w:sz="2" w:space="0" w:color="auto"/>
            </w:tcBorders>
          </w:tcPr>
          <w:p w14:paraId="1CADE158" w14:textId="2611C4DA" w:rsidR="00253054" w:rsidRPr="00C156A5" w:rsidRDefault="004932AF" w:rsidP="00C63AC7">
            <w:pPr>
              <w:pStyle w:val="Caption"/>
              <w:spacing w:after="0"/>
              <w:ind w:left="0"/>
              <w:rPr>
                <w:b w:val="0"/>
              </w:rPr>
            </w:pPr>
            <w:r>
              <w:rPr>
                <w:b w:val="0"/>
              </w:rPr>
              <w:t xml:space="preserve">Women </w:t>
            </w:r>
            <w:r w:rsidR="003B42B2">
              <w:rPr>
                <w:b w:val="0"/>
              </w:rPr>
              <w:t>&lt;</w:t>
            </w:r>
            <w:r>
              <w:rPr>
                <w:b w:val="0"/>
              </w:rPr>
              <w:t>30 years old</w:t>
            </w:r>
          </w:p>
        </w:tc>
        <w:tc>
          <w:tcPr>
            <w:tcW w:w="2835" w:type="dxa"/>
            <w:tcBorders>
              <w:top w:val="single" w:sz="2" w:space="0" w:color="auto"/>
              <w:right w:val="single" w:sz="4" w:space="0" w:color="auto"/>
            </w:tcBorders>
          </w:tcPr>
          <w:p w14:paraId="55AABFB0" w14:textId="6CF034AB" w:rsidR="00253054" w:rsidRPr="00C156A5" w:rsidRDefault="004932AF" w:rsidP="00C63AC7">
            <w:pPr>
              <w:pStyle w:val="Caption"/>
              <w:spacing w:after="0"/>
              <w:ind w:left="0"/>
              <w:rPr>
                <w:b w:val="0"/>
              </w:rPr>
            </w:pPr>
            <w:r>
              <w:rPr>
                <w:b w:val="0"/>
              </w:rPr>
              <w:t>Breast cancer</w:t>
            </w:r>
          </w:p>
        </w:tc>
      </w:tr>
      <w:tr w:rsidR="00253054" w:rsidRPr="00C156A5" w14:paraId="18E02287" w14:textId="77777777" w:rsidTr="000740A9">
        <w:tc>
          <w:tcPr>
            <w:tcW w:w="1848" w:type="dxa"/>
            <w:tcBorders>
              <w:top w:val="nil"/>
              <w:left w:val="single" w:sz="4" w:space="0" w:color="auto"/>
              <w:bottom w:val="single" w:sz="4" w:space="0" w:color="auto"/>
              <w:right w:val="single" w:sz="4" w:space="0" w:color="auto"/>
            </w:tcBorders>
          </w:tcPr>
          <w:p w14:paraId="5BE053DC" w14:textId="77777777" w:rsidR="00253054" w:rsidRDefault="00253054" w:rsidP="000740A9">
            <w:pPr>
              <w:pStyle w:val="Caption"/>
              <w:spacing w:after="0"/>
              <w:ind w:left="0"/>
              <w:rPr>
                <w:b w:val="0"/>
              </w:rPr>
            </w:pPr>
          </w:p>
        </w:tc>
        <w:tc>
          <w:tcPr>
            <w:tcW w:w="2341" w:type="dxa"/>
            <w:tcBorders>
              <w:top w:val="single" w:sz="2" w:space="0" w:color="auto"/>
              <w:left w:val="single" w:sz="4" w:space="0" w:color="auto"/>
              <w:bottom w:val="single" w:sz="4" w:space="0" w:color="auto"/>
            </w:tcBorders>
          </w:tcPr>
          <w:p w14:paraId="47FE1190" w14:textId="1FD190C9" w:rsidR="00253054" w:rsidRPr="004932AF" w:rsidRDefault="004932AF" w:rsidP="004932AF">
            <w:pPr>
              <w:autoSpaceDE w:val="0"/>
              <w:autoSpaceDN w:val="0"/>
              <w:adjustRightInd w:val="0"/>
              <w:spacing w:after="0" w:line="240" w:lineRule="auto"/>
              <w:rPr>
                <w:rFonts w:ascii="Arial Narrow" w:hAnsi="Arial Narrow"/>
                <w:bCs/>
                <w:sz w:val="20"/>
              </w:rPr>
            </w:pPr>
            <w:r w:rsidRPr="004932AF">
              <w:rPr>
                <w:rFonts w:ascii="Arial Narrow" w:hAnsi="Arial Narrow"/>
                <w:bCs/>
                <w:sz w:val="20"/>
              </w:rPr>
              <w:t>Anthracycline + cytarabine</w:t>
            </w:r>
          </w:p>
        </w:tc>
        <w:tc>
          <w:tcPr>
            <w:tcW w:w="1985" w:type="dxa"/>
            <w:tcBorders>
              <w:top w:val="single" w:sz="2" w:space="0" w:color="auto"/>
              <w:bottom w:val="single" w:sz="4" w:space="0" w:color="auto"/>
            </w:tcBorders>
          </w:tcPr>
          <w:p w14:paraId="78F497B4" w14:textId="3D1B5BDC" w:rsidR="00253054" w:rsidRPr="00C156A5" w:rsidRDefault="001F21D0" w:rsidP="00C63AC7">
            <w:pPr>
              <w:pStyle w:val="Caption"/>
              <w:spacing w:after="0"/>
              <w:ind w:left="0"/>
              <w:rPr>
                <w:b w:val="0"/>
              </w:rPr>
            </w:pPr>
            <w:r>
              <w:rPr>
                <w:b w:val="0"/>
              </w:rPr>
              <w:t>-</w:t>
            </w:r>
          </w:p>
        </w:tc>
        <w:tc>
          <w:tcPr>
            <w:tcW w:w="2835" w:type="dxa"/>
            <w:tcBorders>
              <w:top w:val="single" w:sz="2" w:space="0" w:color="auto"/>
              <w:bottom w:val="single" w:sz="4" w:space="0" w:color="auto"/>
              <w:right w:val="single" w:sz="4" w:space="0" w:color="auto"/>
            </w:tcBorders>
          </w:tcPr>
          <w:p w14:paraId="5A6CBECA" w14:textId="0E320EDB" w:rsidR="00253054" w:rsidRPr="00C156A5" w:rsidRDefault="004932AF" w:rsidP="00C63AC7">
            <w:pPr>
              <w:pStyle w:val="Caption"/>
              <w:spacing w:after="0"/>
              <w:ind w:left="0"/>
              <w:rPr>
                <w:b w:val="0"/>
              </w:rPr>
            </w:pPr>
            <w:r>
              <w:rPr>
                <w:b w:val="0"/>
              </w:rPr>
              <w:t>Acute myeloid leukaemia</w:t>
            </w:r>
          </w:p>
        </w:tc>
      </w:tr>
      <w:tr w:rsidR="00193212" w:rsidRPr="00C156A5" w14:paraId="41ED9955" w14:textId="77777777" w:rsidTr="000740A9">
        <w:tc>
          <w:tcPr>
            <w:tcW w:w="1848" w:type="dxa"/>
            <w:tcBorders>
              <w:top w:val="single" w:sz="4" w:space="0" w:color="auto"/>
              <w:left w:val="single" w:sz="4" w:space="0" w:color="auto"/>
              <w:bottom w:val="nil"/>
              <w:right w:val="single" w:sz="4" w:space="0" w:color="auto"/>
            </w:tcBorders>
          </w:tcPr>
          <w:p w14:paraId="5B561FB3" w14:textId="53203036" w:rsidR="00193212" w:rsidRDefault="00193212" w:rsidP="000740A9">
            <w:pPr>
              <w:pStyle w:val="Caption"/>
              <w:spacing w:after="0"/>
              <w:ind w:left="0"/>
              <w:rPr>
                <w:b w:val="0"/>
              </w:rPr>
            </w:pPr>
            <w:r>
              <w:rPr>
                <w:b w:val="0"/>
              </w:rPr>
              <w:t>Very low / no risk of amenorrhea (negligible)</w:t>
            </w:r>
          </w:p>
        </w:tc>
        <w:tc>
          <w:tcPr>
            <w:tcW w:w="2341" w:type="dxa"/>
            <w:tcBorders>
              <w:top w:val="single" w:sz="4" w:space="0" w:color="auto"/>
              <w:left w:val="single" w:sz="4" w:space="0" w:color="auto"/>
            </w:tcBorders>
          </w:tcPr>
          <w:p w14:paraId="120AF530" w14:textId="47857F1D" w:rsidR="00193212" w:rsidRPr="00C156A5" w:rsidRDefault="004932AF" w:rsidP="00C63AC7">
            <w:pPr>
              <w:pStyle w:val="Caption"/>
              <w:spacing w:after="0"/>
              <w:ind w:left="0"/>
              <w:rPr>
                <w:b w:val="0"/>
              </w:rPr>
            </w:pPr>
            <w:r w:rsidRPr="004932AF">
              <w:rPr>
                <w:b w:val="0"/>
              </w:rPr>
              <w:t>Multi-agent therapies using vincristine</w:t>
            </w:r>
          </w:p>
        </w:tc>
        <w:tc>
          <w:tcPr>
            <w:tcW w:w="1985" w:type="dxa"/>
            <w:tcBorders>
              <w:top w:val="single" w:sz="4" w:space="0" w:color="auto"/>
            </w:tcBorders>
          </w:tcPr>
          <w:p w14:paraId="496D0023" w14:textId="43EB9A62" w:rsidR="00193212" w:rsidRPr="00C156A5" w:rsidRDefault="00C63AC7" w:rsidP="00C63AC7">
            <w:pPr>
              <w:pStyle w:val="Caption"/>
              <w:spacing w:after="0"/>
              <w:ind w:left="0"/>
              <w:rPr>
                <w:b w:val="0"/>
              </w:rPr>
            </w:pPr>
            <w:r>
              <w:rPr>
                <w:b w:val="0"/>
              </w:rPr>
              <w:t>-</w:t>
            </w:r>
          </w:p>
        </w:tc>
        <w:tc>
          <w:tcPr>
            <w:tcW w:w="2835" w:type="dxa"/>
            <w:tcBorders>
              <w:top w:val="single" w:sz="4" w:space="0" w:color="auto"/>
              <w:right w:val="single" w:sz="4" w:space="0" w:color="auto"/>
            </w:tcBorders>
          </w:tcPr>
          <w:p w14:paraId="75AB266A" w14:textId="49E0FF8B" w:rsidR="00193212" w:rsidRPr="00C156A5" w:rsidRDefault="004932AF" w:rsidP="00C63AC7">
            <w:pPr>
              <w:pStyle w:val="Caption"/>
              <w:spacing w:after="0"/>
              <w:ind w:left="0"/>
              <w:rPr>
                <w:b w:val="0"/>
              </w:rPr>
            </w:pPr>
            <w:r>
              <w:rPr>
                <w:b w:val="0"/>
              </w:rPr>
              <w:t>Leukaemia, Lymphoma, Breast cancer, Lung cancer</w:t>
            </w:r>
          </w:p>
        </w:tc>
      </w:tr>
      <w:tr w:rsidR="00253054" w:rsidRPr="00C156A5" w14:paraId="0E833718" w14:textId="77777777" w:rsidTr="00C63AC7">
        <w:tc>
          <w:tcPr>
            <w:tcW w:w="1848" w:type="dxa"/>
            <w:tcBorders>
              <w:top w:val="nil"/>
              <w:left w:val="single" w:sz="4" w:space="0" w:color="auto"/>
              <w:bottom w:val="single" w:sz="4" w:space="0" w:color="auto"/>
              <w:right w:val="single" w:sz="4" w:space="0" w:color="auto"/>
            </w:tcBorders>
          </w:tcPr>
          <w:p w14:paraId="55D5C421" w14:textId="77777777" w:rsidR="00253054" w:rsidRDefault="00253054" w:rsidP="000740A9">
            <w:pPr>
              <w:pStyle w:val="Caption"/>
              <w:spacing w:after="0"/>
              <w:ind w:left="0"/>
              <w:rPr>
                <w:b w:val="0"/>
              </w:rPr>
            </w:pPr>
          </w:p>
        </w:tc>
        <w:tc>
          <w:tcPr>
            <w:tcW w:w="2341" w:type="dxa"/>
            <w:tcBorders>
              <w:top w:val="single" w:sz="2" w:space="0" w:color="auto"/>
              <w:left w:val="single" w:sz="4" w:space="0" w:color="auto"/>
              <w:bottom w:val="single" w:sz="4" w:space="0" w:color="auto"/>
            </w:tcBorders>
          </w:tcPr>
          <w:p w14:paraId="04D1FE7C" w14:textId="76FDC2AA" w:rsidR="00253054" w:rsidRPr="00C156A5" w:rsidRDefault="004932AF" w:rsidP="00C63AC7">
            <w:pPr>
              <w:pStyle w:val="Caption"/>
              <w:spacing w:after="0"/>
              <w:ind w:left="0"/>
              <w:rPr>
                <w:b w:val="0"/>
              </w:rPr>
            </w:pPr>
            <w:r w:rsidRPr="004932AF">
              <w:rPr>
                <w:b w:val="0"/>
              </w:rPr>
              <w:t>Radioactive iodine</w:t>
            </w:r>
          </w:p>
        </w:tc>
        <w:tc>
          <w:tcPr>
            <w:tcW w:w="1985" w:type="dxa"/>
            <w:tcBorders>
              <w:top w:val="single" w:sz="2" w:space="0" w:color="auto"/>
              <w:bottom w:val="single" w:sz="4" w:space="0" w:color="auto"/>
            </w:tcBorders>
          </w:tcPr>
          <w:p w14:paraId="071C7C05" w14:textId="5B3ED656" w:rsidR="00253054" w:rsidRPr="00C156A5" w:rsidRDefault="001F21D0" w:rsidP="00C63AC7">
            <w:pPr>
              <w:pStyle w:val="Caption"/>
              <w:spacing w:after="0"/>
              <w:ind w:left="0"/>
              <w:rPr>
                <w:b w:val="0"/>
              </w:rPr>
            </w:pPr>
            <w:r>
              <w:rPr>
                <w:b w:val="0"/>
              </w:rPr>
              <w:t>-</w:t>
            </w:r>
          </w:p>
        </w:tc>
        <w:tc>
          <w:tcPr>
            <w:tcW w:w="2835" w:type="dxa"/>
            <w:tcBorders>
              <w:top w:val="single" w:sz="2" w:space="0" w:color="auto"/>
              <w:bottom w:val="single" w:sz="4" w:space="0" w:color="auto"/>
              <w:right w:val="single" w:sz="12" w:space="0" w:color="auto"/>
            </w:tcBorders>
          </w:tcPr>
          <w:p w14:paraId="6ACE7C4B" w14:textId="57B8584D" w:rsidR="00253054" w:rsidRPr="00C156A5" w:rsidRDefault="004932AF" w:rsidP="00C63AC7">
            <w:pPr>
              <w:pStyle w:val="Caption"/>
              <w:spacing w:after="0"/>
              <w:ind w:left="0"/>
              <w:rPr>
                <w:b w:val="0"/>
              </w:rPr>
            </w:pPr>
            <w:r>
              <w:rPr>
                <w:b w:val="0"/>
              </w:rPr>
              <w:t>Thyroid cancer</w:t>
            </w:r>
          </w:p>
        </w:tc>
      </w:tr>
      <w:tr w:rsidR="00193212" w:rsidRPr="00C156A5" w14:paraId="6934DA0B" w14:textId="77777777" w:rsidTr="00C63AC7">
        <w:tc>
          <w:tcPr>
            <w:tcW w:w="1848" w:type="dxa"/>
            <w:tcBorders>
              <w:top w:val="single" w:sz="4" w:space="0" w:color="auto"/>
              <w:left w:val="single" w:sz="4" w:space="0" w:color="auto"/>
              <w:bottom w:val="single" w:sz="4" w:space="0" w:color="auto"/>
              <w:right w:val="single" w:sz="4" w:space="0" w:color="auto"/>
            </w:tcBorders>
          </w:tcPr>
          <w:p w14:paraId="59473CBC" w14:textId="2B9DBDAD" w:rsidR="00193212" w:rsidRDefault="00193212" w:rsidP="000740A9">
            <w:pPr>
              <w:pStyle w:val="Caption"/>
              <w:spacing w:after="0"/>
              <w:ind w:left="0"/>
              <w:rPr>
                <w:b w:val="0"/>
              </w:rPr>
            </w:pPr>
            <w:r>
              <w:rPr>
                <w:b w:val="0"/>
              </w:rPr>
              <w:t>Unknown risk of amenorrhea</w:t>
            </w:r>
          </w:p>
        </w:tc>
        <w:tc>
          <w:tcPr>
            <w:tcW w:w="2341" w:type="dxa"/>
            <w:tcBorders>
              <w:top w:val="single" w:sz="4" w:space="0" w:color="auto"/>
              <w:left w:val="single" w:sz="4" w:space="0" w:color="auto"/>
            </w:tcBorders>
          </w:tcPr>
          <w:p w14:paraId="1CF1D67C" w14:textId="5F8B847F" w:rsidR="00193212" w:rsidRPr="00C156A5" w:rsidRDefault="004932AF" w:rsidP="00C63AC7">
            <w:pPr>
              <w:autoSpaceDE w:val="0"/>
              <w:autoSpaceDN w:val="0"/>
              <w:adjustRightInd w:val="0"/>
              <w:spacing w:after="0" w:line="240" w:lineRule="auto"/>
              <w:ind w:left="0"/>
              <w:rPr>
                <w:b/>
              </w:rPr>
            </w:pPr>
            <w:r w:rsidRPr="004932AF">
              <w:rPr>
                <w:rFonts w:ascii="Arial Narrow" w:hAnsi="Arial Narrow"/>
                <w:bCs/>
                <w:sz w:val="20"/>
              </w:rPr>
              <w:t xml:space="preserve">Monoclonal Antibodies (e.g., Cetuximab (Erbitux), </w:t>
            </w:r>
            <w:r>
              <w:rPr>
                <w:rFonts w:ascii="Arial Narrow" w:hAnsi="Arial Narrow"/>
                <w:bCs/>
                <w:sz w:val="20"/>
              </w:rPr>
              <w:t>T</w:t>
            </w:r>
            <w:r w:rsidRPr="004932AF">
              <w:rPr>
                <w:rFonts w:ascii="Arial Narrow" w:hAnsi="Arial Narrow"/>
                <w:bCs/>
                <w:sz w:val="20"/>
              </w:rPr>
              <w:t>rastuzamab</w:t>
            </w:r>
            <w:r>
              <w:rPr>
                <w:rFonts w:ascii="Arial Narrow" w:hAnsi="Arial Narrow"/>
                <w:bCs/>
                <w:sz w:val="20"/>
              </w:rPr>
              <w:t xml:space="preserve"> </w:t>
            </w:r>
            <w:r w:rsidRPr="004932AF">
              <w:rPr>
                <w:rFonts w:ascii="Arial Narrow" w:hAnsi="Arial Narrow"/>
                <w:bCs/>
                <w:sz w:val="20"/>
              </w:rPr>
              <w:t>(Herceptin))</w:t>
            </w:r>
          </w:p>
        </w:tc>
        <w:tc>
          <w:tcPr>
            <w:tcW w:w="1985" w:type="dxa"/>
            <w:tcBorders>
              <w:top w:val="single" w:sz="4" w:space="0" w:color="auto"/>
            </w:tcBorders>
          </w:tcPr>
          <w:p w14:paraId="04BE12E4" w14:textId="14B183ED" w:rsidR="00193212" w:rsidRPr="00C156A5" w:rsidRDefault="001F21D0" w:rsidP="00C63AC7">
            <w:pPr>
              <w:pStyle w:val="Caption"/>
              <w:spacing w:after="0"/>
              <w:ind w:left="0"/>
              <w:rPr>
                <w:b w:val="0"/>
              </w:rPr>
            </w:pPr>
            <w:r>
              <w:rPr>
                <w:b w:val="0"/>
              </w:rPr>
              <w:t>-</w:t>
            </w:r>
          </w:p>
        </w:tc>
        <w:tc>
          <w:tcPr>
            <w:tcW w:w="2835" w:type="dxa"/>
            <w:tcBorders>
              <w:top w:val="single" w:sz="4" w:space="0" w:color="auto"/>
              <w:right w:val="single" w:sz="4" w:space="0" w:color="auto"/>
            </w:tcBorders>
          </w:tcPr>
          <w:p w14:paraId="0AE75F04" w14:textId="562075E3" w:rsidR="00193212" w:rsidRPr="00C156A5" w:rsidRDefault="004932AF" w:rsidP="00C63AC7">
            <w:pPr>
              <w:pStyle w:val="Caption"/>
              <w:spacing w:after="0"/>
              <w:ind w:left="0"/>
              <w:rPr>
                <w:b w:val="0"/>
              </w:rPr>
            </w:pPr>
            <w:r>
              <w:rPr>
                <w:b w:val="0"/>
              </w:rPr>
              <w:t>Colon cancer, Non-small-cell lung cancer, head and neck cancer, breast cancer</w:t>
            </w:r>
          </w:p>
        </w:tc>
      </w:tr>
      <w:tr w:rsidR="00253054" w:rsidRPr="00C156A5" w14:paraId="291C1B1D" w14:textId="77777777" w:rsidTr="00C63AC7">
        <w:tc>
          <w:tcPr>
            <w:tcW w:w="1848" w:type="dxa"/>
            <w:tcBorders>
              <w:top w:val="single" w:sz="4" w:space="0" w:color="auto"/>
              <w:left w:val="single" w:sz="4" w:space="0" w:color="auto"/>
              <w:bottom w:val="single" w:sz="4" w:space="0" w:color="auto"/>
              <w:right w:val="single" w:sz="4" w:space="0" w:color="auto"/>
            </w:tcBorders>
          </w:tcPr>
          <w:p w14:paraId="56664DB2" w14:textId="77777777" w:rsidR="00253054" w:rsidRDefault="00253054" w:rsidP="000740A9">
            <w:pPr>
              <w:pStyle w:val="Caption"/>
              <w:spacing w:after="0"/>
              <w:ind w:left="0"/>
              <w:rPr>
                <w:b w:val="0"/>
              </w:rPr>
            </w:pPr>
          </w:p>
        </w:tc>
        <w:tc>
          <w:tcPr>
            <w:tcW w:w="2341" w:type="dxa"/>
            <w:tcBorders>
              <w:left w:val="single" w:sz="4" w:space="0" w:color="auto"/>
              <w:bottom w:val="single" w:sz="4" w:space="0" w:color="auto"/>
            </w:tcBorders>
          </w:tcPr>
          <w:p w14:paraId="2DBF94EF" w14:textId="0FDD10FD" w:rsidR="00253054" w:rsidRPr="004932AF" w:rsidRDefault="004932AF" w:rsidP="00C63AC7">
            <w:pPr>
              <w:autoSpaceDE w:val="0"/>
              <w:autoSpaceDN w:val="0"/>
              <w:adjustRightInd w:val="0"/>
              <w:spacing w:after="0" w:line="240" w:lineRule="auto"/>
              <w:ind w:left="0"/>
              <w:rPr>
                <w:rFonts w:ascii="Arial Narrow" w:hAnsi="Arial Narrow"/>
                <w:bCs/>
                <w:sz w:val="20"/>
              </w:rPr>
            </w:pPr>
            <w:r w:rsidRPr="004932AF">
              <w:rPr>
                <w:rFonts w:ascii="Arial Narrow" w:hAnsi="Arial Narrow"/>
                <w:bCs/>
                <w:sz w:val="20"/>
              </w:rPr>
              <w:t>Tyrosine kinase inhibitors (e.g., Erlotinib (Tarceva), Imatinib (Gleevec))</w:t>
            </w:r>
          </w:p>
        </w:tc>
        <w:tc>
          <w:tcPr>
            <w:tcW w:w="1985" w:type="dxa"/>
            <w:tcBorders>
              <w:bottom w:val="single" w:sz="4" w:space="0" w:color="auto"/>
            </w:tcBorders>
          </w:tcPr>
          <w:p w14:paraId="29C1648D" w14:textId="791ED70A" w:rsidR="00253054" w:rsidRPr="00C156A5" w:rsidRDefault="001F21D0" w:rsidP="00C63AC7">
            <w:pPr>
              <w:pStyle w:val="Caption"/>
              <w:spacing w:after="0"/>
              <w:ind w:left="0"/>
              <w:rPr>
                <w:b w:val="0"/>
              </w:rPr>
            </w:pPr>
            <w:r>
              <w:rPr>
                <w:b w:val="0"/>
              </w:rPr>
              <w:t>-</w:t>
            </w:r>
          </w:p>
        </w:tc>
        <w:tc>
          <w:tcPr>
            <w:tcW w:w="2835" w:type="dxa"/>
            <w:tcBorders>
              <w:bottom w:val="single" w:sz="4" w:space="0" w:color="auto"/>
              <w:right w:val="single" w:sz="4" w:space="0" w:color="auto"/>
            </w:tcBorders>
          </w:tcPr>
          <w:p w14:paraId="7B3B32E3" w14:textId="17A92D63" w:rsidR="00253054" w:rsidRPr="00C156A5" w:rsidRDefault="004932AF" w:rsidP="0064098D">
            <w:pPr>
              <w:pStyle w:val="Caption"/>
              <w:spacing w:after="0"/>
              <w:ind w:left="0"/>
              <w:rPr>
                <w:b w:val="0"/>
              </w:rPr>
            </w:pPr>
            <w:r>
              <w:rPr>
                <w:b w:val="0"/>
              </w:rPr>
              <w:t>Non-small-cell lung cancer, pancreatic cancer, chronic myeloid leukaemia, gastrointestinal stromal tumours</w:t>
            </w:r>
          </w:p>
        </w:tc>
      </w:tr>
    </w:tbl>
    <w:p w14:paraId="31FE0F5A" w14:textId="66C58449" w:rsidR="00C23CFB" w:rsidRPr="000740A9" w:rsidRDefault="00C23CFB" w:rsidP="000740A9">
      <w:pPr>
        <w:pStyle w:val="TableNotes1"/>
        <w:spacing w:after="0"/>
        <w:rPr>
          <w:sz w:val="18"/>
          <w:szCs w:val="18"/>
        </w:rPr>
      </w:pPr>
      <w:r w:rsidRPr="000740A9">
        <w:rPr>
          <w:sz w:val="18"/>
          <w:szCs w:val="18"/>
        </w:rPr>
        <w:t xml:space="preserve">ABVD = </w:t>
      </w:r>
      <w:r w:rsidR="00FB3A95">
        <w:rPr>
          <w:sz w:val="18"/>
          <w:szCs w:val="18"/>
        </w:rPr>
        <w:t>adriamycin, bleomycin, vinblastine,</w:t>
      </w:r>
      <w:r w:rsidR="00010BE0" w:rsidRPr="000740A9">
        <w:rPr>
          <w:sz w:val="18"/>
          <w:szCs w:val="18"/>
        </w:rPr>
        <w:t xml:space="preserve"> dacarbazine;</w:t>
      </w:r>
      <w:r w:rsidRPr="000740A9">
        <w:rPr>
          <w:sz w:val="18"/>
          <w:szCs w:val="18"/>
        </w:rPr>
        <w:t xml:space="preserve"> AC = </w:t>
      </w:r>
      <w:r w:rsidR="00FB3A95">
        <w:rPr>
          <w:sz w:val="18"/>
          <w:szCs w:val="18"/>
        </w:rPr>
        <w:t>adriamycin,</w:t>
      </w:r>
      <w:r w:rsidR="00010BE0" w:rsidRPr="000740A9">
        <w:rPr>
          <w:sz w:val="18"/>
          <w:szCs w:val="18"/>
        </w:rPr>
        <w:t xml:space="preserve"> cyclophosphamide;</w:t>
      </w:r>
      <w:r w:rsidRPr="000740A9">
        <w:rPr>
          <w:sz w:val="18"/>
          <w:szCs w:val="18"/>
        </w:rPr>
        <w:t xml:space="preserve"> BEACOPP = </w:t>
      </w:r>
      <w:r w:rsidR="00FB3A95">
        <w:rPr>
          <w:sz w:val="18"/>
          <w:szCs w:val="18"/>
        </w:rPr>
        <w:t>bleomycin, etoposide, a</w:t>
      </w:r>
      <w:r w:rsidR="00010BE0" w:rsidRPr="000740A9">
        <w:rPr>
          <w:sz w:val="18"/>
          <w:szCs w:val="18"/>
        </w:rPr>
        <w:t>driamycin, cyclophosphamide, oncovin, procarbazine, prednisone;</w:t>
      </w:r>
      <w:r w:rsidRPr="000740A9">
        <w:rPr>
          <w:sz w:val="18"/>
          <w:szCs w:val="18"/>
        </w:rPr>
        <w:t xml:space="preserve"> CAF = </w:t>
      </w:r>
      <w:r w:rsidR="00FB3A95">
        <w:rPr>
          <w:sz w:val="18"/>
          <w:szCs w:val="18"/>
        </w:rPr>
        <w:t>c</w:t>
      </w:r>
      <w:r w:rsidR="00010BE0" w:rsidRPr="000740A9">
        <w:rPr>
          <w:sz w:val="18"/>
          <w:szCs w:val="18"/>
        </w:rPr>
        <w:t>yclophosphamide, doxorubicine, 5-fluorouracil;</w:t>
      </w:r>
      <w:r w:rsidRPr="000740A9">
        <w:rPr>
          <w:sz w:val="18"/>
          <w:szCs w:val="18"/>
        </w:rPr>
        <w:t xml:space="preserve"> </w:t>
      </w:r>
      <w:r w:rsidR="00FB3A95">
        <w:rPr>
          <w:sz w:val="18"/>
          <w:szCs w:val="18"/>
        </w:rPr>
        <w:t>CEF = c</w:t>
      </w:r>
      <w:r w:rsidR="00010BE0" w:rsidRPr="000740A9">
        <w:rPr>
          <w:sz w:val="18"/>
          <w:szCs w:val="18"/>
        </w:rPr>
        <w:t>yclophosphamide, epirubicin</w:t>
      </w:r>
      <w:r w:rsidRPr="000740A9">
        <w:rPr>
          <w:sz w:val="18"/>
          <w:szCs w:val="18"/>
        </w:rPr>
        <w:t>,</w:t>
      </w:r>
      <w:r w:rsidR="00010BE0" w:rsidRPr="000740A9">
        <w:rPr>
          <w:sz w:val="18"/>
          <w:szCs w:val="18"/>
        </w:rPr>
        <w:t xml:space="preserve"> 5-fluorouracil;</w:t>
      </w:r>
      <w:r w:rsidRPr="000740A9">
        <w:rPr>
          <w:sz w:val="18"/>
          <w:szCs w:val="18"/>
        </w:rPr>
        <w:t xml:space="preserve"> CHOP = </w:t>
      </w:r>
      <w:r w:rsidR="00010BE0" w:rsidRPr="000740A9">
        <w:rPr>
          <w:sz w:val="18"/>
          <w:szCs w:val="18"/>
        </w:rPr>
        <w:t>cyclophosphamide, hydroxydaunorubicin, oncovin, prednisone/prednisolone; CMF =</w:t>
      </w:r>
      <w:r w:rsidR="00FB3A95">
        <w:rPr>
          <w:sz w:val="18"/>
          <w:szCs w:val="18"/>
        </w:rPr>
        <w:t xml:space="preserve"> c</w:t>
      </w:r>
      <w:r w:rsidR="00650DE8" w:rsidRPr="000740A9">
        <w:rPr>
          <w:sz w:val="18"/>
          <w:szCs w:val="18"/>
        </w:rPr>
        <w:t>yclophosphamide, methotrexate, 5-fluorouracil;</w:t>
      </w:r>
      <w:r w:rsidRPr="000740A9">
        <w:rPr>
          <w:sz w:val="18"/>
          <w:szCs w:val="18"/>
        </w:rPr>
        <w:t xml:space="preserve"> COP = </w:t>
      </w:r>
      <w:r w:rsidR="00650DE8" w:rsidRPr="000740A9">
        <w:rPr>
          <w:sz w:val="18"/>
          <w:szCs w:val="18"/>
        </w:rPr>
        <w:t xml:space="preserve">cyclophosphamide, vincristine, prednisone; FOLFOX = folinic acid, fluorouracil, oxaliplatin; </w:t>
      </w:r>
      <w:r w:rsidR="00010BE0" w:rsidRPr="000740A9">
        <w:rPr>
          <w:sz w:val="18"/>
          <w:szCs w:val="18"/>
        </w:rPr>
        <w:t>HSCT = haematopoietic stem cell transplant; MOPP = mustargen, oncovin, procarbazine, prednisone;</w:t>
      </w:r>
      <w:r w:rsidR="00650DE8" w:rsidRPr="000740A9">
        <w:rPr>
          <w:sz w:val="18"/>
          <w:szCs w:val="18"/>
        </w:rPr>
        <w:t xml:space="preserve"> TBI</w:t>
      </w:r>
      <w:r w:rsidR="00010BE0" w:rsidRPr="000740A9">
        <w:rPr>
          <w:sz w:val="18"/>
          <w:szCs w:val="18"/>
        </w:rPr>
        <w:t xml:space="preserve"> =</w:t>
      </w:r>
      <w:r w:rsidR="00650DE8" w:rsidRPr="000740A9">
        <w:rPr>
          <w:sz w:val="18"/>
          <w:szCs w:val="18"/>
        </w:rPr>
        <w:t xml:space="preserve"> total body</w:t>
      </w:r>
      <w:r w:rsidR="00650DE8" w:rsidRPr="000740A9">
        <w:rPr>
          <w:bCs/>
          <w:sz w:val="18"/>
          <w:szCs w:val="18"/>
        </w:rPr>
        <w:t xml:space="preserve"> irradiation</w:t>
      </w:r>
    </w:p>
    <w:p w14:paraId="10BAC7F4" w14:textId="2FDD42C9" w:rsidR="00C156A5" w:rsidRPr="000740A9" w:rsidRDefault="000F649F" w:rsidP="000F649F">
      <w:pPr>
        <w:pStyle w:val="Tabletext1"/>
        <w:rPr>
          <w:sz w:val="18"/>
          <w:szCs w:val="18"/>
        </w:rPr>
      </w:pPr>
      <w:r w:rsidRPr="000740A9">
        <w:rPr>
          <w:sz w:val="18"/>
          <w:szCs w:val="18"/>
        </w:rPr>
        <w:t xml:space="preserve">Source: </w:t>
      </w:r>
      <w:r w:rsidR="00A109BA" w:rsidRPr="000740A9">
        <w:rPr>
          <w:sz w:val="18"/>
          <w:szCs w:val="18"/>
        </w:rPr>
        <w:fldChar w:fldCharType="begin">
          <w:fldData xml:space="preserve">PEVuZE5vdGU+PENpdGU+PEF1dGhvcj5Mb3JlbjwvQXV0aG9yPjxZZWFyPjIwMTM8L1llYXI+PFJl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</w:fldData>
        </w:fldChar>
      </w:r>
      <w:r w:rsidR="00577E24" w:rsidRPr="000740A9">
        <w:rPr>
          <w:sz w:val="18"/>
          <w:szCs w:val="18"/>
        </w:rPr>
        <w:instrText xml:space="preserve"> ADDIN EN.CITE </w:instrText>
      </w:r>
      <w:r w:rsidR="00577E24" w:rsidRPr="000740A9">
        <w:rPr>
          <w:sz w:val="18"/>
          <w:szCs w:val="18"/>
        </w:rPr>
        <w:fldChar w:fldCharType="begin">
          <w:fldData xml:space="preserve">PEVuZE5vdGU+PENpdGU+PEF1dGhvcj5Mb3JlbjwvQXV0aG9yPjxZZWFyPjIwMTM8L1llYXI+PFJl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</w:fldData>
        </w:fldChar>
      </w:r>
      <w:r w:rsidR="00577E24" w:rsidRPr="000740A9">
        <w:rPr>
          <w:sz w:val="18"/>
          <w:szCs w:val="18"/>
        </w:rPr>
        <w:instrText xml:space="preserve"> ADDIN EN.CITE.DATA </w:instrText>
      </w:r>
      <w:r w:rsidR="00577E24" w:rsidRPr="000740A9">
        <w:rPr>
          <w:sz w:val="18"/>
          <w:szCs w:val="18"/>
        </w:rPr>
      </w:r>
      <w:r w:rsidR="00577E24" w:rsidRPr="000740A9">
        <w:rPr>
          <w:sz w:val="18"/>
          <w:szCs w:val="18"/>
        </w:rPr>
        <w:fldChar w:fldCharType="end"/>
      </w:r>
      <w:r w:rsidR="00A109BA" w:rsidRPr="000740A9">
        <w:rPr>
          <w:sz w:val="18"/>
          <w:szCs w:val="18"/>
        </w:rPr>
      </w:r>
      <w:r w:rsidR="00A109BA" w:rsidRPr="000740A9">
        <w:rPr>
          <w:sz w:val="18"/>
          <w:szCs w:val="18"/>
        </w:rPr>
        <w:fldChar w:fldCharType="separate"/>
      </w:r>
      <w:r w:rsidR="00A109BA" w:rsidRPr="000740A9">
        <w:rPr>
          <w:noProof/>
          <w:sz w:val="18"/>
          <w:szCs w:val="18"/>
        </w:rPr>
        <w:t>(</w:t>
      </w:r>
      <w:hyperlink w:anchor="_ENREF_39" w:tooltip="Loren, 2013 #236" w:history="1">
        <w:r w:rsidR="00835BA6" w:rsidRPr="000740A9">
          <w:rPr>
            <w:noProof/>
            <w:sz w:val="18"/>
            <w:szCs w:val="18"/>
          </w:rPr>
          <w:t>Loren et al. 2013</w:t>
        </w:r>
      </w:hyperlink>
      <w:r w:rsidR="00A109BA" w:rsidRPr="000740A9">
        <w:rPr>
          <w:noProof/>
          <w:sz w:val="18"/>
          <w:szCs w:val="18"/>
        </w:rPr>
        <w:t>)</w:t>
      </w:r>
      <w:r w:rsidR="00A109BA" w:rsidRPr="000740A9">
        <w:rPr>
          <w:sz w:val="18"/>
          <w:szCs w:val="18"/>
        </w:rPr>
        <w:fldChar w:fldCharType="end"/>
      </w:r>
    </w:p>
    <w:p w14:paraId="730433FB" w14:textId="77777777" w:rsidR="00780EDF" w:rsidRDefault="00780EDF" w:rsidP="00953CF0">
      <w:pPr>
        <w:pStyle w:val="Heading3"/>
      </w:pPr>
      <w:bookmarkStart w:id="116" w:name="_Toc502832901"/>
      <w:r>
        <w:t>Why gonadotoxic treatment is a concern</w:t>
      </w:r>
      <w:bookmarkEnd w:id="116"/>
    </w:p>
    <w:p w14:paraId="351FF37C" w14:textId="51DB27DC" w:rsidR="007518CF" w:rsidRDefault="00C36698" w:rsidP="00C36698">
      <w:pPr>
        <w:jc w:val="both"/>
      </w:pPr>
      <w:r>
        <w:t xml:space="preserve">Some women undergoing a gonadotoxic treatment </w:t>
      </w:r>
      <w:r w:rsidR="00780EDF">
        <w:t>will</w:t>
      </w:r>
      <w:r>
        <w:t xml:space="preserve"> be able to reproduce naturally. </w:t>
      </w:r>
      <w:r w:rsidR="00DF0446">
        <w:t>However, gonadotoxic treatments</w:t>
      </w:r>
      <w:r w:rsidR="002E75E6">
        <w:t>, e.g. alkylating agents,</w:t>
      </w:r>
      <w:r w:rsidR="00DF0446">
        <w:t xml:space="preserve"> can have two distinct effects on ovarian function, leading to infertility. The first effect is from immediate damage to the growing follicle population, characterised by amenorrhea during or immediately after treatment. Depending on the extent of </w:t>
      </w:r>
      <w:r w:rsidR="002E75E6">
        <w:t>primordial follicle loss</w:t>
      </w:r>
      <w:r w:rsidR="00DF0446">
        <w:t xml:space="preserve"> due to this treatment, prema</w:t>
      </w:r>
      <w:r w:rsidR="002E75E6">
        <w:t>ture ovarian insufficiency and continuation of</w:t>
      </w:r>
      <w:r w:rsidR="00DF0446">
        <w:t xml:space="preserve"> amenorrhea may occur at a later date. If </w:t>
      </w:r>
      <w:r w:rsidR="002E75E6">
        <w:t xml:space="preserve">a </w:t>
      </w:r>
      <w:r w:rsidR="00DF0446">
        <w:t xml:space="preserve">sufficient </w:t>
      </w:r>
      <w:r w:rsidR="002E75E6">
        <w:t>pool of follicles remains after</w:t>
      </w:r>
      <w:r w:rsidR="00DF0446">
        <w:t xml:space="preserve"> treatment, the population of growing follicles with be rep</w:t>
      </w:r>
      <w:r w:rsidR="00360433">
        <w:t xml:space="preserve">lenished and menses can resume </w:t>
      </w:r>
      <w:r w:rsidR="00A109BA">
        <w:fldChar w:fldCharType="begin"/>
      </w:r>
      <w:r w:rsidR="00577E24">
        <w:instrText xml:space="preserve"> ADDIN EN.CITE &lt;EndNote&gt;&lt;Cite&gt;&lt;Author&gt;Anderson&lt;/Author&gt;&lt;Year&gt;2013&lt;/Year&gt;&lt;RecNum&gt;31&lt;/RecNum&gt;&lt;IDText&gt;1469-75&lt;/IDText&gt;&lt;DisplayText&gt;(Anderson &amp;amp; Wallace 2013)&lt;/DisplayText&gt;&lt;record&gt;&lt;rec-number&gt;31&lt;/rec-number&gt;&lt;foreign-keys&gt;&lt;key app="EN" db-id="s2dftfxw1fvsr1efx58vfvxtvfwzxea0td02" timestamp="1511748063"&gt;31&lt;/key&gt;&lt;/foreign-keys&gt;&lt;ref-type name="Journal Article"&gt;17&lt;/ref-type&gt;&lt;contributors&gt;&lt;authors&gt;&lt;author&gt;Anderson, R. A.&lt;/author&gt;&lt;author&gt;Wallace, W. H.&lt;/author&gt;&lt;/authors&gt;&lt;/contributors&gt;&lt;auth-address&gt;Medical Research Council Centre for Reproductive Health, University of Edinburgh, Edinburgh, United Kingdom. richard.anderson@ed.ac.uk&lt;/auth-address&gt;&lt;titles&gt;&lt;title&gt;Antimullerian hormone, the assessment of the ovarian reserve, and the reproductive outcome of the young patient with cancer&lt;/title&gt;&lt;secondary-title&gt;Fertil Steril&lt;/secondary-title&gt;&lt;/titles&gt;&lt;periodical&gt;&lt;full-title&gt;Fertil Steril&lt;/full-title&gt;&lt;/periodical&gt;&lt;pages&gt;1469-75&lt;/pages&gt;&lt;volume&gt;99&lt;/volume&gt;&lt;number&gt;6&lt;/number&gt;&lt;keywords&gt;&lt;keyword&gt;Age Factors&lt;/keyword&gt;&lt;keyword&gt;Anti-Mullerian Hormone/blood/*physiology&lt;/keyword&gt;&lt;keyword&gt;Biomarkers/blood&lt;/keyword&gt;&lt;keyword&gt;Female&lt;/keyword&gt;&lt;keyword&gt;Humans&lt;/keyword&gt;&lt;keyword&gt;Infertility, Female/*blood/epidemiology/physiopathology&lt;/keyword&gt;&lt;keyword&gt;Neoplasms/*blood/epidemiology/physiopathology&lt;/keyword&gt;&lt;keyword&gt;Ovary/blood supply/*metabolism/physiopathology&lt;/keyword&gt;&lt;keyword&gt;Pregnancy&lt;/keyword&gt;&lt;keyword&gt;Reproduction/*physiology&lt;/keyword&gt;&lt;/keywords&gt;&lt;dates&gt;&lt;year&gt;2013&lt;/year&gt;&lt;pub-dates&gt;&lt;date&gt;May&lt;/date&gt;&lt;/pub-dates&gt;&lt;/dates&gt;&lt;isbn&gt;1556-5653 (Electronic)&amp;#xD;0015-0282 (Linking)&lt;/isbn&gt;&lt;accession-num&gt;23541317&lt;/accession-num&gt;&lt;urls&gt;&lt;related-urls&gt;&lt;url&gt;http://www.ncbi.nlm.nih.gov/pubmed/23541317&lt;/url&gt;&lt;/related-urls&gt;&lt;/urls&gt;&lt;electronic-resource-num&gt;10.1016/j.fertnstert.2013.03.014&lt;/electronic-resource-num&gt;&lt;/record&gt;&lt;/Cite&gt;&lt;/EndNote&gt;</w:instrText>
      </w:r>
      <w:r w:rsidR="00A109BA">
        <w:fldChar w:fldCharType="separate"/>
      </w:r>
      <w:r w:rsidR="00A109BA">
        <w:rPr>
          <w:noProof/>
        </w:rPr>
        <w:t>(</w:t>
      </w:r>
      <w:hyperlink w:anchor="_ENREF_8" w:tooltip="Anderson, 2013 #31" w:history="1">
        <w:r w:rsidR="00835BA6">
          <w:rPr>
            <w:noProof/>
          </w:rPr>
          <w:t>Anderson &amp; Wallace 2013</w:t>
        </w:r>
      </w:hyperlink>
      <w:r w:rsidR="00A109BA">
        <w:rPr>
          <w:noProof/>
        </w:rPr>
        <w:t>)</w:t>
      </w:r>
      <w:r w:rsidR="00A109BA">
        <w:fldChar w:fldCharType="end"/>
      </w:r>
      <w:r w:rsidR="00DF0446">
        <w:t xml:space="preserve">. </w:t>
      </w:r>
      <w:r w:rsidR="009076E4">
        <w:t>When there is only a partial loss of primordial follicles during trea</w:t>
      </w:r>
      <w:r w:rsidR="002E75E6">
        <w:t xml:space="preserve">tment, </w:t>
      </w:r>
      <w:r w:rsidR="009076E4">
        <w:t xml:space="preserve">premature ovarian failure </w:t>
      </w:r>
      <w:r w:rsidR="002E75E6">
        <w:t>may only manifest</w:t>
      </w:r>
      <w:r w:rsidR="001D3386">
        <w:t xml:space="preserve"> </w:t>
      </w:r>
      <w:r w:rsidR="009076E4">
        <w:t xml:space="preserve">after years or decades. </w:t>
      </w:r>
      <w:r w:rsidR="00780EDF">
        <w:t>It</w:t>
      </w:r>
      <w:r>
        <w:t xml:space="preserve"> can be</w:t>
      </w:r>
      <w:r w:rsidR="00780EDF">
        <w:t xml:space="preserve"> difficult to predict the risk of inf</w:t>
      </w:r>
      <w:r w:rsidR="00DF0446">
        <w:t xml:space="preserve">ertility for individuals prior to </w:t>
      </w:r>
      <w:r w:rsidR="00780EDF">
        <w:t>the commencement of treatment.</w:t>
      </w:r>
    </w:p>
    <w:p w14:paraId="1B147166" w14:textId="31358ACB" w:rsidR="00780EDF" w:rsidRDefault="00780EDF" w:rsidP="00C36698">
      <w:pPr>
        <w:jc w:val="both"/>
      </w:pPr>
      <w:r>
        <w:t xml:space="preserve">For patients </w:t>
      </w:r>
      <w:r w:rsidR="002E75E6">
        <w:t xml:space="preserve">diagnosed with </w:t>
      </w:r>
      <w:r>
        <w:t xml:space="preserve">cancer, the </w:t>
      </w:r>
      <w:r w:rsidR="00E01C74">
        <w:t xml:space="preserve">main </w:t>
      </w:r>
      <w:r>
        <w:t xml:space="preserve">concern is </w:t>
      </w:r>
      <w:r w:rsidR="00E01C74">
        <w:t xml:space="preserve">initially </w:t>
      </w:r>
      <w:r>
        <w:t>long-term survival. However, with more and more patients surviving cancer, the loss of fertility due to gonadotoxic cancer therapies becomes an important issue</w:t>
      </w:r>
      <w:r w:rsidR="00360433">
        <w:t xml:space="preserve"> </w:t>
      </w:r>
      <w:r w:rsidR="00A109BA">
        <w:fldChar w:fldCharType="begin">
          <w:fldData xml:space="preserve">PEVuZE5vdGU+PENpdGU+PEF1dGhvcj5NdW5vejwvQXV0aG9yPjxZZWFyPjIwMTY8L1llYXI+PFJl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</w:fldData>
        </w:fldChar>
      </w:r>
      <w:r w:rsidR="00577E24">
        <w:instrText xml:space="preserve"> ADDIN EN.CITE </w:instrText>
      </w:r>
      <w:r w:rsidR="00577E24">
        <w:fldChar w:fldCharType="begin">
          <w:fldData xml:space="preserve">PEVuZE5vdGU+PENpdGU+PEF1dGhvcj5NdW5vejwvQXV0aG9yPjxZZWFyPjIwMTY8L1llYXI+PFJl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</w:fldData>
        </w:fldChar>
      </w:r>
      <w:r w:rsidR="00577E24">
        <w:instrText xml:space="preserve"> ADDIN EN.CITE.DATA </w:instrText>
      </w:r>
      <w:r w:rsidR="00577E24">
        <w:fldChar w:fldCharType="end"/>
      </w:r>
      <w:r w:rsidR="00A109BA">
        <w:fldChar w:fldCharType="separate"/>
      </w:r>
      <w:r w:rsidR="00A109BA">
        <w:rPr>
          <w:noProof/>
        </w:rPr>
        <w:t>(</w:t>
      </w:r>
      <w:hyperlink w:anchor="_ENREF_46" w:tooltip="Munoz, 2016 #264" w:history="1">
        <w:r w:rsidR="00835BA6">
          <w:rPr>
            <w:noProof/>
          </w:rPr>
          <w:t>Munoz et al. 2016</w:t>
        </w:r>
      </w:hyperlink>
      <w:r w:rsidR="00A109BA">
        <w:rPr>
          <w:noProof/>
        </w:rPr>
        <w:t>)</w:t>
      </w:r>
      <w:r w:rsidR="00A109BA">
        <w:fldChar w:fldCharType="end"/>
      </w:r>
      <w:r>
        <w:t xml:space="preserve">. </w:t>
      </w:r>
      <w:r w:rsidR="009D137D">
        <w:t xml:space="preserve">Cancer survivors with an irregular menstrual function have been found to have lower </w:t>
      </w:r>
      <w:r w:rsidR="0060499C" w:rsidRPr="0060499C">
        <w:t>quality of life</w:t>
      </w:r>
      <w:r w:rsidR="009D137D">
        <w:t xml:space="preserve"> scores than those with regular cycles </w:t>
      </w:r>
      <w:r w:rsidR="00A109BA">
        <w:lastRenderedPageBreak/>
        <w:fldChar w:fldCharType="begin"/>
      </w:r>
      <w:r w:rsidR="00577E24">
        <w:instrText xml:space="preserve"> ADDIN EN.CITE &lt;EndNote&gt;&lt;Cite&gt;&lt;Author&gt;Kondapalli&lt;/Author&gt;&lt;Year&gt;2014&lt;/Year&gt;&lt;RecNum&gt;206&lt;/RecNum&gt;&lt;IDText&gt;585-592&lt;/IDText&gt;&lt;DisplayText&gt;(Kondapalli et al. 2014)&lt;/DisplayText&gt;&lt;record&gt;&lt;rec-number&gt;206&lt;/rec-number&gt;&lt;foreign-keys&gt;&lt;key app="EN" db-id="s2dftfxw1fvsr1efx58vfvxtvfwzxea0td02" timestamp="1511748081"&gt;206&lt;/key&gt;&lt;/foreign-keys&gt;&lt;ref-type name="Journal Article"&gt;17&lt;/ref-type&gt;&lt;contributors&gt;&lt;authors&gt;&lt;author&gt;Kondapalli, L. A.&lt;/author&gt;&lt;author&gt;Dillon, K. E.&lt;/author&gt;&lt;author&gt;Sammel, M. D.&lt;/author&gt;&lt;author&gt;Ray, A.&lt;/author&gt;&lt;author&gt;Prewitt, M.&lt;/author&gt;&lt;author&gt;Ginsberg, J. P.&lt;/author&gt;&lt;author&gt;Gracia, C. R.&lt;/author&gt;&lt;/authors&gt;&lt;/contributors&gt;&lt;titles&gt;&lt;title&gt;Quality of life in female cancer survivors: is it related to ovarian reserve?&lt;/title&gt;&lt;secondary-title&gt;Quality of life research : an international journal of quality of life aspects of treatment, care and rehabilitation&lt;/secondary-title&gt;&lt;/titles&gt;&lt;periodical&gt;&lt;full-title&gt;Quality of life research : an international journal of quality of life aspects of treatment, care and rehabilitation&lt;/full-title&gt;&lt;/periodical&gt;&lt;pages&gt;585-592&lt;/pages&gt;&lt;volume&gt;23&lt;/volume&gt;&lt;number&gt;2&lt;/number&gt;&lt;keywords&gt;&lt;keyword&gt;Survivors&lt;/keyword&gt;&lt;keyword&gt;Follicle Stimulating Hormone&lt;/keyword&gt;&lt;keyword&gt;Quality of Life&lt;/keyword&gt;&lt;/keywords&gt;&lt;dates&gt;&lt;year&gt;2014&lt;/year&gt;&lt;pub-dates&gt;&lt;date&gt;2014-1-1&lt;/date&gt;&lt;/pub-dates&gt;&lt;/dates&gt;&lt;isbn&gt;1573-2649&lt;/isbn&gt;&lt;accession-num&gt;rayyan-6675720&lt;/accession-num&gt;&lt;urls&gt;&lt;related-urls&gt;&lt;url&gt;http://www.embase.com/search/results?subaction=viewrecord&amp;amp;from=export&amp;amp;id=L373972361 http://dx.doi.org/10.1007/s11136-013-0473-y&lt;/url&gt;&lt;url&gt;https://link.springer.com/content/pdf/10.1007%2Fs11136-013-0473-y.pdf&lt;/url&gt;&lt;/related-urls&gt;&lt;/urls&gt;&lt;custom1&gt;RAYYAN-INCLUSION: {&amp;quot;Sharon&amp;quot;=&amp;gt;true, &amp;quot;Joanne&amp;quot;=&amp;gt;true}&lt;/custom1&gt;&lt;/record&gt;&lt;/Cite&gt;&lt;/EndNote&gt;</w:instrText>
      </w:r>
      <w:r w:rsidR="00A109BA">
        <w:fldChar w:fldCharType="separate"/>
      </w:r>
      <w:r w:rsidR="00A109BA">
        <w:rPr>
          <w:noProof/>
        </w:rPr>
        <w:t>(</w:t>
      </w:r>
      <w:hyperlink w:anchor="_ENREF_35" w:tooltip="Kondapalli, 2014 #206" w:history="1">
        <w:r w:rsidR="00835BA6">
          <w:rPr>
            <w:noProof/>
          </w:rPr>
          <w:t>Kondapalli et al. 2014</w:t>
        </w:r>
      </w:hyperlink>
      <w:r w:rsidR="00A109BA">
        <w:rPr>
          <w:noProof/>
        </w:rPr>
        <w:t>)</w:t>
      </w:r>
      <w:r w:rsidR="00A109BA">
        <w:fldChar w:fldCharType="end"/>
      </w:r>
      <w:r w:rsidR="009D137D">
        <w:t xml:space="preserve">. </w:t>
      </w:r>
      <w:r>
        <w:t>Likewise, patients with debilitating non-malignant conditions requiring gonadotoxic treatments face similar fertility issues. Gonadotoxic treatment in females of any age can lead to subsequent infertility, as the ovaries are susceptible to damage before, during, and after puberty.</w:t>
      </w:r>
    </w:p>
    <w:p w14:paraId="367F38C3" w14:textId="77777777" w:rsidR="007518CF" w:rsidRDefault="001D4680" w:rsidP="00A72588">
      <w:pPr>
        <w:pStyle w:val="Heading3"/>
      </w:pPr>
      <w:bookmarkStart w:id="117" w:name="_Toc491975931"/>
      <w:bookmarkStart w:id="118" w:name="_Toc502832902"/>
      <w:r w:rsidRPr="00A72588">
        <w:t>Estimated incidence</w:t>
      </w:r>
      <w:bookmarkEnd w:id="117"/>
      <w:bookmarkEnd w:id="118"/>
    </w:p>
    <w:p w14:paraId="35DDAC51" w14:textId="73720934" w:rsidR="007518CF" w:rsidRDefault="007C1883" w:rsidP="00031143">
      <w:pPr>
        <w:jc w:val="both"/>
      </w:pPr>
      <w:r>
        <w:t xml:space="preserve">In Australia, the </w:t>
      </w:r>
      <w:r w:rsidR="00904668">
        <w:t xml:space="preserve">estimated number of new cancer cases </w:t>
      </w:r>
      <w:r>
        <w:t xml:space="preserve">diagnosed in 2017 </w:t>
      </w:r>
      <w:r w:rsidR="00904668">
        <w:t>among</w:t>
      </w:r>
      <w:r>
        <w:t xml:space="preserve"> wo</w:t>
      </w:r>
      <w:r w:rsidR="00904668">
        <w:t>men aged less than 45 years old</w:t>
      </w:r>
      <w:r>
        <w:t xml:space="preserve"> is 6</w:t>
      </w:r>
      <w:r w:rsidR="00953CF0">
        <w:t>,</w:t>
      </w:r>
      <w:r>
        <w:t>520 (</w:t>
      </w:r>
      <w:r w:rsidR="00031143">
        <w:fldChar w:fldCharType="begin"/>
      </w:r>
      <w:r w:rsidR="00031143">
        <w:instrText xml:space="preserve"> REF _Ref497383949 \h  \* MERGEFORMAT </w:instrText>
      </w:r>
      <w:r w:rsidR="00031143">
        <w:fldChar w:fldCharType="separate"/>
      </w:r>
      <w:r w:rsidR="00AC4BE5">
        <w:t xml:space="preserve">Table </w:t>
      </w:r>
      <w:r w:rsidR="00AC4BE5">
        <w:rPr>
          <w:noProof/>
        </w:rPr>
        <w:t>8</w:t>
      </w:r>
      <w:r w:rsidR="00031143">
        <w:fldChar w:fldCharType="end"/>
      </w:r>
      <w:r>
        <w:t>). The AIHW provide</w:t>
      </w:r>
      <w:r w:rsidR="00A27AB0">
        <w:t>s</w:t>
      </w:r>
      <w:r>
        <w:t xml:space="preserve"> a breakdown by common cancer t</w:t>
      </w:r>
      <w:r w:rsidR="00031143">
        <w:t>ypes associated with ovarian fail</w:t>
      </w:r>
      <w:r w:rsidR="00A27AB0">
        <w:t xml:space="preserve">ure and fertility preservation, </w:t>
      </w:r>
      <w:r w:rsidR="00031143">
        <w:t xml:space="preserve">and </w:t>
      </w:r>
      <w:r w:rsidR="00A27AB0">
        <w:t xml:space="preserve">therefore relevant to AMH testing, for </w:t>
      </w:r>
      <w:r w:rsidR="00031143">
        <w:t>females aged 0 to 44</w:t>
      </w:r>
      <w:r w:rsidR="00A27AB0">
        <w:t xml:space="preserve"> (</w:t>
      </w:r>
      <w:r w:rsidR="00924B48">
        <w:fldChar w:fldCharType="begin"/>
      </w:r>
      <w:r w:rsidR="00924B48">
        <w:instrText xml:space="preserve"> REF _Ref490036749 \h </w:instrText>
      </w:r>
      <w:r w:rsidR="00924B48">
        <w:fldChar w:fldCharType="separate"/>
      </w:r>
      <w:r w:rsidR="00AC4BE5">
        <w:t xml:space="preserve">Table </w:t>
      </w:r>
      <w:r w:rsidR="00AC4BE5">
        <w:rPr>
          <w:noProof/>
        </w:rPr>
        <w:t>9</w:t>
      </w:r>
      <w:r w:rsidR="00924B48">
        <w:fldChar w:fldCharType="end"/>
      </w:r>
      <w:r w:rsidR="00A27AB0">
        <w:t>)</w:t>
      </w:r>
      <w:r w:rsidR="00031143">
        <w:t>.</w:t>
      </w:r>
      <w:r>
        <w:t xml:space="preserve"> Thi</w:t>
      </w:r>
      <w:r w:rsidR="00A27AB0">
        <w:t xml:space="preserve">s approach does not capture rare tumours </w:t>
      </w:r>
      <w:r>
        <w:t>which may be treate</w:t>
      </w:r>
      <w:r w:rsidR="00A27AB0">
        <w:t>d with gonadotoxic treatment</w:t>
      </w:r>
      <w:r>
        <w:t xml:space="preserve"> and does not provide the proportion of cases with the different tumour types who would be treated with gonadotoxic treatment.</w:t>
      </w:r>
    </w:p>
    <w:p w14:paraId="6C9EADF2" w14:textId="1B4D8D18" w:rsidR="00031143" w:rsidRDefault="00031143" w:rsidP="00031143">
      <w:pPr>
        <w:pStyle w:val="Caption"/>
        <w:keepNext/>
      </w:pPr>
      <w:bookmarkStart w:id="119" w:name="_Ref497383949"/>
      <w:bookmarkStart w:id="120" w:name="_Toc502833026"/>
      <w:r>
        <w:t xml:space="preserve">Table </w:t>
      </w:r>
      <w:r w:rsidR="00AC4BE5">
        <w:fldChar w:fldCharType="begin"/>
      </w:r>
      <w:r w:rsidR="00AC4BE5">
        <w:instrText xml:space="preserve"> SEQ Table \* ARABIC </w:instrText>
      </w:r>
      <w:r w:rsidR="00AC4BE5">
        <w:fldChar w:fldCharType="separate"/>
      </w:r>
      <w:r w:rsidR="00AC4BE5">
        <w:rPr>
          <w:noProof/>
        </w:rPr>
        <w:t>8</w:t>
      </w:r>
      <w:r w:rsidR="00AC4BE5">
        <w:rPr>
          <w:noProof/>
        </w:rPr>
        <w:fldChar w:fldCharType="end"/>
      </w:r>
      <w:bookmarkEnd w:id="119"/>
      <w:r w:rsidR="00D26276">
        <w:tab/>
      </w:r>
      <w:r>
        <w:tab/>
      </w:r>
      <w:r w:rsidRPr="00AA1F77">
        <w:t>Inc</w:t>
      </w:r>
      <w:r>
        <w:t>idence of cancer in Australian females</w:t>
      </w:r>
      <w:bookmarkEnd w:id="120"/>
    </w:p>
    <w:tbl>
      <w:tblPr>
        <w:tblStyle w:val="TableGrid"/>
        <w:tblW w:w="0" w:type="auto"/>
        <w:tblLook w:val="04A0" w:firstRow="1" w:lastRow="0" w:firstColumn="1" w:lastColumn="0" w:noHBand="0" w:noVBand="1"/>
        <w:tblCaption w:val="Incidence of cancer in Australian males (males)"/>
        <w:tblDescription w:val="Incidence of cancer in Australian males (males)"/>
      </w:tblPr>
      <w:tblGrid>
        <w:gridCol w:w="2975"/>
        <w:gridCol w:w="2975"/>
        <w:gridCol w:w="2976"/>
      </w:tblGrid>
      <w:tr w:rsidR="00031143" w14:paraId="4AA92BF1" w14:textId="77777777" w:rsidTr="004F10E7">
        <w:trPr>
          <w:tblHeader/>
        </w:trPr>
        <w:tc>
          <w:tcPr>
            <w:tcW w:w="2975" w:type="dxa"/>
          </w:tcPr>
          <w:p w14:paraId="1E841EEB" w14:textId="77777777" w:rsidR="00031143" w:rsidRPr="005A30D7" w:rsidRDefault="00031143" w:rsidP="005A30D7">
            <w:pPr>
              <w:pStyle w:val="Tabletext1"/>
              <w:rPr>
                <w:b/>
              </w:rPr>
            </w:pPr>
            <w:r w:rsidRPr="005A30D7">
              <w:rPr>
                <w:b/>
              </w:rPr>
              <w:t>Population group</w:t>
            </w:r>
          </w:p>
        </w:tc>
        <w:tc>
          <w:tcPr>
            <w:tcW w:w="2975" w:type="dxa"/>
          </w:tcPr>
          <w:p w14:paraId="4DA2D68A" w14:textId="77777777" w:rsidR="00031143" w:rsidRPr="005A30D7" w:rsidRDefault="00031143" w:rsidP="005A30D7">
            <w:pPr>
              <w:pStyle w:val="Tabletext1"/>
              <w:rPr>
                <w:b/>
              </w:rPr>
            </w:pPr>
            <w:r w:rsidRPr="005A30D7">
              <w:rPr>
                <w:b/>
              </w:rPr>
              <w:t>Age</w:t>
            </w:r>
          </w:p>
        </w:tc>
        <w:tc>
          <w:tcPr>
            <w:tcW w:w="2976" w:type="dxa"/>
          </w:tcPr>
          <w:p w14:paraId="7B0D5CAC" w14:textId="77777777" w:rsidR="00031143" w:rsidRPr="005A30D7" w:rsidRDefault="00031143" w:rsidP="005A30D7">
            <w:pPr>
              <w:pStyle w:val="Tabletext1"/>
              <w:rPr>
                <w:b/>
              </w:rPr>
            </w:pPr>
            <w:r w:rsidRPr="005A30D7">
              <w:rPr>
                <w:b/>
              </w:rPr>
              <w:t>Estimated new cases in 2017</w:t>
            </w:r>
          </w:p>
        </w:tc>
      </w:tr>
      <w:tr w:rsidR="00031143" w:rsidRPr="003F5E8D" w14:paraId="049C1962" w14:textId="77777777" w:rsidTr="004F10E7">
        <w:tc>
          <w:tcPr>
            <w:tcW w:w="2975" w:type="dxa"/>
          </w:tcPr>
          <w:p w14:paraId="5707A753" w14:textId="77777777" w:rsidR="00031143" w:rsidRPr="003F5E8D" w:rsidRDefault="00031143" w:rsidP="005A30D7">
            <w:pPr>
              <w:pStyle w:val="Tabletext1"/>
            </w:pPr>
            <w:r>
              <w:t>Paediatric</w:t>
            </w:r>
          </w:p>
        </w:tc>
        <w:tc>
          <w:tcPr>
            <w:tcW w:w="2975" w:type="dxa"/>
          </w:tcPr>
          <w:p w14:paraId="5BAAEEC5" w14:textId="36A3A24F" w:rsidR="00031143" w:rsidRPr="003F5E8D" w:rsidRDefault="00031143" w:rsidP="005A30D7">
            <w:pPr>
              <w:pStyle w:val="Tabletext1"/>
            </w:pPr>
            <w:r>
              <w:t>0</w:t>
            </w:r>
            <w:r w:rsidR="00B50CCE">
              <w:t>–</w:t>
            </w:r>
            <w:r>
              <w:t>14 years</w:t>
            </w:r>
          </w:p>
        </w:tc>
        <w:tc>
          <w:tcPr>
            <w:tcW w:w="2976" w:type="dxa"/>
          </w:tcPr>
          <w:p w14:paraId="4796F0AE" w14:textId="77777777" w:rsidR="00031143" w:rsidRPr="003F5E8D" w:rsidRDefault="00031143" w:rsidP="005A30D7">
            <w:pPr>
              <w:pStyle w:val="Tabletext1"/>
            </w:pPr>
            <w:r>
              <w:rPr>
                <w:bCs/>
              </w:rPr>
              <w:t>322</w:t>
            </w:r>
          </w:p>
        </w:tc>
      </w:tr>
      <w:tr w:rsidR="00031143" w:rsidRPr="003F5E8D" w14:paraId="4ECF083B" w14:textId="77777777" w:rsidTr="004F10E7">
        <w:trPr>
          <w:trHeight w:val="211"/>
        </w:trPr>
        <w:tc>
          <w:tcPr>
            <w:tcW w:w="2975" w:type="dxa"/>
          </w:tcPr>
          <w:p w14:paraId="738673BB" w14:textId="77777777" w:rsidR="00031143" w:rsidRDefault="00031143" w:rsidP="005A30D7">
            <w:pPr>
              <w:pStyle w:val="Tabletext1"/>
            </w:pPr>
            <w:r>
              <w:t>Adolescent / young adult</w:t>
            </w:r>
          </w:p>
        </w:tc>
        <w:tc>
          <w:tcPr>
            <w:tcW w:w="2975" w:type="dxa"/>
          </w:tcPr>
          <w:p w14:paraId="0812B071" w14:textId="437BA373" w:rsidR="00031143" w:rsidRPr="003F5E8D" w:rsidRDefault="00031143" w:rsidP="005A30D7">
            <w:pPr>
              <w:pStyle w:val="Tabletext1"/>
            </w:pPr>
            <w:r>
              <w:t>15</w:t>
            </w:r>
            <w:r w:rsidR="00B50CCE">
              <w:t>–</w:t>
            </w:r>
            <w:r>
              <w:t>24 years</w:t>
            </w:r>
          </w:p>
        </w:tc>
        <w:tc>
          <w:tcPr>
            <w:tcW w:w="2976" w:type="dxa"/>
          </w:tcPr>
          <w:p w14:paraId="50079AEB" w14:textId="77777777" w:rsidR="00031143" w:rsidRPr="003F5E8D" w:rsidRDefault="00031143" w:rsidP="005A30D7">
            <w:pPr>
              <w:pStyle w:val="Tabletext1"/>
            </w:pPr>
            <w:r>
              <w:rPr>
                <w:bCs/>
              </w:rPr>
              <w:t>432</w:t>
            </w:r>
          </w:p>
        </w:tc>
      </w:tr>
      <w:tr w:rsidR="00031143" w:rsidRPr="003F5E8D" w14:paraId="0F790582" w14:textId="77777777" w:rsidTr="00D26276">
        <w:tc>
          <w:tcPr>
            <w:tcW w:w="2975" w:type="dxa"/>
            <w:tcBorders>
              <w:bottom w:val="single" w:sz="8" w:space="0" w:color="auto"/>
            </w:tcBorders>
          </w:tcPr>
          <w:p w14:paraId="777B979F" w14:textId="77777777" w:rsidR="00031143" w:rsidRDefault="00031143" w:rsidP="005A30D7">
            <w:pPr>
              <w:pStyle w:val="Tabletext1"/>
            </w:pPr>
            <w:r>
              <w:t>Adults</w:t>
            </w:r>
          </w:p>
        </w:tc>
        <w:tc>
          <w:tcPr>
            <w:tcW w:w="2975" w:type="dxa"/>
            <w:tcBorders>
              <w:bottom w:val="single" w:sz="8" w:space="0" w:color="auto"/>
            </w:tcBorders>
          </w:tcPr>
          <w:p w14:paraId="5B74A6F2" w14:textId="32676C2B" w:rsidR="00031143" w:rsidRDefault="00031143" w:rsidP="005A30D7">
            <w:pPr>
              <w:pStyle w:val="Tabletext1"/>
            </w:pPr>
            <w:r>
              <w:t>25</w:t>
            </w:r>
            <w:r w:rsidR="00B50CCE">
              <w:t>–</w:t>
            </w:r>
            <w:r>
              <w:t>44 years</w:t>
            </w:r>
          </w:p>
        </w:tc>
        <w:tc>
          <w:tcPr>
            <w:tcW w:w="2976" w:type="dxa"/>
            <w:tcBorders>
              <w:bottom w:val="single" w:sz="8" w:space="0" w:color="auto"/>
            </w:tcBorders>
          </w:tcPr>
          <w:p w14:paraId="2535793E" w14:textId="77777777" w:rsidR="00031143" w:rsidRDefault="00031143" w:rsidP="005A30D7">
            <w:pPr>
              <w:pStyle w:val="Tabletext1"/>
            </w:pPr>
            <w:r>
              <w:rPr>
                <w:bCs/>
              </w:rPr>
              <w:t>5,766</w:t>
            </w:r>
          </w:p>
        </w:tc>
      </w:tr>
      <w:tr w:rsidR="00031143" w:rsidRPr="003F5E8D" w14:paraId="396626DC" w14:textId="77777777" w:rsidTr="00D26276">
        <w:tc>
          <w:tcPr>
            <w:tcW w:w="2975" w:type="dxa"/>
            <w:tcBorders>
              <w:top w:val="single" w:sz="8" w:space="0" w:color="auto"/>
            </w:tcBorders>
          </w:tcPr>
          <w:p w14:paraId="077659C5" w14:textId="77777777" w:rsidR="00031143" w:rsidRDefault="00031143" w:rsidP="005A30D7">
            <w:pPr>
              <w:pStyle w:val="Tabletext1"/>
            </w:pPr>
            <w:r>
              <w:t>Australian population</w:t>
            </w:r>
          </w:p>
        </w:tc>
        <w:tc>
          <w:tcPr>
            <w:tcW w:w="2975" w:type="dxa"/>
            <w:tcBorders>
              <w:top w:val="single" w:sz="8" w:space="0" w:color="auto"/>
            </w:tcBorders>
          </w:tcPr>
          <w:p w14:paraId="625E9349" w14:textId="50EEE850" w:rsidR="00031143" w:rsidRDefault="00031143" w:rsidP="005A30D7">
            <w:pPr>
              <w:pStyle w:val="Tabletext1"/>
            </w:pPr>
            <w:r>
              <w:t>0</w:t>
            </w:r>
            <w:r w:rsidR="00B50CCE">
              <w:t>–</w:t>
            </w:r>
            <w:r>
              <w:t>44 years</w:t>
            </w:r>
          </w:p>
        </w:tc>
        <w:tc>
          <w:tcPr>
            <w:tcW w:w="2976" w:type="dxa"/>
            <w:tcBorders>
              <w:top w:val="single" w:sz="8" w:space="0" w:color="auto"/>
            </w:tcBorders>
          </w:tcPr>
          <w:p w14:paraId="6145449D" w14:textId="77777777" w:rsidR="00031143" w:rsidRDefault="00031143" w:rsidP="005A30D7">
            <w:pPr>
              <w:pStyle w:val="Tabletext1"/>
            </w:pPr>
            <w:r>
              <w:t>6,520</w:t>
            </w:r>
          </w:p>
        </w:tc>
      </w:tr>
    </w:tbl>
    <w:p w14:paraId="19879683" w14:textId="77777777" w:rsidR="00031143" w:rsidRPr="009213B9" w:rsidRDefault="00031143" w:rsidP="00924B48">
      <w:pPr>
        <w:pStyle w:val="Tablenotes0"/>
        <w:spacing w:after="240"/>
      </w:pPr>
      <w:r>
        <w:t>Source: AIHW Cancer in Australia 2017 Supplementary tables Chapter 3 Incidence of Cancer</w:t>
      </w:r>
    </w:p>
    <w:p w14:paraId="159B97CB" w14:textId="765634B3" w:rsidR="007C1883" w:rsidRDefault="007C1883" w:rsidP="00D26276">
      <w:pPr>
        <w:pStyle w:val="TableHeading"/>
        <w:ind w:left="1134" w:hanging="1134"/>
      </w:pPr>
      <w:bookmarkStart w:id="121" w:name="_Ref490036749"/>
      <w:bookmarkStart w:id="122" w:name="_Ref497383976"/>
      <w:bookmarkStart w:id="123" w:name="_Toc491675633"/>
      <w:bookmarkStart w:id="124" w:name="_Toc491975732"/>
      <w:bookmarkStart w:id="125" w:name="_Toc502833027"/>
      <w:r>
        <w:t xml:space="preserve">Table </w:t>
      </w:r>
      <w:r w:rsidR="00AC4BE5">
        <w:fldChar w:fldCharType="begin"/>
      </w:r>
      <w:r w:rsidR="00AC4BE5">
        <w:instrText xml:space="preserve"> SEQ Table \* ARABIC </w:instrText>
      </w:r>
      <w:r w:rsidR="00AC4BE5">
        <w:fldChar w:fldCharType="separate"/>
      </w:r>
      <w:r w:rsidR="00AC4BE5">
        <w:rPr>
          <w:noProof/>
        </w:rPr>
        <w:t>9</w:t>
      </w:r>
      <w:r w:rsidR="00AC4BE5">
        <w:rPr>
          <w:noProof/>
        </w:rPr>
        <w:fldChar w:fldCharType="end"/>
      </w:r>
      <w:bookmarkEnd w:id="121"/>
      <w:bookmarkEnd w:id="122"/>
      <w:r w:rsidR="00D26276">
        <w:tab/>
      </w:r>
      <w:r w:rsidR="00D26276">
        <w:tab/>
        <w:t xml:space="preserve">Estimated number of new cases, </w:t>
      </w:r>
      <w:r>
        <w:t xml:space="preserve">by type of cancer most relevant for </w:t>
      </w:r>
      <w:r w:rsidR="00031143">
        <w:t>fertility preservation</w:t>
      </w:r>
      <w:r>
        <w:t xml:space="preserve"> for 2017, females aged 0 to </w:t>
      </w:r>
      <w:bookmarkEnd w:id="123"/>
      <w:bookmarkEnd w:id="124"/>
      <w:r>
        <w:t>44</w:t>
      </w:r>
      <w:bookmarkEnd w:id="125"/>
    </w:p>
    <w:tbl>
      <w:tblPr>
        <w:tblStyle w:val="TableGrid"/>
        <w:tblW w:w="0" w:type="auto"/>
        <w:tblLook w:val="04A0" w:firstRow="1" w:lastRow="0" w:firstColumn="1" w:lastColumn="0" w:noHBand="0" w:noVBand="1"/>
        <w:tblCaption w:val="Estimated number of new cases (by type of cancer most relevant for cryopreservation) for 2017, males aged 0 to 59"/>
        <w:tblDescription w:val="Estimated number of new cases (by type of cancer most relevant for cryopreservation) for 2017, males aged 0 to 59"/>
      </w:tblPr>
      <w:tblGrid>
        <w:gridCol w:w="4463"/>
        <w:gridCol w:w="4463"/>
      </w:tblGrid>
      <w:tr w:rsidR="007C1883" w14:paraId="1CA9FB78" w14:textId="77777777" w:rsidTr="004F10E7">
        <w:trPr>
          <w:tblHeader/>
        </w:trPr>
        <w:tc>
          <w:tcPr>
            <w:tcW w:w="4463" w:type="dxa"/>
          </w:tcPr>
          <w:p w14:paraId="0D1B0F94" w14:textId="77777777" w:rsidR="007C1883" w:rsidRPr="005A30D7" w:rsidRDefault="007C1883" w:rsidP="005A30D7">
            <w:pPr>
              <w:pStyle w:val="Tabletext1"/>
              <w:rPr>
                <w:b/>
              </w:rPr>
            </w:pPr>
            <w:r w:rsidRPr="005A30D7">
              <w:rPr>
                <w:b/>
              </w:rPr>
              <w:t>Tumour type</w:t>
            </w:r>
          </w:p>
        </w:tc>
        <w:tc>
          <w:tcPr>
            <w:tcW w:w="4463" w:type="dxa"/>
          </w:tcPr>
          <w:p w14:paraId="62316985" w14:textId="77777777" w:rsidR="007C1883" w:rsidRPr="005A30D7" w:rsidRDefault="007C1883" w:rsidP="005A30D7">
            <w:pPr>
              <w:pStyle w:val="Tabletext1"/>
              <w:rPr>
                <w:b/>
              </w:rPr>
            </w:pPr>
            <w:r w:rsidRPr="005A30D7">
              <w:rPr>
                <w:b/>
              </w:rPr>
              <w:t>Estimated new cases in 2017</w:t>
            </w:r>
          </w:p>
        </w:tc>
      </w:tr>
      <w:tr w:rsidR="007C1883" w14:paraId="74ADF41B" w14:textId="77777777" w:rsidTr="004F10E7">
        <w:tc>
          <w:tcPr>
            <w:tcW w:w="4463" w:type="dxa"/>
          </w:tcPr>
          <w:p w14:paraId="4020F081" w14:textId="77777777" w:rsidR="007C1883" w:rsidRDefault="007C1883" w:rsidP="005A30D7">
            <w:pPr>
              <w:pStyle w:val="Tabletext1"/>
            </w:pPr>
            <w:r>
              <w:t>Acute myeloid leukaemia</w:t>
            </w:r>
          </w:p>
        </w:tc>
        <w:tc>
          <w:tcPr>
            <w:tcW w:w="4463" w:type="dxa"/>
          </w:tcPr>
          <w:p w14:paraId="4AB74A65" w14:textId="77777777" w:rsidR="007C1883" w:rsidRPr="003F5E8D" w:rsidRDefault="007C1883" w:rsidP="005A30D7">
            <w:pPr>
              <w:pStyle w:val="Tabletext1"/>
            </w:pPr>
            <w:r>
              <w:t>86</w:t>
            </w:r>
          </w:p>
        </w:tc>
      </w:tr>
      <w:tr w:rsidR="007C1883" w14:paraId="7364CE64" w14:textId="77777777" w:rsidTr="004F10E7">
        <w:tc>
          <w:tcPr>
            <w:tcW w:w="4463" w:type="dxa"/>
          </w:tcPr>
          <w:p w14:paraId="507AB3D5" w14:textId="77777777" w:rsidR="007C1883" w:rsidRDefault="007C1883" w:rsidP="005A30D7">
            <w:pPr>
              <w:pStyle w:val="Tabletext1"/>
            </w:pPr>
            <w:r>
              <w:t xml:space="preserve">Brain </w:t>
            </w:r>
          </w:p>
        </w:tc>
        <w:tc>
          <w:tcPr>
            <w:tcW w:w="4463" w:type="dxa"/>
          </w:tcPr>
          <w:p w14:paraId="0E51CE52" w14:textId="77777777" w:rsidR="007C1883" w:rsidRDefault="007C1883" w:rsidP="005A30D7">
            <w:pPr>
              <w:pStyle w:val="Tabletext1"/>
            </w:pPr>
            <w:r>
              <w:t>167</w:t>
            </w:r>
          </w:p>
        </w:tc>
      </w:tr>
      <w:tr w:rsidR="007C1883" w14:paraId="56E0FEB1" w14:textId="77777777" w:rsidTr="004F10E7">
        <w:tc>
          <w:tcPr>
            <w:tcW w:w="4463" w:type="dxa"/>
          </w:tcPr>
          <w:p w14:paraId="7D4ED1C7" w14:textId="77777777" w:rsidR="007C1883" w:rsidRDefault="007C1883" w:rsidP="005A30D7">
            <w:pPr>
              <w:pStyle w:val="Tabletext1"/>
            </w:pPr>
            <w:r>
              <w:t>Breast cancer</w:t>
            </w:r>
          </w:p>
        </w:tc>
        <w:tc>
          <w:tcPr>
            <w:tcW w:w="4463" w:type="dxa"/>
          </w:tcPr>
          <w:p w14:paraId="53D2BE72" w14:textId="77777777" w:rsidR="007C1883" w:rsidRDefault="007C1883" w:rsidP="005A30D7">
            <w:pPr>
              <w:pStyle w:val="Tabletext1"/>
            </w:pPr>
            <w:r>
              <w:t>1864</w:t>
            </w:r>
          </w:p>
        </w:tc>
      </w:tr>
      <w:tr w:rsidR="007C1883" w14:paraId="184F476C" w14:textId="77777777" w:rsidTr="004F10E7">
        <w:tc>
          <w:tcPr>
            <w:tcW w:w="4463" w:type="dxa"/>
          </w:tcPr>
          <w:p w14:paraId="1097BFFE" w14:textId="77777777" w:rsidR="007C1883" w:rsidRDefault="007C1883" w:rsidP="005A30D7">
            <w:pPr>
              <w:pStyle w:val="Tabletext1"/>
            </w:pPr>
            <w:r>
              <w:t>Cervix</w:t>
            </w:r>
          </w:p>
        </w:tc>
        <w:tc>
          <w:tcPr>
            <w:tcW w:w="4463" w:type="dxa"/>
          </w:tcPr>
          <w:p w14:paraId="28AD3822" w14:textId="77777777" w:rsidR="007C1883" w:rsidRPr="003F5E8D" w:rsidRDefault="007C1883" w:rsidP="005A30D7">
            <w:pPr>
              <w:pStyle w:val="Tabletext1"/>
            </w:pPr>
            <w:r>
              <w:t>426</w:t>
            </w:r>
          </w:p>
        </w:tc>
      </w:tr>
      <w:tr w:rsidR="007C1883" w14:paraId="3A0B5F0E" w14:textId="77777777" w:rsidTr="004F10E7">
        <w:tc>
          <w:tcPr>
            <w:tcW w:w="4463" w:type="dxa"/>
          </w:tcPr>
          <w:p w14:paraId="3473B042" w14:textId="77777777" w:rsidR="007C1883" w:rsidRDefault="007C1883" w:rsidP="005A30D7">
            <w:pPr>
              <w:pStyle w:val="Tabletext1"/>
            </w:pPr>
            <w:r>
              <w:t>Hodgkin’s lymphoma</w:t>
            </w:r>
          </w:p>
        </w:tc>
        <w:tc>
          <w:tcPr>
            <w:tcW w:w="4463" w:type="dxa"/>
          </w:tcPr>
          <w:p w14:paraId="553DAC64" w14:textId="77777777" w:rsidR="007C1883" w:rsidRDefault="007C1883" w:rsidP="005A30D7">
            <w:pPr>
              <w:pStyle w:val="Tabletext1"/>
            </w:pPr>
            <w:r>
              <w:t>177</w:t>
            </w:r>
          </w:p>
        </w:tc>
      </w:tr>
      <w:tr w:rsidR="007C1883" w14:paraId="454E5151" w14:textId="77777777" w:rsidTr="004F10E7">
        <w:tc>
          <w:tcPr>
            <w:tcW w:w="4463" w:type="dxa"/>
          </w:tcPr>
          <w:p w14:paraId="614A770C" w14:textId="77777777" w:rsidR="007C1883" w:rsidRDefault="007C1883" w:rsidP="005A30D7">
            <w:pPr>
              <w:pStyle w:val="Tabletext1"/>
            </w:pPr>
            <w:r>
              <w:t>Non-Hodgkin’s lymphoma</w:t>
            </w:r>
          </w:p>
        </w:tc>
        <w:tc>
          <w:tcPr>
            <w:tcW w:w="4463" w:type="dxa"/>
          </w:tcPr>
          <w:p w14:paraId="00C5F4D5" w14:textId="77777777" w:rsidR="007C1883" w:rsidRDefault="007C1883" w:rsidP="005A30D7">
            <w:pPr>
              <w:pStyle w:val="Tabletext1"/>
            </w:pPr>
            <w:r>
              <w:t>197</w:t>
            </w:r>
          </w:p>
        </w:tc>
      </w:tr>
      <w:tr w:rsidR="007C1883" w14:paraId="31B0E53A" w14:textId="77777777" w:rsidTr="004F10E7">
        <w:tc>
          <w:tcPr>
            <w:tcW w:w="4463" w:type="dxa"/>
          </w:tcPr>
          <w:p w14:paraId="68926445" w14:textId="77777777" w:rsidR="007C1883" w:rsidRDefault="007C1883" w:rsidP="005A30D7">
            <w:pPr>
              <w:pStyle w:val="Tabletext1"/>
            </w:pPr>
            <w:r>
              <w:t>Other soft tissue</w:t>
            </w:r>
          </w:p>
        </w:tc>
        <w:tc>
          <w:tcPr>
            <w:tcW w:w="4463" w:type="dxa"/>
          </w:tcPr>
          <w:p w14:paraId="531D9A2F" w14:textId="77777777" w:rsidR="007C1883" w:rsidRPr="003F5E8D" w:rsidRDefault="007C1883" w:rsidP="005A30D7">
            <w:pPr>
              <w:pStyle w:val="Tabletext1"/>
            </w:pPr>
            <w:r>
              <w:t>79</w:t>
            </w:r>
          </w:p>
        </w:tc>
      </w:tr>
      <w:tr w:rsidR="007C1883" w14:paraId="075614E7" w14:textId="77777777" w:rsidTr="004F10E7">
        <w:tc>
          <w:tcPr>
            <w:tcW w:w="4463" w:type="dxa"/>
          </w:tcPr>
          <w:p w14:paraId="6A56A7FA" w14:textId="77777777" w:rsidR="007C1883" w:rsidRDefault="007C1883" w:rsidP="005A30D7">
            <w:pPr>
              <w:pStyle w:val="Tabletext1"/>
            </w:pPr>
            <w:r>
              <w:t>Ovary</w:t>
            </w:r>
          </w:p>
        </w:tc>
        <w:tc>
          <w:tcPr>
            <w:tcW w:w="4463" w:type="dxa"/>
          </w:tcPr>
          <w:p w14:paraId="19770DB8" w14:textId="77777777" w:rsidR="007C1883" w:rsidRDefault="007C1883" w:rsidP="005A30D7">
            <w:pPr>
              <w:pStyle w:val="Tabletext1"/>
            </w:pPr>
            <w:r>
              <w:t>164</w:t>
            </w:r>
          </w:p>
        </w:tc>
      </w:tr>
      <w:tr w:rsidR="007C1883" w14:paraId="28C3829A" w14:textId="77777777" w:rsidTr="00D26276">
        <w:tc>
          <w:tcPr>
            <w:tcW w:w="4463" w:type="dxa"/>
            <w:tcBorders>
              <w:bottom w:val="single" w:sz="8" w:space="0" w:color="auto"/>
            </w:tcBorders>
          </w:tcPr>
          <w:p w14:paraId="0C6C9938" w14:textId="77777777" w:rsidR="007C1883" w:rsidRDefault="007C1883" w:rsidP="005A30D7">
            <w:pPr>
              <w:pStyle w:val="Tabletext1"/>
            </w:pPr>
            <w:r>
              <w:t>Uterus</w:t>
            </w:r>
          </w:p>
        </w:tc>
        <w:tc>
          <w:tcPr>
            <w:tcW w:w="4463" w:type="dxa"/>
            <w:tcBorders>
              <w:bottom w:val="single" w:sz="8" w:space="0" w:color="auto"/>
            </w:tcBorders>
          </w:tcPr>
          <w:p w14:paraId="3D3EAEC5" w14:textId="77777777" w:rsidR="007C1883" w:rsidRDefault="007C1883" w:rsidP="005A30D7">
            <w:pPr>
              <w:pStyle w:val="Tabletext1"/>
            </w:pPr>
            <w:r>
              <w:t>126</w:t>
            </w:r>
          </w:p>
        </w:tc>
      </w:tr>
      <w:tr w:rsidR="007C1883" w14:paraId="379DC3E3" w14:textId="77777777" w:rsidTr="00D26276">
        <w:tc>
          <w:tcPr>
            <w:tcW w:w="4463" w:type="dxa"/>
            <w:tcBorders>
              <w:top w:val="single" w:sz="8" w:space="0" w:color="auto"/>
            </w:tcBorders>
          </w:tcPr>
          <w:p w14:paraId="6F7608E9" w14:textId="77777777" w:rsidR="007C1883" w:rsidRPr="00A16546" w:rsidRDefault="007C1883" w:rsidP="005A30D7">
            <w:pPr>
              <w:pStyle w:val="Tabletext1"/>
            </w:pPr>
            <w:r w:rsidRPr="00A16546">
              <w:t>Total</w:t>
            </w:r>
          </w:p>
        </w:tc>
        <w:tc>
          <w:tcPr>
            <w:tcW w:w="4463" w:type="dxa"/>
            <w:tcBorders>
              <w:top w:val="single" w:sz="8" w:space="0" w:color="auto"/>
            </w:tcBorders>
          </w:tcPr>
          <w:p w14:paraId="1E40D0FA" w14:textId="77777777" w:rsidR="007C1883" w:rsidRPr="00A16546" w:rsidRDefault="007C1883" w:rsidP="005A30D7">
            <w:pPr>
              <w:pStyle w:val="Tabletext1"/>
            </w:pPr>
            <w:r w:rsidRPr="00A16546">
              <w:t>3286</w:t>
            </w:r>
          </w:p>
        </w:tc>
      </w:tr>
    </w:tbl>
    <w:p w14:paraId="63C694C8" w14:textId="77777777" w:rsidR="0068719A" w:rsidRPr="009213B9" w:rsidRDefault="0068719A" w:rsidP="0068719A">
      <w:pPr>
        <w:pStyle w:val="Tablenotes0"/>
      </w:pPr>
      <w:r>
        <w:t>Source: AIHW Cancer in Australia 2017 Supplementary tables Chapter 3 Incidence of Cancer</w:t>
      </w:r>
    </w:p>
    <w:p w14:paraId="5E116CA4" w14:textId="6CA09898" w:rsidR="00A72588" w:rsidRPr="00A72588" w:rsidRDefault="00A72588" w:rsidP="00A72588">
      <w:pPr>
        <w:pStyle w:val="Heading3"/>
      </w:pPr>
      <w:bookmarkStart w:id="126" w:name="_Ref497920184"/>
      <w:bookmarkStart w:id="127" w:name="_Toc502832903"/>
      <w:r w:rsidRPr="00A72588">
        <w:t xml:space="preserve">Uptake of </w:t>
      </w:r>
      <w:r>
        <w:t>AMH testing in Australia</w:t>
      </w:r>
      <w:bookmarkEnd w:id="126"/>
      <w:bookmarkEnd w:id="127"/>
    </w:p>
    <w:p w14:paraId="6CE1187B" w14:textId="64816F0B" w:rsidR="007518CF" w:rsidRDefault="0073555D" w:rsidP="00A54E6A">
      <w:pPr>
        <w:jc w:val="both"/>
      </w:pPr>
      <w:r>
        <w:t>The estimated use of AMH testing is des</w:t>
      </w:r>
      <w:r w:rsidR="009847E1">
        <w:t>cribed in detail in section E.2</w:t>
      </w:r>
      <w:r>
        <w:t xml:space="preserve"> of this report. </w:t>
      </w:r>
      <w:r w:rsidR="00F001B9">
        <w:t>It was suggested that approximately 50% of women of reproductive age who are diagnosed with a malignant condition will undergo gonadotoxic treatment affecting their fertility and be eligible for AMH testing</w:t>
      </w:r>
      <w:r w:rsidR="007F4459">
        <w:t xml:space="preserve">. </w:t>
      </w:r>
      <w:r w:rsidR="0068719A">
        <w:fldChar w:fldCharType="begin"/>
      </w:r>
      <w:r w:rsidR="0068719A">
        <w:instrText xml:space="preserve"> REF _Ref496793087 \h </w:instrText>
      </w:r>
      <w:r w:rsidR="0068719A">
        <w:fldChar w:fldCharType="separate"/>
      </w:r>
      <w:r w:rsidR="00AC4BE5">
        <w:t xml:space="preserve">Table </w:t>
      </w:r>
      <w:r w:rsidR="00AC4BE5">
        <w:rPr>
          <w:noProof/>
        </w:rPr>
        <w:t>67</w:t>
      </w:r>
      <w:r w:rsidR="0068719A">
        <w:fldChar w:fldCharType="end"/>
      </w:r>
      <w:r w:rsidR="0068719A">
        <w:t xml:space="preserve"> </w:t>
      </w:r>
      <w:r w:rsidR="00F001B9">
        <w:t>shows the number of cases of cancer estimated to undergo gonadotoxic treatment in 2017 (50</w:t>
      </w:r>
      <w:r w:rsidR="00B169D7">
        <w:t>%</w:t>
      </w:r>
      <w:r w:rsidR="00F001B9">
        <w:t xml:space="preserve"> of total cancer incidence of </w:t>
      </w:r>
      <w:r w:rsidR="00F001B9" w:rsidRPr="00F001B9">
        <w:t>6,520</w:t>
      </w:r>
      <w:r w:rsidR="00F001B9">
        <w:t xml:space="preserve"> is</w:t>
      </w:r>
      <w:r w:rsidR="00F001B9" w:rsidRPr="00F001B9">
        <w:t xml:space="preserve"> 3,260)</w:t>
      </w:r>
      <w:r w:rsidR="00F001B9">
        <w:t>.</w:t>
      </w:r>
    </w:p>
    <w:p w14:paraId="30708619" w14:textId="2A9166FE" w:rsidR="007518CF" w:rsidRDefault="00067A8F" w:rsidP="00A54E6A">
      <w:pPr>
        <w:jc w:val="both"/>
      </w:pPr>
      <w:r>
        <w:lastRenderedPageBreak/>
        <w:t>There is a lack of evidence on the proportion of patients referred to fertility specialists</w:t>
      </w:r>
      <w:r w:rsidR="00B169D7">
        <w:t xml:space="preserve"> who are</w:t>
      </w:r>
      <w:r w:rsidR="00B169D7" w:rsidRPr="00B169D7">
        <w:t xml:space="preserve"> </w:t>
      </w:r>
      <w:r w:rsidR="00B169D7">
        <w:t>undergoing gonadotoxic treatment</w:t>
      </w:r>
      <w:r>
        <w:t>. One recently published systematic review reported referral rates between 14</w:t>
      </w:r>
      <w:r w:rsidR="00B169D7">
        <w:t>%</w:t>
      </w:r>
      <w:r>
        <w:t xml:space="preserve"> and 67</w:t>
      </w:r>
      <w:r w:rsidR="00B169D7">
        <w:t>%</w:t>
      </w:r>
      <w:r w:rsidR="00360433">
        <w:t xml:space="preserve"> </w:t>
      </w:r>
      <w:r w:rsidR="00B169D7">
        <w:t>for the period 2012 to 2016</w:t>
      </w:r>
      <w:r w:rsidR="00360433">
        <w:t xml:space="preserve"> </w:t>
      </w:r>
      <w:r w:rsidR="00A109BA">
        <w:fldChar w:fldCharType="begin">
          <w:fldData xml:space="preserve">PEVuZE5vdGU+PENpdGU+PEF1dGhvcj5Mb2dhbjwvQXV0aG9yPjxZZWFyPjIwMTc8L1llYXI+PFJl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</w:fldData>
        </w:fldChar>
      </w:r>
      <w:r w:rsidR="00577E24">
        <w:instrText xml:space="preserve"> ADDIN EN.CITE </w:instrText>
      </w:r>
      <w:r w:rsidR="00577E24">
        <w:fldChar w:fldCharType="begin">
          <w:fldData xml:space="preserve">PEVuZE5vdGU+PENpdGU+PEF1dGhvcj5Mb2dhbjwvQXV0aG9yPjxZZWFyPjIwMTc8L1llYXI+PFJl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</w:fldData>
        </w:fldChar>
      </w:r>
      <w:r w:rsidR="00577E24">
        <w:instrText xml:space="preserve"> ADDIN EN.CITE.DATA </w:instrText>
      </w:r>
      <w:r w:rsidR="00577E24">
        <w:fldChar w:fldCharType="end"/>
      </w:r>
      <w:r w:rsidR="00A109BA">
        <w:fldChar w:fldCharType="separate"/>
      </w:r>
      <w:r w:rsidR="00A109BA">
        <w:rPr>
          <w:noProof/>
        </w:rPr>
        <w:t>(</w:t>
      </w:r>
      <w:hyperlink w:anchor="_ENREF_38" w:tooltip="Logan, 2017 #235" w:history="1">
        <w:r w:rsidR="00835BA6">
          <w:rPr>
            <w:noProof/>
          </w:rPr>
          <w:t>Logan et al. 2017</w:t>
        </w:r>
      </w:hyperlink>
      <w:r w:rsidR="00A109BA">
        <w:rPr>
          <w:noProof/>
        </w:rPr>
        <w:t>)</w:t>
      </w:r>
      <w:r w:rsidR="00A109BA">
        <w:fldChar w:fldCharType="end"/>
      </w:r>
      <w:r w:rsidR="00360433">
        <w:t>.</w:t>
      </w:r>
    </w:p>
    <w:p w14:paraId="197F31E6" w14:textId="5A3BCD36" w:rsidR="00A54E6A" w:rsidRDefault="00461107" w:rsidP="00A54E6A">
      <w:pPr>
        <w:jc w:val="both"/>
      </w:pPr>
      <w:r>
        <w:t>Australian data on the proportion of women with non-malignant conditions undergoing gonadotoxic treatment and AMH testing could not be identified.</w:t>
      </w:r>
      <w:r w:rsidR="00A54E6A">
        <w:t xml:space="preserve"> A recent </w:t>
      </w:r>
      <w:r w:rsidR="00B169D7">
        <w:t>meta-analysis</w:t>
      </w:r>
      <w:r w:rsidR="00A54E6A">
        <w:t xml:space="preserve"> conducted to </w:t>
      </w:r>
      <w:r w:rsidR="00A54E6A" w:rsidRPr="00B53993">
        <w:t>determine cohort epidemiologic</w:t>
      </w:r>
      <w:r w:rsidR="00B169D7">
        <w:t>al</w:t>
      </w:r>
      <w:r w:rsidR="00A54E6A" w:rsidRPr="00B53993">
        <w:t xml:space="preserve"> characteristics and success rates of autologous ovarian tissue transplantation </w:t>
      </w:r>
      <w:r w:rsidR="00A54E6A">
        <w:t xml:space="preserve">reported that approximately 78% of the women undergoing fertility preservation due to gonadotoxic treatment had malignant conditions and </w:t>
      </w:r>
      <w:r w:rsidR="00B169D7">
        <w:t xml:space="preserve">the </w:t>
      </w:r>
      <w:r w:rsidR="00A54E6A">
        <w:t xml:space="preserve">other 22% had non-malignant indications </w:t>
      </w:r>
      <w:r w:rsidR="00A109BA">
        <w:fldChar w:fldCharType="begin"/>
      </w:r>
      <w:r w:rsidR="00577E24">
        <w:instrText xml:space="preserve"> ADDIN EN.CITE &lt;EndNote&gt;&lt;Cite&gt;&lt;Author&gt;Pacheco&lt;/Author&gt;&lt;Year&gt;2017&lt;/Year&gt;&lt;RecNum&gt;279&lt;/RecNum&gt;&lt;IDText&gt;1111-1120&lt;/IDText&gt;&lt;DisplayText&gt;(Pacheco &amp;amp; Oktay 2017)&lt;/DisplayText&gt;&lt;record&gt;&lt;rec-number&gt;279&lt;/rec-number&gt;&lt;foreign-keys&gt;&lt;key app="EN" db-id="s2dftfxw1fvsr1efx58vfvxtvfwzxea0td02" timestamp="1511748090"&gt;279&lt;/key&gt;&lt;/foreign-keys&gt;&lt;ref-type name="Journal Article"&gt;17&lt;/ref-type&gt;&lt;contributors&gt;&lt;authors&gt;&lt;author&gt;Pacheco, F.&lt;/author&gt;&lt;author&gt;Oktay, K.&lt;/author&gt;&lt;/authors&gt;&lt;/contributors&gt;&lt;auth-address&gt;1 Innovation Fertility Preservation &amp;amp; IVF, New York, NY, USA.&amp;#xD;2 Division of Reproductive Medicine, Department of Obstetrics and Gynecology, New York Medical College, Valhalla, NY, USA.&amp;#xD;3 Classiclinica, Porto Alegre, Rio Grande do Sul, Brazil.&lt;/auth-address&gt;&lt;titles&gt;&lt;title&gt;Current Success and Efficiency of Autologous Ovarian Transplantation: A Meta-Analysis&lt;/title&gt;&lt;secondary-title&gt;Reprod Sci&lt;/secondary-title&gt;&lt;/titles&gt;&lt;periodical&gt;&lt;full-title&gt;Reprod Sci&lt;/full-title&gt;&lt;/periodical&gt;&lt;pages&gt;1111-1120&lt;/pages&gt;&lt;volume&gt;24&lt;/volume&gt;&lt;number&gt;8&lt;/number&gt;&lt;keywords&gt;&lt;keyword&gt;cryopreservation&lt;/keyword&gt;&lt;keyword&gt;fertility preservation&lt;/keyword&gt;&lt;keyword&gt;ovary&lt;/keyword&gt;&lt;keyword&gt;transplantation&lt;/keyword&gt;&lt;/keywords&gt;&lt;dates&gt;&lt;year&gt;2017&lt;/year&gt;&lt;pub-dates&gt;&lt;date&gt;Aug&lt;/date&gt;&lt;/pub-dates&gt;&lt;/dates&gt;&lt;isbn&gt;1933-7205 (Electronic)&amp;#xD;1933-7191 (Linking)&lt;/isbn&gt;&lt;accession-num&gt;28701069&lt;/accession-num&gt;&lt;urls&gt;&lt;related-urls&gt;&lt;url&gt;http://www.ncbi.nlm.nih.gov/pubmed/28701069&lt;/url&gt;&lt;/related-urls&gt;&lt;/urls&gt;&lt;electronic-resource-num&gt;10.1177/1933719117702251&lt;/electronic-resource-num&gt;&lt;/record&gt;&lt;/Cite&gt;&lt;/EndNote&gt;</w:instrText>
      </w:r>
      <w:r w:rsidR="00A109BA">
        <w:fldChar w:fldCharType="separate"/>
      </w:r>
      <w:r w:rsidR="00A109BA">
        <w:rPr>
          <w:noProof/>
        </w:rPr>
        <w:t>(</w:t>
      </w:r>
      <w:hyperlink w:anchor="_ENREF_53" w:tooltip="Pacheco, 2017 #279" w:history="1">
        <w:r w:rsidR="00835BA6">
          <w:rPr>
            <w:noProof/>
          </w:rPr>
          <w:t>Pacheco &amp; Oktay 2017</w:t>
        </w:r>
      </w:hyperlink>
      <w:r w:rsidR="00A109BA">
        <w:rPr>
          <w:noProof/>
        </w:rPr>
        <w:t>)</w:t>
      </w:r>
      <w:r w:rsidR="00A109BA">
        <w:fldChar w:fldCharType="end"/>
      </w:r>
      <w:r w:rsidR="00067A8F">
        <w:t>.</w:t>
      </w:r>
    </w:p>
    <w:p w14:paraId="348D5EC7" w14:textId="7DCC12A2" w:rsidR="0073555D" w:rsidRDefault="00810F9C" w:rsidP="00810F9C">
      <w:pPr>
        <w:jc w:val="both"/>
      </w:pPr>
      <w:r>
        <w:t>Data provided by clinical expert</w:t>
      </w:r>
      <w:r w:rsidR="00B169D7">
        <w:t>s</w:t>
      </w:r>
      <w:r>
        <w:t xml:space="preserve"> </w:t>
      </w:r>
      <w:r w:rsidR="00B169D7">
        <w:t xml:space="preserve">for one Victorian centre </w:t>
      </w:r>
      <w:r>
        <w:t>indicated that nearly 53% of the</w:t>
      </w:r>
      <w:r w:rsidR="00B169D7">
        <w:t xml:space="preserve"> referred and counselled oncology patients aged 0 to </w:t>
      </w:r>
      <w:r>
        <w:t xml:space="preserve">44 years underwent AMH testing at least once </w:t>
      </w:r>
      <w:r w:rsidR="00B169D7">
        <w:t>during the 2011 to 2017 period. O</w:t>
      </w:r>
      <w:r>
        <w:t xml:space="preserve">f </w:t>
      </w:r>
      <w:r w:rsidR="00B169D7">
        <w:t xml:space="preserve">these patients, </w:t>
      </w:r>
      <w:r>
        <w:t>86% ha</w:t>
      </w:r>
      <w:r w:rsidR="00B169D7">
        <w:t>d an AMH test before or within three</w:t>
      </w:r>
      <w:r>
        <w:t xml:space="preserve"> mont</w:t>
      </w:r>
      <w:r w:rsidR="00B169D7">
        <w:t>hs of their first consultation. It is therefore likely that they were tested prior treatment</w:t>
      </w:r>
      <w:r>
        <w:t xml:space="preserve">. </w:t>
      </w:r>
      <w:r w:rsidR="00E2150C">
        <w:t xml:space="preserve">The MBS item proposes a maximum of one AMH test per patient per year, however not all women in the target population will undergo </w:t>
      </w:r>
      <w:r w:rsidR="00B169D7">
        <w:t xml:space="preserve">routine annual AMH tests after treatment. </w:t>
      </w:r>
      <w:r w:rsidR="00360433" w:rsidRPr="00154082">
        <w:fldChar w:fldCharType="begin"/>
      </w:r>
      <w:r w:rsidR="00360433" w:rsidRPr="00154082">
        <w:instrText xml:space="preserve"> REF _Ref496796782 \h </w:instrText>
      </w:r>
      <w:r w:rsidR="00B169D7" w:rsidRPr="00154082">
        <w:instrText xml:space="preserve"> \* MERGEFORMAT </w:instrText>
      </w:r>
      <w:r w:rsidR="00360433" w:rsidRPr="00154082">
        <w:fldChar w:fldCharType="separate"/>
      </w:r>
      <w:r w:rsidR="00AC4BE5">
        <w:t xml:space="preserve">Table </w:t>
      </w:r>
      <w:r w:rsidR="00AC4BE5">
        <w:rPr>
          <w:noProof/>
        </w:rPr>
        <w:t>68</w:t>
      </w:r>
      <w:r w:rsidR="00360433" w:rsidRPr="00154082">
        <w:fldChar w:fldCharType="end"/>
      </w:r>
      <w:r w:rsidR="00154082">
        <w:t xml:space="preserve"> </w:t>
      </w:r>
      <w:r w:rsidR="00E2150C">
        <w:t>estimates</w:t>
      </w:r>
      <w:r w:rsidR="00492B19">
        <w:t xml:space="preserve"> the current and </w:t>
      </w:r>
      <w:r w:rsidR="00E2150C">
        <w:t xml:space="preserve">expected number of AMH tests annually over the next </w:t>
      </w:r>
      <w:r w:rsidR="00B169D7">
        <w:t>five</w:t>
      </w:r>
      <w:r w:rsidR="00E2150C">
        <w:t xml:space="preserve"> years, </w:t>
      </w:r>
      <w:r w:rsidR="00B169D7">
        <w:t>if the service were to be listed on the</w:t>
      </w:r>
      <w:r w:rsidR="00E2150C">
        <w:t xml:space="preserve"> MBS.</w:t>
      </w:r>
    </w:p>
    <w:p w14:paraId="2EAA6B94" w14:textId="3700A71B" w:rsidR="000B2FB9" w:rsidRDefault="005602D3" w:rsidP="00D366DE">
      <w:pPr>
        <w:pStyle w:val="Heading2"/>
        <w:numPr>
          <w:ilvl w:val="0"/>
          <w:numId w:val="8"/>
        </w:numPr>
      </w:pPr>
      <w:bookmarkStart w:id="128" w:name="_Toc502832904"/>
      <w:r w:rsidRPr="00183E4D">
        <w:t>Comparator</w:t>
      </w:r>
      <w:bookmarkEnd w:id="108"/>
      <w:bookmarkEnd w:id="109"/>
      <w:r w:rsidR="004446E6">
        <w:t xml:space="preserve"> d</w:t>
      </w:r>
      <w:r w:rsidRPr="00183E4D">
        <w:t>etails</w:t>
      </w:r>
      <w:bookmarkEnd w:id="128"/>
    </w:p>
    <w:p w14:paraId="781DAACC" w14:textId="54BE7F69" w:rsidR="007518CF" w:rsidRDefault="007E576B" w:rsidP="007E576B">
      <w:r>
        <w:t>The comparator is usually d</w:t>
      </w:r>
      <w:r w:rsidR="00F97D01">
        <w:t>efined as the</w:t>
      </w:r>
      <w:r>
        <w:t xml:space="preserve"> current practice most likely to be replaced or added to b</w:t>
      </w:r>
      <w:r w:rsidR="00522C40">
        <w:t>y the proposed medical service</w:t>
      </w:r>
      <w:r>
        <w:t>.</w:t>
      </w:r>
      <w:r w:rsidR="00F97D01">
        <w:t xml:space="preserve"> AMH testing would be done in addition to the current standard tests</w:t>
      </w:r>
      <w:r w:rsidR="004B47BF">
        <w:t xml:space="preserve"> to measure ovarian reserve</w:t>
      </w:r>
      <w:r w:rsidR="00F97D01">
        <w:t>.</w:t>
      </w:r>
      <w:r>
        <w:t xml:space="preserve"> </w:t>
      </w:r>
      <w:r w:rsidR="004B47BF">
        <w:t>Ovarian reserve test</w:t>
      </w:r>
      <w:r w:rsidR="00522C40">
        <w:t>ing</w:t>
      </w:r>
      <w:r w:rsidR="004B47BF">
        <w:t xml:space="preserve"> can include both biochemical tests and ultrasound imaging of the ovaries</w:t>
      </w:r>
      <w:r w:rsidR="005D145A">
        <w:rPr>
          <w:noProof/>
        </w:rPr>
        <w:t xml:space="preserve"> </w:t>
      </w:r>
      <w:r w:rsidR="0085281A">
        <w:rPr>
          <w:noProof/>
        </w:rPr>
        <w:fldChar w:fldCharType="begin"/>
      </w:r>
      <w:r w:rsidR="0085281A">
        <w:rPr>
          <w:noProof/>
        </w:rPr>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85281A">
        <w:rPr>
          <w:noProof/>
        </w:rPr>
        <w:fldChar w:fldCharType="separate"/>
      </w:r>
      <w:r w:rsidR="0085281A">
        <w:rPr>
          <w:noProof/>
        </w:rPr>
        <w:t>(</w:t>
      </w:r>
      <w:hyperlink w:anchor="_ENREF_3" w:tooltip="American Society for Reproductive Medicine Practice Committee, 2015 #289" w:history="1">
        <w:r w:rsidR="00835BA6">
          <w:rPr>
            <w:noProof/>
          </w:rPr>
          <w:t>American Society for Reproductive Medicine Practice Committee 2015</w:t>
        </w:r>
      </w:hyperlink>
      <w:r w:rsidR="0085281A">
        <w:rPr>
          <w:noProof/>
        </w:rPr>
        <w:t>)</w:t>
      </w:r>
      <w:r w:rsidR="0085281A">
        <w:rPr>
          <w:noProof/>
        </w:rPr>
        <w:fldChar w:fldCharType="end"/>
      </w:r>
      <w:r w:rsidR="00360433">
        <w:t>.</w:t>
      </w:r>
    </w:p>
    <w:p w14:paraId="734AAD91" w14:textId="6AE3F3F5" w:rsidR="007E576B" w:rsidRDefault="00932B33" w:rsidP="007E576B">
      <w:r>
        <w:t xml:space="preserve">The </w:t>
      </w:r>
      <w:r w:rsidR="003E7EA1">
        <w:t>PICO Confirmation</w:t>
      </w:r>
      <w:r w:rsidR="007E576B">
        <w:t xml:space="preserve"> </w:t>
      </w:r>
      <w:r w:rsidR="004B47BF">
        <w:t>reported the</w:t>
      </w:r>
      <w:r w:rsidR="007E576B">
        <w:t xml:space="preserve"> following</w:t>
      </w:r>
      <w:r w:rsidR="004B47BF">
        <w:t xml:space="preserve"> tests as</w:t>
      </w:r>
      <w:r w:rsidR="007E576B">
        <w:t xml:space="preserve"> comparators:</w:t>
      </w:r>
    </w:p>
    <w:p w14:paraId="32A83214" w14:textId="3334B88A" w:rsidR="00A00B06" w:rsidRPr="00522C40" w:rsidRDefault="00522C40" w:rsidP="00D366DE">
      <w:pPr>
        <w:pStyle w:val="ListParagraph"/>
        <w:numPr>
          <w:ilvl w:val="0"/>
          <w:numId w:val="25"/>
        </w:numPr>
        <w:jc w:val="both"/>
      </w:pPr>
      <w:r w:rsidRPr="00522C40">
        <w:t xml:space="preserve">basal </w:t>
      </w:r>
      <w:r w:rsidR="0076789D">
        <w:t>FSH</w:t>
      </w:r>
      <w:r w:rsidR="007E576B" w:rsidRPr="00522C40">
        <w:t xml:space="preserve"> measurement</w:t>
      </w:r>
    </w:p>
    <w:p w14:paraId="56A30542" w14:textId="3F842C69" w:rsidR="007518CF" w:rsidRPr="00522C40" w:rsidRDefault="00522C40" w:rsidP="00D366DE">
      <w:pPr>
        <w:pStyle w:val="ListParagraph"/>
        <w:numPr>
          <w:ilvl w:val="0"/>
          <w:numId w:val="25"/>
        </w:numPr>
        <w:jc w:val="both"/>
      </w:pPr>
      <w:r>
        <w:t>e</w:t>
      </w:r>
      <w:r w:rsidR="00917656" w:rsidRPr="00522C40">
        <w:t>stradiol (E2) measurement</w:t>
      </w:r>
    </w:p>
    <w:p w14:paraId="70A23D46" w14:textId="7BA46ED1" w:rsidR="007518CF" w:rsidRPr="00522C40" w:rsidRDefault="00522C40" w:rsidP="00D366DE">
      <w:pPr>
        <w:pStyle w:val="ListParagraph"/>
        <w:numPr>
          <w:ilvl w:val="0"/>
          <w:numId w:val="25"/>
        </w:numPr>
        <w:jc w:val="both"/>
      </w:pPr>
      <w:r>
        <w:t>i</w:t>
      </w:r>
      <w:r w:rsidR="00E640B4" w:rsidRPr="00522C40">
        <w:t>nhibin B measurement</w:t>
      </w:r>
    </w:p>
    <w:p w14:paraId="258FEA17" w14:textId="2D94C8FF" w:rsidR="007518CF" w:rsidRPr="00522C40" w:rsidRDefault="0076789D" w:rsidP="00D366DE">
      <w:pPr>
        <w:pStyle w:val="ListParagraph"/>
        <w:numPr>
          <w:ilvl w:val="0"/>
          <w:numId w:val="25"/>
        </w:numPr>
        <w:jc w:val="both"/>
      </w:pPr>
      <w:r>
        <w:t>AFC</w:t>
      </w:r>
      <w:r w:rsidR="00F97D01" w:rsidRPr="00522C40">
        <w:t>, if post-pubertal</w:t>
      </w:r>
      <w:r w:rsidR="00522C40">
        <w:t>.</w:t>
      </w:r>
    </w:p>
    <w:p w14:paraId="09D1D420" w14:textId="167A4E90" w:rsidR="00522C40" w:rsidRDefault="00522C40" w:rsidP="00DF343F">
      <w:pPr>
        <w:jc w:val="both"/>
      </w:pPr>
      <w:r>
        <w:t>FSH is secreted by the pituitary gland in the brain and stimulates the onset of new follicular growth and an increase in estradiol (E2) concentrations</w:t>
      </w:r>
      <w:r w:rsidR="005D145A">
        <w:rPr>
          <w:noProof/>
        </w:rPr>
        <w:t xml:space="preserve"> </w:t>
      </w:r>
      <w:r w:rsidR="0085281A">
        <w:rPr>
          <w:noProof/>
        </w:rPr>
        <w:fldChar w:fldCharType="begin"/>
      </w:r>
      <w:r w:rsidR="0085281A">
        <w:rPr>
          <w:noProof/>
        </w:rPr>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85281A">
        <w:rPr>
          <w:noProof/>
        </w:rPr>
        <w:fldChar w:fldCharType="separate"/>
      </w:r>
      <w:r w:rsidR="0085281A">
        <w:rPr>
          <w:noProof/>
        </w:rPr>
        <w:t>(</w:t>
      </w:r>
      <w:hyperlink w:anchor="_ENREF_3" w:tooltip="American Society for Reproductive Medicine Practice Committee, 2015 #289" w:history="1">
        <w:r w:rsidR="00835BA6">
          <w:rPr>
            <w:noProof/>
          </w:rPr>
          <w:t>American Society for Reproductive Medicine Practice Committee 2015</w:t>
        </w:r>
      </w:hyperlink>
      <w:r w:rsidR="0085281A">
        <w:rPr>
          <w:noProof/>
        </w:rPr>
        <w:t>)</w:t>
      </w:r>
      <w:r w:rsidR="0085281A">
        <w:rPr>
          <w:noProof/>
        </w:rPr>
        <w:fldChar w:fldCharType="end"/>
      </w:r>
      <w:r>
        <w:t xml:space="preserve">. Basal serum FSH concentrations increase around the third day of the menstrual cycle with advancing reproductive age. To predict a woman’s ovarian reserve, FSH is </w:t>
      </w:r>
      <w:r>
        <w:lastRenderedPageBreak/>
        <w:t>usually measured on the third day of the menstrual cycle. Reliability of FSH measurements is limited due to high inter- and intra-cycle variability, and the absence of a consistent cut-off point for abnormal levels. However, FSH is widely used as a measure of ovarian reserve, despite these limitations. High FSH values have been correlated with, but do not necessarily predict, poor ovarian stimulation and failure to conceive</w:t>
      </w:r>
      <w:r w:rsidR="005D145A">
        <w:rPr>
          <w:noProof/>
        </w:rPr>
        <w:t xml:space="preserve"> </w:t>
      </w:r>
      <w:r w:rsidR="0085281A">
        <w:rPr>
          <w:noProof/>
        </w:rPr>
        <w:fldChar w:fldCharType="begin"/>
      </w:r>
      <w:r w:rsidR="0085281A">
        <w:rPr>
          <w:noProof/>
        </w:rPr>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85281A">
        <w:rPr>
          <w:noProof/>
        </w:rPr>
        <w:fldChar w:fldCharType="separate"/>
      </w:r>
      <w:r w:rsidR="0085281A">
        <w:rPr>
          <w:noProof/>
        </w:rPr>
        <w:t>(</w:t>
      </w:r>
      <w:hyperlink w:anchor="_ENREF_3" w:tooltip="American Society for Reproductive Medicine Practice Committee, 2015 #289" w:history="1">
        <w:r w:rsidR="00835BA6">
          <w:rPr>
            <w:noProof/>
          </w:rPr>
          <w:t>American Society for Reproductive Medicine Practice Committee 2015</w:t>
        </w:r>
      </w:hyperlink>
      <w:r w:rsidR="0085281A">
        <w:rPr>
          <w:noProof/>
        </w:rPr>
        <w:t>)</w:t>
      </w:r>
      <w:r w:rsidR="0085281A">
        <w:rPr>
          <w:noProof/>
        </w:rPr>
        <w:fldChar w:fldCharType="end"/>
      </w:r>
      <w:r>
        <w:t>.</w:t>
      </w:r>
    </w:p>
    <w:p w14:paraId="51C376D0" w14:textId="2C2E3FC1" w:rsidR="00522C40" w:rsidRDefault="00522C40" w:rsidP="00DF343F">
      <w:pPr>
        <w:jc w:val="both"/>
      </w:pPr>
      <w:r>
        <w:t xml:space="preserve">Basal E2 level measurements aid the interpretation of the FSH measurements. An early increase of E2 is a characteristic of reproductive aging, and </w:t>
      </w:r>
      <w:r w:rsidR="001C6897">
        <w:t>can return</w:t>
      </w:r>
      <w:r>
        <w:t xml:space="preserve"> an otherwise elevated FSH level </w:t>
      </w:r>
      <w:r w:rsidR="001C6897">
        <w:t>to</w:t>
      </w:r>
      <w:r>
        <w:t xml:space="preserve"> the normal range. Therefore, normal FSH level</w:t>
      </w:r>
      <w:r w:rsidR="001C6897">
        <w:t>s</w:t>
      </w:r>
      <w:r>
        <w:t xml:space="preserve"> </w:t>
      </w:r>
      <w:r w:rsidR="001C6897">
        <w:t>concurrent with</w:t>
      </w:r>
      <w:r>
        <w:t xml:space="preserve"> an increased E2 level </w:t>
      </w:r>
      <w:r w:rsidR="006A7EE7">
        <w:t>at</w:t>
      </w:r>
      <w:r>
        <w:t xml:space="preserve"> </w:t>
      </w:r>
      <w:r w:rsidR="006A7EE7">
        <w:t xml:space="preserve">the </w:t>
      </w:r>
      <w:r w:rsidR="001C6897">
        <w:t>second, third or fourth day</w:t>
      </w:r>
      <w:r>
        <w:t xml:space="preserve"> of the menstrual cycle, </w:t>
      </w:r>
      <w:r w:rsidR="001C6897">
        <w:t>may</w:t>
      </w:r>
      <w:r>
        <w:t xml:space="preserve"> be associated with diminished ovarian reserve, poor response and lower pregnancy rates. Basal E2 measurements have poor inter- and intra-cycle reliability, and should not be used </w:t>
      </w:r>
      <w:r w:rsidR="001C6897">
        <w:t>in the absence of other tests</w:t>
      </w:r>
      <w:r>
        <w:t xml:space="preserve"> to </w:t>
      </w:r>
      <w:r w:rsidR="001C6897">
        <w:t>determine</w:t>
      </w:r>
      <w:r>
        <w:t xml:space="preserve"> diminished ovarian</w:t>
      </w:r>
      <w:r w:rsidR="005D145A">
        <w:rPr>
          <w:noProof/>
        </w:rPr>
        <w:t xml:space="preserve"> </w:t>
      </w:r>
      <w:r w:rsidR="005D145A">
        <w:fldChar w:fldCharType="begin"/>
      </w:r>
      <w:r w:rsidR="005D145A">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5D145A">
        <w:fldChar w:fldCharType="separate"/>
      </w:r>
      <w:r w:rsidR="005D145A">
        <w:rPr>
          <w:noProof/>
        </w:rPr>
        <w:t>(</w:t>
      </w:r>
      <w:hyperlink w:anchor="_ENREF_3" w:tooltip="American Society for Reproductive Medicine Practice Committee, 2015 #289" w:history="1">
        <w:r w:rsidR="00835BA6">
          <w:rPr>
            <w:noProof/>
          </w:rPr>
          <w:t>American Society for Reproductive Medicine Practice Committee 2015</w:t>
        </w:r>
      </w:hyperlink>
      <w:r w:rsidR="005D145A">
        <w:rPr>
          <w:noProof/>
        </w:rPr>
        <w:t>)</w:t>
      </w:r>
      <w:r w:rsidR="005D145A">
        <w:fldChar w:fldCharType="end"/>
      </w:r>
      <w:r>
        <w:t>.</w:t>
      </w:r>
    </w:p>
    <w:p w14:paraId="52B1E353" w14:textId="749D96C9" w:rsidR="00522C40" w:rsidRDefault="00567B0A" w:rsidP="00DF343F">
      <w:pPr>
        <w:jc w:val="both"/>
      </w:pPr>
      <w:r>
        <w:t>I</w:t>
      </w:r>
      <w:r w:rsidR="00522C40">
        <w:t xml:space="preserve">nhibin B is a heterodimeric glycoprotein produced by the granulosa cells in the ovary. It suppresses synthesis and secretion of FSH. </w:t>
      </w:r>
      <w:r>
        <w:t>I</w:t>
      </w:r>
      <w:r w:rsidR="003C2616">
        <w:t>nhibin B</w:t>
      </w:r>
      <w:r w:rsidR="00522C40">
        <w:t xml:space="preserve"> levels are highest in the late follicular phase and luteal phase of the menstrual cycle </w:t>
      </w:r>
      <w:r w:rsidR="00522C40">
        <w:fldChar w:fldCharType="begin">
          <w:fldData xml:space="preserve">PEVuZE5vdGU+PENpdGU+PEF1dGhvcj5DaGFkYTwvQXV0aG9yPjxZZWFyPjIwMDM8L1llYXI+PFJl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=
</w:fldData>
        </w:fldChar>
      </w:r>
      <w:r w:rsidR="00522C40">
        <w:instrText xml:space="preserve"> ADDIN EN.CITE </w:instrText>
      </w:r>
      <w:r w:rsidR="00522C40">
        <w:fldChar w:fldCharType="begin">
          <w:fldData xml:space="preserve">PEVuZE5vdGU+PENpdGU+PEF1dGhvcj5DaGFkYTwvQXV0aG9yPjxZZWFyPjIwMDM8L1llYXI+PFJl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=
</w:fldData>
        </w:fldChar>
      </w:r>
      <w:r w:rsidR="00522C40">
        <w:instrText xml:space="preserve"> ADDIN EN.CITE.DATA </w:instrText>
      </w:r>
      <w:r w:rsidR="00522C40">
        <w:fldChar w:fldCharType="end"/>
      </w:r>
      <w:r w:rsidR="00522C40">
        <w:fldChar w:fldCharType="separate"/>
      </w:r>
      <w:r w:rsidR="00522C40">
        <w:rPr>
          <w:noProof/>
        </w:rPr>
        <w:t>(</w:t>
      </w:r>
      <w:hyperlink w:anchor="_ENREF_13" w:tooltip="Chada, 2003 #87" w:history="1">
        <w:r w:rsidR="00835BA6">
          <w:rPr>
            <w:noProof/>
          </w:rPr>
          <w:t>Chada et al. 2003</w:t>
        </w:r>
      </w:hyperlink>
      <w:r w:rsidR="00522C40">
        <w:rPr>
          <w:noProof/>
        </w:rPr>
        <w:t>)</w:t>
      </w:r>
      <w:r w:rsidR="00522C40">
        <w:fldChar w:fldCharType="end"/>
      </w:r>
      <w:r w:rsidR="00522C40">
        <w:t xml:space="preserve">. The levels of this hormone rise with gonadotropin-releasing </w:t>
      </w:r>
      <w:r w:rsidR="00776418">
        <w:t>hormone (</w:t>
      </w:r>
      <w:r w:rsidR="00522C40">
        <w:t>GnRH) and FSH stimulation, and therefore will show very high variability within the menstrual cycle and between menstrual cycles</w:t>
      </w:r>
      <w:r w:rsidR="005D145A">
        <w:rPr>
          <w:noProof/>
        </w:rPr>
        <w:t xml:space="preserve"> </w:t>
      </w:r>
      <w:r w:rsidR="0085281A">
        <w:rPr>
          <w:noProof/>
        </w:rPr>
        <w:fldChar w:fldCharType="begin"/>
      </w:r>
      <w:r w:rsidR="0085281A">
        <w:rPr>
          <w:noProof/>
        </w:rPr>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85281A">
        <w:rPr>
          <w:noProof/>
        </w:rPr>
        <w:fldChar w:fldCharType="separate"/>
      </w:r>
      <w:r w:rsidR="0085281A">
        <w:rPr>
          <w:noProof/>
        </w:rPr>
        <w:t>(</w:t>
      </w:r>
      <w:hyperlink w:anchor="_ENREF_3" w:tooltip="American Society for Reproductive Medicine Practice Committee, 2015 #289" w:history="1">
        <w:r w:rsidR="00835BA6">
          <w:rPr>
            <w:noProof/>
          </w:rPr>
          <w:t>American Society for Reproductive Medicine Practice Committee 2015</w:t>
        </w:r>
      </w:hyperlink>
      <w:r w:rsidR="0085281A">
        <w:rPr>
          <w:noProof/>
        </w:rPr>
        <w:t>)</w:t>
      </w:r>
      <w:r w:rsidR="0085281A">
        <w:rPr>
          <w:noProof/>
        </w:rPr>
        <w:fldChar w:fldCharType="end"/>
      </w:r>
      <w:r w:rsidR="00522C40">
        <w:t xml:space="preserve">. It is therefore </w:t>
      </w:r>
      <w:r w:rsidR="006A7EE7">
        <w:t>a poor</w:t>
      </w:r>
      <w:r w:rsidR="00522C40">
        <w:t xml:space="preserve"> measure of ovarian reserve. </w:t>
      </w:r>
      <w:r w:rsidR="006A7EE7">
        <w:t>M</w:t>
      </w:r>
      <w:r w:rsidR="00522C40">
        <w:t>ost studies</w:t>
      </w:r>
      <w:r w:rsidR="006A7EE7">
        <w:t xml:space="preserve"> reported in a 2015 review</w:t>
      </w:r>
      <w:r w:rsidR="00522C40">
        <w:t xml:space="preserve"> showed that inhibin B does not discriminate between pregnancy and failure to conceive</w:t>
      </w:r>
      <w:r w:rsidR="005D145A">
        <w:rPr>
          <w:noProof/>
        </w:rPr>
        <w:t xml:space="preserve"> </w:t>
      </w:r>
      <w:r w:rsidR="0085281A">
        <w:rPr>
          <w:noProof/>
        </w:rPr>
        <w:fldChar w:fldCharType="begin"/>
      </w:r>
      <w:r w:rsidR="0085281A">
        <w:rPr>
          <w:noProof/>
        </w:rPr>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85281A">
        <w:rPr>
          <w:noProof/>
        </w:rPr>
        <w:fldChar w:fldCharType="separate"/>
      </w:r>
      <w:r w:rsidR="0085281A">
        <w:rPr>
          <w:noProof/>
        </w:rPr>
        <w:t>(</w:t>
      </w:r>
      <w:hyperlink w:anchor="_ENREF_3" w:tooltip="American Society for Reproductive Medicine Practice Committee, 2015 #289" w:history="1">
        <w:r w:rsidR="00835BA6">
          <w:rPr>
            <w:noProof/>
          </w:rPr>
          <w:t>American Society for Reproductive Medicine Practice Committee 2015</w:t>
        </w:r>
      </w:hyperlink>
      <w:r w:rsidR="0085281A">
        <w:rPr>
          <w:noProof/>
        </w:rPr>
        <w:t>)</w:t>
      </w:r>
      <w:r w:rsidR="0085281A">
        <w:rPr>
          <w:noProof/>
        </w:rPr>
        <w:fldChar w:fldCharType="end"/>
      </w:r>
      <w:r w:rsidR="00522C40">
        <w:t>.</w:t>
      </w:r>
    </w:p>
    <w:p w14:paraId="2B5623A6" w14:textId="089F3F4F" w:rsidR="00522C40" w:rsidRDefault="00522C40" w:rsidP="00DF343F">
      <w:pPr>
        <w:jc w:val="both"/>
      </w:pPr>
      <w:r>
        <w:t xml:space="preserve">Antral follicles can be measured using transvaginal ultrasonography during the early follicular phase. </w:t>
      </w:r>
      <w:r w:rsidR="00924890">
        <w:t>Most studies define a</w:t>
      </w:r>
      <w:r>
        <w:t xml:space="preserve">ntral follicles </w:t>
      </w:r>
      <w:r w:rsidR="00924890">
        <w:t>as those measuring two to ten millimetres</w:t>
      </w:r>
      <w:r>
        <w:t xml:space="preserve"> in diameter in the greatest two-dimensional plane, although some studies define antra</w:t>
      </w:r>
      <w:r w:rsidR="00924890">
        <w:t>l follicles as those measured three to eight</w:t>
      </w:r>
      <w:r>
        <w:t xml:space="preserve"> </w:t>
      </w:r>
      <w:r w:rsidR="00924890">
        <w:t>millimetres</w:t>
      </w:r>
      <w:r>
        <w:t xml:space="preserve">. AFC </w:t>
      </w:r>
      <w:r w:rsidR="00924890">
        <w:t>has been</w:t>
      </w:r>
      <w:r>
        <w:t xml:space="preserve"> identified </w:t>
      </w:r>
      <w:r w:rsidR="00924890">
        <w:t xml:space="preserve">as </w:t>
      </w:r>
      <w:r>
        <w:t xml:space="preserve">a predictor of ovarian response in </w:t>
      </w:r>
      <w:r w:rsidR="0076789D">
        <w:t>ART</w:t>
      </w:r>
      <w:r>
        <w:t xml:space="preserve">, where low AFC is considered to be </w:t>
      </w:r>
      <w:r w:rsidR="00924890">
        <w:t>three to six</w:t>
      </w:r>
      <w:r>
        <w:t xml:space="preserve"> antral follicles and is associated with poor response to ovarian stimulation. However, </w:t>
      </w:r>
      <w:r w:rsidR="00924890">
        <w:t>AFC seems unable</w:t>
      </w:r>
      <w:r>
        <w:t xml:space="preserve"> to reliably p</w:t>
      </w:r>
      <w:r w:rsidR="00924890">
        <w:t>redict the ability to conceive</w:t>
      </w:r>
      <w:r w:rsidR="005D145A">
        <w:rPr>
          <w:noProof/>
        </w:rPr>
        <w:t xml:space="preserve"> </w:t>
      </w:r>
      <w:r w:rsidR="0085281A">
        <w:rPr>
          <w:noProof/>
        </w:rPr>
        <w:fldChar w:fldCharType="begin"/>
      </w:r>
      <w:r w:rsidR="0085281A">
        <w:rPr>
          <w:noProof/>
        </w:rPr>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85281A">
        <w:rPr>
          <w:noProof/>
        </w:rPr>
        <w:fldChar w:fldCharType="separate"/>
      </w:r>
      <w:r w:rsidR="0085281A">
        <w:rPr>
          <w:noProof/>
        </w:rPr>
        <w:t>(</w:t>
      </w:r>
      <w:hyperlink w:anchor="_ENREF_3" w:tooltip="American Society for Reproductive Medicine Practice Committee, 2015 #289" w:history="1">
        <w:r w:rsidR="00835BA6">
          <w:rPr>
            <w:noProof/>
          </w:rPr>
          <w:t>American Society for Reproductive Medicine Practice Committee 2015</w:t>
        </w:r>
      </w:hyperlink>
      <w:r w:rsidR="0085281A">
        <w:rPr>
          <w:noProof/>
        </w:rPr>
        <w:t>)</w:t>
      </w:r>
      <w:r w:rsidR="0085281A">
        <w:rPr>
          <w:noProof/>
        </w:rPr>
        <w:fldChar w:fldCharType="end"/>
      </w:r>
      <w:r w:rsidR="00924890">
        <w:t>.</w:t>
      </w:r>
      <w:r>
        <w:t xml:space="preserve"> AFC has </w:t>
      </w:r>
      <w:r w:rsidR="00924890">
        <w:t>l</w:t>
      </w:r>
      <w:r>
        <w:t>ow inter</w:t>
      </w:r>
      <w:r w:rsidR="00916047">
        <w:t>-cycle</w:t>
      </w:r>
      <w:r>
        <w:t xml:space="preserve"> variability and low to moderate inter</w:t>
      </w:r>
      <w:r w:rsidR="00924890">
        <w:t>-</w:t>
      </w:r>
      <w:r>
        <w:t xml:space="preserve">observer variability </w:t>
      </w:r>
      <w:r>
        <w:fldChar w:fldCharType="begin">
          <w:fldData xml:space="preserve">PEVuZE5vdGU+PENpdGU+PEF1dGhvcj5Ic3U8L0F1dGhvcj48WWVhcj4yMDExPC9ZZWFyPjxSZWNO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</w:fldData>
        </w:fldChar>
      </w:r>
      <w:r>
        <w:instrText xml:space="preserve"> ADDIN EN.CITE </w:instrText>
      </w:r>
      <w:r>
        <w:fldChar w:fldCharType="begin">
          <w:fldData xml:space="preserve">PEVuZE5vdGU+PENpdGU+PEF1dGhvcj5Ic3U8L0F1dGhvcj48WWVhcj4yMDExPC9ZZWFyPjxSZWNO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</w:fldData>
        </w:fldChar>
      </w:r>
      <w:r>
        <w:instrText xml:space="preserve"> ADDIN EN.CITE.DATA </w:instrText>
      </w:r>
      <w:r>
        <w:fldChar w:fldCharType="end"/>
      </w:r>
      <w:r>
        <w:fldChar w:fldCharType="separate"/>
      </w:r>
      <w:r>
        <w:rPr>
          <w:noProof/>
        </w:rPr>
        <w:t>(</w:t>
      </w:r>
      <w:hyperlink w:anchor="_ENREF_30" w:tooltip="Hsu, 2011 #183" w:history="1">
        <w:r w:rsidR="00835BA6">
          <w:rPr>
            <w:noProof/>
          </w:rPr>
          <w:t>Hsu et al. 2011</w:t>
        </w:r>
      </w:hyperlink>
      <w:r>
        <w:rPr>
          <w:noProof/>
        </w:rPr>
        <w:t>)</w:t>
      </w:r>
      <w:r>
        <w:fldChar w:fldCharType="end"/>
      </w:r>
      <w:r>
        <w:t>. Inter- and intra</w:t>
      </w:r>
      <w:r w:rsidR="00924890">
        <w:t>-</w:t>
      </w:r>
      <w:r>
        <w:t>observer variability may be limiting, especially in centres with less experience or lower quality equipment</w:t>
      </w:r>
      <w:r w:rsidR="005D145A">
        <w:rPr>
          <w:noProof/>
        </w:rPr>
        <w:t xml:space="preserve"> </w:t>
      </w:r>
      <w:r w:rsidR="0085281A">
        <w:rPr>
          <w:noProof/>
        </w:rPr>
        <w:fldChar w:fldCharType="begin"/>
      </w:r>
      <w:r w:rsidR="0085281A">
        <w:rPr>
          <w:noProof/>
        </w:rPr>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85281A">
        <w:rPr>
          <w:noProof/>
        </w:rPr>
        <w:fldChar w:fldCharType="separate"/>
      </w:r>
      <w:r w:rsidR="0085281A">
        <w:rPr>
          <w:noProof/>
        </w:rPr>
        <w:t>(</w:t>
      </w:r>
      <w:hyperlink w:anchor="_ENREF_3" w:tooltip="American Society for Reproductive Medicine Practice Committee, 2015 #289" w:history="1">
        <w:r w:rsidR="00835BA6">
          <w:rPr>
            <w:noProof/>
          </w:rPr>
          <w:t>American Society for Reproductive Medicine Practice Committee 2015</w:t>
        </w:r>
      </w:hyperlink>
      <w:r w:rsidR="0085281A">
        <w:rPr>
          <w:noProof/>
        </w:rPr>
        <w:t>)</w:t>
      </w:r>
      <w:r w:rsidR="0085281A">
        <w:rPr>
          <w:noProof/>
        </w:rPr>
        <w:fldChar w:fldCharType="end"/>
      </w:r>
      <w:r>
        <w:t>.</w:t>
      </w:r>
    </w:p>
    <w:p w14:paraId="2288D35F" w14:textId="2965C903" w:rsidR="000214B4" w:rsidRDefault="0083477B" w:rsidP="00DF343F">
      <w:pPr>
        <w:jc w:val="both"/>
      </w:pPr>
      <w:r w:rsidRPr="00183E4D">
        <w:t xml:space="preserve">The MBS </w:t>
      </w:r>
      <w:r w:rsidRPr="001628D0">
        <w:t>item descriptors for the rele</w:t>
      </w:r>
      <w:r w:rsidR="007951E8" w:rsidRPr="001628D0">
        <w:t>vant comparator</w:t>
      </w:r>
      <w:r w:rsidRPr="001628D0">
        <w:t>s</w:t>
      </w:r>
      <w:r w:rsidR="00154082">
        <w:t>, including explanatory notes,</w:t>
      </w:r>
      <w:r w:rsidR="007951E8" w:rsidRPr="001628D0">
        <w:t xml:space="preserve"> are</w:t>
      </w:r>
      <w:r w:rsidRPr="00183E4D">
        <w:t xml:space="preserve"> </w:t>
      </w:r>
      <w:r w:rsidRPr="00154082">
        <w:t xml:space="preserve">summarised </w:t>
      </w:r>
      <w:r w:rsidR="00154082">
        <w:t xml:space="preserve">in </w:t>
      </w:r>
      <w:r w:rsidR="00154082">
        <w:rPr>
          <w:highlight w:val="yellow"/>
        </w:rPr>
        <w:fldChar w:fldCharType="begin"/>
      </w:r>
      <w:r w:rsidR="00154082">
        <w:instrText xml:space="preserve"> REF _Ref350151252 \h </w:instrText>
      </w:r>
      <w:r w:rsidR="00154082">
        <w:rPr>
          <w:highlight w:val="yellow"/>
        </w:rPr>
      </w:r>
      <w:r w:rsidR="00154082">
        <w:rPr>
          <w:highlight w:val="yellow"/>
        </w:rPr>
        <w:fldChar w:fldCharType="separate"/>
      </w:r>
      <w:r w:rsidR="00AC4BE5" w:rsidRPr="00C477C2">
        <w:t xml:space="preserve">Table </w:t>
      </w:r>
      <w:r w:rsidR="00AC4BE5">
        <w:rPr>
          <w:noProof/>
        </w:rPr>
        <w:t>10</w:t>
      </w:r>
      <w:r w:rsidR="00154082">
        <w:rPr>
          <w:highlight w:val="yellow"/>
        </w:rPr>
        <w:fldChar w:fldCharType="end"/>
      </w:r>
      <w:r w:rsidR="00154082">
        <w:t xml:space="preserve"> to </w:t>
      </w:r>
      <w:r w:rsidR="00154082">
        <w:rPr>
          <w:highlight w:val="yellow"/>
        </w:rPr>
        <w:fldChar w:fldCharType="begin"/>
      </w:r>
      <w:r w:rsidR="00154082">
        <w:instrText xml:space="preserve"> REF _Ref501463443 \h </w:instrText>
      </w:r>
      <w:r w:rsidR="00154082">
        <w:rPr>
          <w:highlight w:val="yellow"/>
        </w:rPr>
      </w:r>
      <w:r w:rsidR="00154082">
        <w:rPr>
          <w:highlight w:val="yellow"/>
        </w:rPr>
        <w:fldChar w:fldCharType="separate"/>
      </w:r>
      <w:r w:rsidR="00AC4BE5" w:rsidRPr="00C477C2">
        <w:t xml:space="preserve">Table </w:t>
      </w:r>
      <w:r w:rsidR="00AC4BE5">
        <w:rPr>
          <w:noProof/>
        </w:rPr>
        <w:t>12</w:t>
      </w:r>
      <w:r w:rsidR="00154082">
        <w:rPr>
          <w:highlight w:val="yellow"/>
        </w:rPr>
        <w:fldChar w:fldCharType="end"/>
      </w:r>
      <w:r w:rsidRPr="00183E4D">
        <w:t>.</w:t>
      </w:r>
      <w:r w:rsidR="007951E8">
        <w:t xml:space="preserve"> Inhibin B measurements are currently not listed on the MBS, however FSH and E2 are listed under MBS </w:t>
      </w:r>
      <w:r w:rsidR="007E0948">
        <w:t>item</w:t>
      </w:r>
      <w:r w:rsidR="007951E8">
        <w:t xml:space="preserve"> 66695.</w:t>
      </w:r>
      <w:r w:rsidR="001628D0">
        <w:t xml:space="preserve"> AFC is done using ultrasound under MBS item 55065.</w:t>
      </w:r>
    </w:p>
    <w:p w14:paraId="40DD3E99" w14:textId="77777777" w:rsidR="000214B4" w:rsidRDefault="000214B4">
      <w:pPr>
        <w:spacing w:after="0" w:line="240" w:lineRule="auto"/>
      </w:pPr>
      <w:r>
        <w:br w:type="page"/>
      </w:r>
    </w:p>
    <w:p w14:paraId="762199E8" w14:textId="0F13E0AC" w:rsidR="007D2548" w:rsidRPr="00183E4D" w:rsidRDefault="007D2548" w:rsidP="00BB381C">
      <w:pPr>
        <w:pStyle w:val="Caption"/>
        <w:tabs>
          <w:tab w:val="left" w:pos="1134"/>
        </w:tabs>
        <w:ind w:left="1134" w:hanging="1134"/>
        <w:jc w:val="both"/>
      </w:pPr>
      <w:bookmarkStart w:id="129" w:name="_Ref350151252"/>
      <w:bookmarkStart w:id="130" w:name="_Ref350151231"/>
      <w:bookmarkStart w:id="131" w:name="_Toc350258536"/>
      <w:bookmarkStart w:id="132" w:name="_Toc381969860"/>
      <w:bookmarkStart w:id="133" w:name="_Toc502833028"/>
      <w:r w:rsidRPr="00C477C2">
        <w:lastRenderedPageBreak/>
        <w:t xml:space="preserve">Table </w:t>
      </w:r>
      <w:r w:rsidR="00AC4BE5">
        <w:fldChar w:fldCharType="begin"/>
      </w:r>
      <w:r w:rsidR="00AC4BE5">
        <w:instrText xml:space="preserve"> SEQ Table \* ARABIC </w:instrText>
      </w:r>
      <w:r w:rsidR="00AC4BE5">
        <w:fldChar w:fldCharType="separate"/>
      </w:r>
      <w:r w:rsidR="00AC4BE5">
        <w:rPr>
          <w:noProof/>
        </w:rPr>
        <w:t>10</w:t>
      </w:r>
      <w:r w:rsidR="00AC4BE5">
        <w:rPr>
          <w:noProof/>
        </w:rPr>
        <w:fldChar w:fldCharType="end"/>
      </w:r>
      <w:bookmarkEnd w:id="129"/>
      <w:r w:rsidRPr="00C477C2">
        <w:rPr>
          <w:noProof/>
        </w:rPr>
        <w:tab/>
      </w:r>
      <w:r w:rsidRPr="00C477C2">
        <w:t xml:space="preserve">Relevant MBS item for </w:t>
      </w:r>
      <w:bookmarkEnd w:id="130"/>
      <w:bookmarkEnd w:id="131"/>
      <w:bookmarkEnd w:id="132"/>
      <w:r w:rsidR="00154082">
        <w:t>comparator tests</w:t>
      </w:r>
      <w:bookmarkEnd w:id="133"/>
    </w:p>
    <w:tbl>
      <w:tblPr>
        <w:tblStyle w:val="TableGrid1"/>
        <w:tblW w:w="0" w:type="auto"/>
        <w:tblLook w:val="04A0" w:firstRow="1" w:lastRow="0" w:firstColumn="1" w:lastColumn="0" w:noHBand="0" w:noVBand="1"/>
        <w:tblCaption w:val="Table 12 Relevant MBS item for the comparator"/>
        <w:tblDescription w:val="This table describes the current item descriptor in the Medicare Benefits Schedule for the main comparator technology."/>
      </w:tblPr>
      <w:tblGrid>
        <w:gridCol w:w="8911"/>
      </w:tblGrid>
      <w:tr w:rsidR="007D2548" w:rsidRPr="00183E4D" w14:paraId="472A0454" w14:textId="77777777" w:rsidTr="004D6D0A">
        <w:trPr>
          <w:cnfStyle w:val="100000000000" w:firstRow="1" w:lastRow="0" w:firstColumn="0" w:lastColumn="0" w:oddVBand="0" w:evenVBand="0" w:oddHBand="0" w:evenHBand="0" w:firstRowFirstColumn="0" w:firstRowLastColumn="0" w:lastRowFirstColumn="0" w:lastRowLastColumn="0"/>
          <w:trHeight w:val="335"/>
          <w:tblHeader/>
        </w:trPr>
        <w:tc>
          <w:tcPr>
            <w:tcW w:w="8911" w:type="dxa"/>
          </w:tcPr>
          <w:p w14:paraId="021A548B" w14:textId="4023B899" w:rsidR="007D2548" w:rsidRPr="00183E4D" w:rsidRDefault="007D2548" w:rsidP="005A30D7">
            <w:pPr>
              <w:pStyle w:val="Tabletext1"/>
            </w:pPr>
            <w:r w:rsidRPr="00183E4D">
              <w:t>Category</w:t>
            </w:r>
            <w:r w:rsidR="00543D7E">
              <w:t xml:space="preserve"> 6 -</w:t>
            </w:r>
            <w:r w:rsidR="00C477C2">
              <w:t xml:space="preserve"> Pathology Services</w:t>
            </w:r>
            <w:r w:rsidRPr="00183E4D">
              <w:t xml:space="preserve"> </w:t>
            </w:r>
          </w:p>
        </w:tc>
      </w:tr>
      <w:tr w:rsidR="007D2548" w:rsidRPr="00183E4D" w14:paraId="509F8314" w14:textId="77777777" w:rsidTr="004D6D0A">
        <w:tc>
          <w:tcPr>
            <w:tcW w:w="8911" w:type="dxa"/>
          </w:tcPr>
          <w:p w14:paraId="31F4EE53" w14:textId="77777777" w:rsidR="007D2548" w:rsidRDefault="007D2548" w:rsidP="005A30D7">
            <w:pPr>
              <w:pStyle w:val="Tabletext1"/>
            </w:pPr>
            <w:r w:rsidRPr="00183E4D">
              <w:t xml:space="preserve">MBS </w:t>
            </w:r>
            <w:r w:rsidR="00C477C2">
              <w:t>66695</w:t>
            </w:r>
          </w:p>
          <w:p w14:paraId="7D7216D7" w14:textId="1CE3224E" w:rsidR="00C477C2" w:rsidRDefault="00C477C2" w:rsidP="005A30D7">
            <w:pPr>
              <w:pStyle w:val="Tabletext1"/>
            </w:pPr>
          </w:p>
          <w:p w14:paraId="4FD31318" w14:textId="7F79A0E7" w:rsidR="00C477C2" w:rsidRDefault="007B585A" w:rsidP="005A30D7">
            <w:pPr>
              <w:pStyle w:val="Tabletext1"/>
            </w:pPr>
            <w:r>
              <w:t xml:space="preserve">Quantitation in blood or urine of hormones and hormone binding proteins - ACTH, aldosterone, androstenedione, C-peptide, calcitonin, cortisol, DHEAS, 11-deoxycortisol, dihydrotestosterone, FSH, gastrin, glucagon, growth hormone, hydroxyprogesterone, insulin, LH, </w:t>
            </w:r>
            <w:r w:rsidR="00A70795">
              <w:t>estradiol</w:t>
            </w:r>
            <w:r>
              <w:t xml:space="preserve">, oestrone, progesterone, prolactin, PTH, renin, sex hormone binding globulin, somatomedin C(IGF-1), free or total testosterone, urine steroid fraction or fractions, </w:t>
            </w:r>
            <w:r w:rsidR="00F84FCA">
              <w:t xml:space="preserve">vasoactive intestinal peptide </w:t>
            </w:r>
            <w:r>
              <w:t>- 1 test</w:t>
            </w:r>
          </w:p>
          <w:p w14:paraId="50A7C8E6" w14:textId="77777777" w:rsidR="00C477C2" w:rsidRDefault="00C477C2" w:rsidP="005A30D7">
            <w:pPr>
              <w:pStyle w:val="Tabletext1"/>
            </w:pPr>
          </w:p>
          <w:p w14:paraId="1E248EAE" w14:textId="1B9A900A" w:rsidR="007B585A" w:rsidRDefault="007B585A" w:rsidP="005A30D7">
            <w:pPr>
              <w:pStyle w:val="Tabletext1"/>
            </w:pPr>
            <w:r>
              <w:t>(Item is subject to rule 6)</w:t>
            </w:r>
          </w:p>
          <w:p w14:paraId="15E042CD" w14:textId="77777777" w:rsidR="007B585A" w:rsidRPr="007B585A" w:rsidRDefault="007B585A" w:rsidP="005A30D7">
            <w:pPr>
              <w:pStyle w:val="Tabletext1"/>
            </w:pPr>
            <w:r w:rsidRPr="007B585A">
              <w:t>Fee: $30.50 Benefit: 75% = $22.90 85% = $25.95</w:t>
            </w:r>
          </w:p>
          <w:p w14:paraId="1C67AE89" w14:textId="5BE246D7" w:rsidR="007D2548" w:rsidRPr="007B585A" w:rsidRDefault="007B585A" w:rsidP="005A30D7">
            <w:pPr>
              <w:pStyle w:val="Tabletext1"/>
            </w:pPr>
            <w:r w:rsidRPr="007B585A">
              <w:t xml:space="preserve">(See para </w:t>
            </w:r>
            <w:hyperlink r:id="rId17" w:history="1">
              <w:r w:rsidRPr="007B585A">
                <w:t>TN.1.4</w:t>
              </w:r>
            </w:hyperlink>
            <w:r w:rsidRPr="007B585A">
              <w:t xml:space="preserve"> of explanatory notes to this Category)</w:t>
            </w:r>
          </w:p>
        </w:tc>
      </w:tr>
      <w:tr w:rsidR="005509BD" w:rsidRPr="00183E4D" w14:paraId="617DFDF4" w14:textId="77777777" w:rsidTr="004D6D0A">
        <w:tc>
          <w:tcPr>
            <w:tcW w:w="8911" w:type="dxa"/>
          </w:tcPr>
          <w:p w14:paraId="263B3392" w14:textId="07E38E91" w:rsidR="005509BD" w:rsidRDefault="005509BD" w:rsidP="005A30D7">
            <w:pPr>
              <w:pStyle w:val="Tabletext1"/>
            </w:pPr>
            <w:r w:rsidRPr="00183E4D">
              <w:t xml:space="preserve">MBS </w:t>
            </w:r>
            <w:r>
              <w:t>66698</w:t>
            </w:r>
          </w:p>
          <w:p w14:paraId="2C53E501" w14:textId="77777777" w:rsidR="007518CF" w:rsidRDefault="005509BD" w:rsidP="005A30D7">
            <w:pPr>
              <w:pStyle w:val="Tabletext1"/>
            </w:pPr>
            <w:r w:rsidRPr="005509BD">
              <w:t>2 tests described in item 66695</w:t>
            </w:r>
          </w:p>
          <w:p w14:paraId="750851B5" w14:textId="77777777" w:rsidR="007518CF" w:rsidRDefault="005509BD" w:rsidP="005A30D7">
            <w:pPr>
              <w:pStyle w:val="Tabletext1"/>
            </w:pPr>
            <w:r w:rsidRPr="005509BD">
              <w:t>(Item is subject to rule 6)</w:t>
            </w:r>
          </w:p>
          <w:p w14:paraId="6F2AA407" w14:textId="29852C7C" w:rsidR="005509BD" w:rsidRPr="005509BD" w:rsidRDefault="005509BD" w:rsidP="005A30D7">
            <w:pPr>
              <w:pStyle w:val="Tabletext1"/>
            </w:pPr>
            <w:r w:rsidRPr="005509BD">
              <w:t>Fee: $43.70 Benefit: 75% = $32.80 85% = $37.15</w:t>
            </w:r>
          </w:p>
          <w:p w14:paraId="37DE2D56" w14:textId="1CC4039E" w:rsidR="005509BD" w:rsidRPr="00183E4D" w:rsidRDefault="005509BD" w:rsidP="005A30D7">
            <w:pPr>
              <w:pStyle w:val="Tabletext1"/>
            </w:pPr>
            <w:r w:rsidRPr="005509BD">
              <w:t xml:space="preserve">(See para </w:t>
            </w:r>
            <w:hyperlink r:id="rId18" w:history="1">
              <w:r w:rsidRPr="005509BD">
                <w:t>TN.1.4</w:t>
              </w:r>
            </w:hyperlink>
            <w:r w:rsidRPr="005509BD">
              <w:t xml:space="preserve"> of explanatory notes to this Category)</w:t>
            </w:r>
          </w:p>
        </w:tc>
      </w:tr>
      <w:tr w:rsidR="005509BD" w:rsidRPr="00183E4D" w14:paraId="2D60F067" w14:textId="77777777" w:rsidTr="004D6D0A">
        <w:tc>
          <w:tcPr>
            <w:tcW w:w="8911" w:type="dxa"/>
          </w:tcPr>
          <w:p w14:paraId="706A29FE" w14:textId="2C4D6EFD" w:rsidR="005509BD" w:rsidRDefault="005509BD" w:rsidP="005A30D7">
            <w:pPr>
              <w:pStyle w:val="Tabletext1"/>
            </w:pPr>
            <w:r w:rsidRPr="00183E4D">
              <w:t xml:space="preserve">MBS </w:t>
            </w:r>
            <w:r w:rsidR="00E6125C">
              <w:t>66</w:t>
            </w:r>
            <w:r>
              <w:t>701</w:t>
            </w:r>
          </w:p>
          <w:p w14:paraId="624C14FD" w14:textId="77777777" w:rsidR="007518CF" w:rsidRDefault="005509BD" w:rsidP="005A30D7">
            <w:pPr>
              <w:pStyle w:val="Tabletext1"/>
            </w:pPr>
            <w:r>
              <w:t>3</w:t>
            </w:r>
            <w:r w:rsidRPr="005509BD">
              <w:t xml:space="preserve"> tests described in item 66695</w:t>
            </w:r>
          </w:p>
          <w:p w14:paraId="4E870ED2" w14:textId="77777777" w:rsidR="007518CF" w:rsidRDefault="005509BD" w:rsidP="005A30D7">
            <w:pPr>
              <w:pStyle w:val="Tabletext1"/>
            </w:pPr>
            <w:r w:rsidRPr="005509BD">
              <w:t>(Item is subject to rule 6)</w:t>
            </w:r>
          </w:p>
          <w:p w14:paraId="5E726341" w14:textId="77777777" w:rsidR="007518CF" w:rsidRDefault="005509BD" w:rsidP="005A30D7">
            <w:pPr>
              <w:pStyle w:val="Tabletext1"/>
            </w:pPr>
            <w:r>
              <w:rPr>
                <w:b/>
                <w:bCs/>
              </w:rPr>
              <w:t>Fee:</w:t>
            </w:r>
            <w:r>
              <w:t xml:space="preserve"> $56.90 </w:t>
            </w:r>
            <w:r>
              <w:rPr>
                <w:b/>
                <w:bCs/>
              </w:rPr>
              <w:t>Benefit:</w:t>
            </w:r>
            <w:r>
              <w:t xml:space="preserve"> 75% = $42.70 85% = $48.40</w:t>
            </w:r>
          </w:p>
          <w:p w14:paraId="0E967AC7" w14:textId="2E506D00" w:rsidR="005509BD" w:rsidRDefault="005509BD" w:rsidP="005A30D7">
            <w:pPr>
              <w:pStyle w:val="Tabletext1"/>
            </w:pPr>
          </w:p>
          <w:p w14:paraId="72A13451" w14:textId="13B1299F" w:rsidR="005509BD" w:rsidRPr="00183E4D" w:rsidRDefault="005509BD" w:rsidP="005A30D7">
            <w:pPr>
              <w:pStyle w:val="Tabletext1"/>
            </w:pPr>
            <w:r w:rsidRPr="005509BD">
              <w:t xml:space="preserve">(See para </w:t>
            </w:r>
            <w:hyperlink r:id="rId19" w:history="1">
              <w:r w:rsidRPr="005509BD">
                <w:t>TN.1.4</w:t>
              </w:r>
            </w:hyperlink>
            <w:r w:rsidRPr="005509BD">
              <w:t xml:space="preserve"> of explanatory notes to this Category)</w:t>
            </w:r>
          </w:p>
        </w:tc>
      </w:tr>
      <w:tr w:rsidR="005509BD" w:rsidRPr="00183E4D" w14:paraId="1975756B" w14:textId="77777777" w:rsidTr="004D6D0A">
        <w:tc>
          <w:tcPr>
            <w:tcW w:w="8911" w:type="dxa"/>
          </w:tcPr>
          <w:p w14:paraId="4A264D28" w14:textId="6DB84BA2" w:rsidR="005509BD" w:rsidRDefault="005509BD" w:rsidP="005A30D7">
            <w:pPr>
              <w:pStyle w:val="Tabletext1"/>
            </w:pPr>
            <w:r w:rsidRPr="00183E4D">
              <w:t xml:space="preserve">MBS </w:t>
            </w:r>
            <w:r>
              <w:t>66704</w:t>
            </w:r>
          </w:p>
          <w:p w14:paraId="44AC696D" w14:textId="77777777" w:rsidR="007518CF" w:rsidRDefault="00E6125C" w:rsidP="005A30D7">
            <w:pPr>
              <w:pStyle w:val="Tabletext1"/>
            </w:pPr>
            <w:r>
              <w:t>4</w:t>
            </w:r>
            <w:r w:rsidR="005509BD" w:rsidRPr="005509BD">
              <w:t xml:space="preserve"> tests described in item 66695</w:t>
            </w:r>
          </w:p>
          <w:p w14:paraId="53A99479" w14:textId="77777777" w:rsidR="007518CF" w:rsidRDefault="005509BD" w:rsidP="005A30D7">
            <w:pPr>
              <w:pStyle w:val="Tabletext1"/>
            </w:pPr>
            <w:r w:rsidRPr="005509BD">
              <w:t>(Item is subject to rule 6)</w:t>
            </w:r>
          </w:p>
          <w:p w14:paraId="326CB638" w14:textId="255547A0" w:rsidR="005509BD" w:rsidRDefault="00E6125C" w:rsidP="005A30D7">
            <w:pPr>
              <w:pStyle w:val="Tabletext1"/>
            </w:pPr>
            <w:r>
              <w:rPr>
                <w:b/>
                <w:bCs/>
              </w:rPr>
              <w:t>Fee:</w:t>
            </w:r>
            <w:r>
              <w:t xml:space="preserve"> $70.15 </w:t>
            </w:r>
            <w:r>
              <w:rPr>
                <w:b/>
                <w:bCs/>
              </w:rPr>
              <w:t>Benefit:</w:t>
            </w:r>
            <w:r>
              <w:t xml:space="preserve"> 75% = $52.65 85% = $59.65</w:t>
            </w:r>
          </w:p>
          <w:p w14:paraId="7AE36FCC" w14:textId="77777777" w:rsidR="00E6125C" w:rsidRDefault="00E6125C" w:rsidP="005A30D7">
            <w:pPr>
              <w:pStyle w:val="Tabletext1"/>
            </w:pPr>
          </w:p>
          <w:p w14:paraId="220AF569" w14:textId="0F9741A9" w:rsidR="005509BD" w:rsidRPr="00183E4D" w:rsidRDefault="005509BD" w:rsidP="005A30D7">
            <w:pPr>
              <w:pStyle w:val="Tabletext1"/>
            </w:pPr>
            <w:r w:rsidRPr="005509BD">
              <w:t xml:space="preserve">(See para </w:t>
            </w:r>
            <w:hyperlink r:id="rId20" w:history="1">
              <w:r w:rsidRPr="005509BD">
                <w:t>TN.1.4</w:t>
              </w:r>
            </w:hyperlink>
            <w:r w:rsidRPr="005509BD">
              <w:t xml:space="preserve"> of explanatory notes to this Category)</w:t>
            </w:r>
          </w:p>
        </w:tc>
      </w:tr>
      <w:tr w:rsidR="00EA5B5E" w:rsidRPr="00183E4D" w14:paraId="7CCBBBD4" w14:textId="77777777" w:rsidTr="004D6D0A">
        <w:tc>
          <w:tcPr>
            <w:tcW w:w="8911" w:type="dxa"/>
          </w:tcPr>
          <w:p w14:paraId="69F813D7" w14:textId="4B6B2F3F" w:rsidR="00EA5B5E" w:rsidRDefault="00EA5B5E" w:rsidP="005A30D7">
            <w:pPr>
              <w:pStyle w:val="Tabletext1"/>
            </w:pPr>
            <w:r w:rsidRPr="00183E4D">
              <w:t xml:space="preserve">MBS </w:t>
            </w:r>
            <w:r>
              <w:t>66707</w:t>
            </w:r>
          </w:p>
          <w:p w14:paraId="5F25CF1D" w14:textId="77777777" w:rsidR="007518CF" w:rsidRDefault="00EA5B5E" w:rsidP="005A30D7">
            <w:pPr>
              <w:pStyle w:val="Tabletext1"/>
            </w:pPr>
            <w:r>
              <w:t>5</w:t>
            </w:r>
            <w:r w:rsidR="00071055">
              <w:t xml:space="preserve"> or more</w:t>
            </w:r>
            <w:r w:rsidRPr="005509BD">
              <w:t xml:space="preserve"> tests described in item 66695</w:t>
            </w:r>
          </w:p>
          <w:p w14:paraId="0F2EAFB2" w14:textId="77777777" w:rsidR="007518CF" w:rsidRDefault="00EA5B5E" w:rsidP="005A30D7">
            <w:pPr>
              <w:pStyle w:val="Tabletext1"/>
            </w:pPr>
            <w:r w:rsidRPr="005509BD">
              <w:t>(Item is subject to rule 6)</w:t>
            </w:r>
          </w:p>
          <w:p w14:paraId="7B4BD05C" w14:textId="48877209" w:rsidR="00EA5B5E" w:rsidRDefault="00071055" w:rsidP="005A30D7">
            <w:pPr>
              <w:pStyle w:val="Tabletext1"/>
            </w:pPr>
            <w:r>
              <w:rPr>
                <w:b/>
                <w:bCs/>
              </w:rPr>
              <w:t>Fee:</w:t>
            </w:r>
            <w:r>
              <w:t xml:space="preserve"> $83.35 </w:t>
            </w:r>
            <w:r>
              <w:rPr>
                <w:b/>
                <w:bCs/>
              </w:rPr>
              <w:t>Benefit:</w:t>
            </w:r>
            <w:r>
              <w:t xml:space="preserve"> 75% = $62.55 85% = $70.85</w:t>
            </w:r>
          </w:p>
          <w:p w14:paraId="769D275A" w14:textId="77777777" w:rsidR="00071055" w:rsidRDefault="00071055" w:rsidP="005A30D7">
            <w:pPr>
              <w:pStyle w:val="Tabletext1"/>
            </w:pPr>
          </w:p>
          <w:p w14:paraId="51E94368" w14:textId="26855D86" w:rsidR="00EA5B5E" w:rsidRPr="00183E4D" w:rsidRDefault="00EA5B5E" w:rsidP="005A30D7">
            <w:pPr>
              <w:pStyle w:val="Tabletext1"/>
            </w:pPr>
            <w:r w:rsidRPr="005509BD">
              <w:t xml:space="preserve">(See para </w:t>
            </w:r>
            <w:hyperlink r:id="rId21" w:history="1">
              <w:r w:rsidRPr="005509BD">
                <w:t>TN.1.4</w:t>
              </w:r>
            </w:hyperlink>
            <w:r w:rsidRPr="005509BD">
              <w:t xml:space="preserve"> of explanatory notes to this Category)</w:t>
            </w:r>
          </w:p>
        </w:tc>
      </w:tr>
    </w:tbl>
    <w:p w14:paraId="25FE0477" w14:textId="02E92676" w:rsidR="005509BD" w:rsidRPr="00183E4D" w:rsidRDefault="005509BD" w:rsidP="00543D7E">
      <w:pPr>
        <w:pStyle w:val="Caption"/>
        <w:tabs>
          <w:tab w:val="left" w:pos="1134"/>
        </w:tabs>
        <w:spacing w:before="240"/>
        <w:ind w:left="1134" w:hanging="1134"/>
        <w:jc w:val="both"/>
      </w:pPr>
      <w:bookmarkStart w:id="134" w:name="_Toc502833029"/>
      <w:r w:rsidRPr="00C477C2">
        <w:t xml:space="preserve">Table </w:t>
      </w:r>
      <w:r w:rsidR="00AC4BE5">
        <w:fldChar w:fldCharType="begin"/>
      </w:r>
      <w:r w:rsidR="00AC4BE5">
        <w:instrText xml:space="preserve"> SEQ Table \* ARABIC </w:instrText>
      </w:r>
      <w:r w:rsidR="00AC4BE5">
        <w:fldChar w:fldCharType="separate"/>
      </w:r>
      <w:r w:rsidR="00AC4BE5">
        <w:rPr>
          <w:noProof/>
        </w:rPr>
        <w:t>11</w:t>
      </w:r>
      <w:r w:rsidR="00AC4BE5">
        <w:rPr>
          <w:noProof/>
        </w:rPr>
        <w:fldChar w:fldCharType="end"/>
      </w:r>
      <w:r w:rsidRPr="00C477C2">
        <w:rPr>
          <w:noProof/>
        </w:rPr>
        <w:tab/>
      </w:r>
      <w:r>
        <w:t>Explanatory notes for comparator MBS item number</w:t>
      </w:r>
      <w:bookmarkEnd w:id="134"/>
    </w:p>
    <w:tbl>
      <w:tblPr>
        <w:tblStyle w:val="TableGrid1"/>
        <w:tblW w:w="0" w:type="auto"/>
        <w:tblLook w:val="04A0" w:firstRow="1" w:lastRow="0" w:firstColumn="1" w:lastColumn="0" w:noHBand="0" w:noVBand="1"/>
        <w:tblCaption w:val="Table 12 Relevant MBS item for the comparator"/>
        <w:tblDescription w:val="This table describes the current item descriptor in the Medicare Benefits Schedule for the main comparator technology."/>
      </w:tblPr>
      <w:tblGrid>
        <w:gridCol w:w="9072"/>
      </w:tblGrid>
      <w:tr w:rsidR="005509BD" w:rsidRPr="00183E4D" w14:paraId="5C777C81" w14:textId="77777777" w:rsidTr="004D6D0A">
        <w:trPr>
          <w:cnfStyle w:val="100000000000" w:firstRow="1" w:lastRow="0" w:firstColumn="0" w:lastColumn="0" w:oddVBand="0" w:evenVBand="0" w:oddHBand="0" w:evenHBand="0" w:firstRowFirstColumn="0" w:firstRowLastColumn="0" w:lastRowFirstColumn="0" w:lastRowLastColumn="0"/>
          <w:trHeight w:val="335"/>
          <w:tblHeader/>
        </w:trPr>
        <w:tc>
          <w:tcPr>
            <w:tcW w:w="9072" w:type="dxa"/>
          </w:tcPr>
          <w:p w14:paraId="1CFE2253" w14:textId="47E336EB" w:rsidR="005509BD" w:rsidRPr="00183E4D" w:rsidRDefault="005509BD" w:rsidP="005A30D7">
            <w:pPr>
              <w:pStyle w:val="Tabletext1"/>
            </w:pPr>
            <w:r w:rsidRPr="00183E4D">
              <w:t>Category</w:t>
            </w:r>
            <w:r w:rsidR="00543D7E">
              <w:t xml:space="preserve"> 3 -</w:t>
            </w:r>
            <w:r>
              <w:t xml:space="preserve"> Therapeutic procedures</w:t>
            </w:r>
            <w:r w:rsidRPr="00183E4D">
              <w:t xml:space="preserve"> </w:t>
            </w:r>
          </w:p>
        </w:tc>
      </w:tr>
      <w:tr w:rsidR="005509BD" w:rsidRPr="00183E4D" w14:paraId="3684AD86" w14:textId="77777777" w:rsidTr="004D6D0A">
        <w:tc>
          <w:tcPr>
            <w:tcW w:w="9072" w:type="dxa"/>
          </w:tcPr>
          <w:p w14:paraId="6EF03D19" w14:textId="6BFE8E99" w:rsidR="005509BD" w:rsidRDefault="005509BD" w:rsidP="005A30D7">
            <w:pPr>
              <w:pStyle w:val="Tabletext1"/>
            </w:pPr>
            <w:r>
              <w:t>TN. 1.4. Assisted Reproductive Technology ART Services - (Items 13200 to 13221)</w:t>
            </w:r>
          </w:p>
          <w:p w14:paraId="7C3F535E" w14:textId="4AE8DA27" w:rsidR="005509BD" w:rsidRPr="005509BD" w:rsidRDefault="005509BD" w:rsidP="005A30D7">
            <w:pPr>
              <w:pStyle w:val="Tabletext1"/>
            </w:pPr>
            <w:r w:rsidRPr="005509BD">
              <w:t>Medicare benefits are not payable in respect of ANY other item in the Medicare Benefits Schedule (including Pathology and Diagnostic Imaging) in lieu of or in connection with items 13200 - 13221</w:t>
            </w:r>
            <w:r w:rsidR="007F4459">
              <w:t xml:space="preserve">. </w:t>
            </w:r>
            <w:r w:rsidRPr="005509BD">
              <w:t>Specifically, Medicare benefits are not payable for these items in association with items 104, 105, 14203, 14206, 35637, pathology tests or diagnostic imaging.</w:t>
            </w:r>
          </w:p>
          <w:p w14:paraId="246E34F6" w14:textId="77777777" w:rsidR="005509BD" w:rsidRPr="005509BD" w:rsidRDefault="005509BD" w:rsidP="005A30D7">
            <w:pPr>
              <w:pStyle w:val="Tabletext1"/>
            </w:pPr>
            <w:r w:rsidRPr="005509BD">
              <w:t>A treatment cycle that is a series of treatments for the purposes of ART services is defined as beginning either on the day on which treatment by superovulatory drugs is commenced or on the first day of the patient's menstrual cycle, and ending either; not more than 30 days later, or if a service mentioned in item 13212, 13215 or 13321 is provided in connection with the series of treatments-on the day after the day on which the last of those services is provided.</w:t>
            </w:r>
          </w:p>
          <w:p w14:paraId="32F285ED" w14:textId="77777777" w:rsidR="005509BD" w:rsidRPr="005509BD" w:rsidRDefault="005509BD" w:rsidP="005A30D7">
            <w:pPr>
              <w:pStyle w:val="Tabletext1"/>
            </w:pPr>
            <w:r w:rsidRPr="005509BD">
              <w:t>The date of service in respect of treatment covered by Items 13200, 13201, 13203, 13206, 13209 and 13218 is DEEMED to be the FIRST DAY of the treatment cycle.</w:t>
            </w:r>
          </w:p>
          <w:p w14:paraId="1D08B6A8" w14:textId="77777777" w:rsidR="005509BD" w:rsidRPr="005509BD" w:rsidRDefault="005509BD" w:rsidP="005A30D7">
            <w:pPr>
              <w:pStyle w:val="Tabletext1"/>
            </w:pPr>
            <w:r w:rsidRPr="005509BD">
              <w:t xml:space="preserve">Items 13200, 13201, 13202 and 13203 are linked to the supply of hormones under the Section 100 (National Health Act) arrangements. Providers must notify the Department of Human Services of Medicare card numbers of patients using </w:t>
            </w:r>
            <w:r w:rsidRPr="005509BD">
              <w:lastRenderedPageBreak/>
              <w:t>hormones under this program, and hormones are only supplied for patients claiming one of these four items.</w:t>
            </w:r>
          </w:p>
          <w:p w14:paraId="72541189" w14:textId="77777777" w:rsidR="005509BD" w:rsidRPr="005509BD" w:rsidRDefault="005509BD" w:rsidP="005A30D7">
            <w:pPr>
              <w:pStyle w:val="Tabletext1"/>
            </w:pPr>
            <w:r w:rsidRPr="005509BD">
              <w:t>Medicare benefits are not payable for assisted reproductive services rendered in conjunction with surrogacy arrangements where surrogacy is defined as 'an arrangement whereby a woman agrees to become pregnant and to bear a child for another person or persons to whom she will transfer guardianship and custodial rights at or shortly after birth'.</w:t>
            </w:r>
          </w:p>
          <w:p w14:paraId="1058B782" w14:textId="23FAC3BC" w:rsidR="005509BD" w:rsidRPr="007B585A" w:rsidRDefault="005509BD" w:rsidP="005A30D7">
            <w:pPr>
              <w:pStyle w:val="Tabletext1"/>
            </w:pPr>
            <w:r w:rsidRPr="005509BD">
              <w:t>NOTE: Items 14203 and 14206 are not payable for artificial insemination.</w:t>
            </w:r>
          </w:p>
        </w:tc>
      </w:tr>
    </w:tbl>
    <w:p w14:paraId="371BF601" w14:textId="22B90F90" w:rsidR="001628D0" w:rsidRDefault="001628D0" w:rsidP="00543D7E">
      <w:pPr>
        <w:pStyle w:val="Caption"/>
        <w:tabs>
          <w:tab w:val="left" w:pos="1134"/>
        </w:tabs>
        <w:spacing w:before="240"/>
        <w:ind w:left="1134" w:hanging="1134"/>
        <w:jc w:val="both"/>
      </w:pPr>
      <w:bookmarkStart w:id="135" w:name="_Ref501463443"/>
      <w:bookmarkStart w:id="136" w:name="_Toc502833030"/>
      <w:r w:rsidRPr="00C477C2">
        <w:lastRenderedPageBreak/>
        <w:t xml:space="preserve">Table </w:t>
      </w:r>
      <w:r w:rsidR="00AC4BE5">
        <w:fldChar w:fldCharType="begin"/>
      </w:r>
      <w:r w:rsidR="00AC4BE5">
        <w:instrText xml:space="preserve"> SEQ Table \* ARABIC </w:instrText>
      </w:r>
      <w:r w:rsidR="00AC4BE5">
        <w:fldChar w:fldCharType="separate"/>
      </w:r>
      <w:r w:rsidR="00AC4BE5">
        <w:rPr>
          <w:noProof/>
        </w:rPr>
        <w:t>12</w:t>
      </w:r>
      <w:r w:rsidR="00AC4BE5">
        <w:rPr>
          <w:noProof/>
        </w:rPr>
        <w:fldChar w:fldCharType="end"/>
      </w:r>
      <w:bookmarkEnd w:id="135"/>
      <w:r w:rsidRPr="00C477C2">
        <w:rPr>
          <w:noProof/>
        </w:rPr>
        <w:tab/>
      </w:r>
      <w:r w:rsidRPr="00C477C2">
        <w:t xml:space="preserve">Relevant MBS item for </w:t>
      </w:r>
      <w:r>
        <w:t>ultrasound used for antral follicle count</w:t>
      </w:r>
      <w:bookmarkEnd w:id="136"/>
    </w:p>
    <w:tbl>
      <w:tblPr>
        <w:tblStyle w:val="TableGrid1"/>
        <w:tblW w:w="0" w:type="auto"/>
        <w:tblLook w:val="04A0" w:firstRow="1" w:lastRow="0" w:firstColumn="1" w:lastColumn="0" w:noHBand="0" w:noVBand="1"/>
        <w:tblCaption w:val="Table 12 Relevant MBS item for the comparator"/>
        <w:tblDescription w:val="This table describes the current item descriptor in the Medicare Benefits Schedule for the main comparator technology."/>
      </w:tblPr>
      <w:tblGrid>
        <w:gridCol w:w="8911"/>
      </w:tblGrid>
      <w:tr w:rsidR="001628D0" w:rsidRPr="00183E4D" w14:paraId="117FE352"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8911" w:type="dxa"/>
          </w:tcPr>
          <w:p w14:paraId="3E4FABD5" w14:textId="13B0871A" w:rsidR="001628D0" w:rsidRPr="005A30D7" w:rsidRDefault="001628D0" w:rsidP="005A30D7">
            <w:pPr>
              <w:pStyle w:val="Tabletext1"/>
            </w:pPr>
            <w:r w:rsidRPr="005A30D7">
              <w:t>Category</w:t>
            </w:r>
            <w:r w:rsidR="00543D7E" w:rsidRPr="005A30D7">
              <w:t xml:space="preserve"> 5 -</w:t>
            </w:r>
            <w:r w:rsidRPr="005A30D7">
              <w:t xml:space="preserve"> Diagnostic Imaging Services </w:t>
            </w:r>
          </w:p>
        </w:tc>
      </w:tr>
      <w:tr w:rsidR="001628D0" w:rsidRPr="00183E4D" w14:paraId="48244BB9" w14:textId="77777777" w:rsidTr="004D6D0A">
        <w:tc>
          <w:tcPr>
            <w:tcW w:w="8911" w:type="dxa"/>
          </w:tcPr>
          <w:p w14:paraId="255B5BDB" w14:textId="32B762C3" w:rsidR="001628D0" w:rsidRPr="005A30D7" w:rsidRDefault="001628D0" w:rsidP="005A30D7">
            <w:pPr>
              <w:pStyle w:val="Tabletext1"/>
            </w:pPr>
            <w:r w:rsidRPr="005A30D7">
              <w:t>MBS 55065</w:t>
            </w:r>
          </w:p>
          <w:p w14:paraId="2070F43C" w14:textId="77777777" w:rsidR="001628D0" w:rsidRPr="005A30D7" w:rsidRDefault="001628D0" w:rsidP="005A30D7">
            <w:pPr>
              <w:pStyle w:val="Tabletext1"/>
            </w:pPr>
          </w:p>
          <w:p w14:paraId="438628BE" w14:textId="77777777" w:rsidR="007518CF" w:rsidRPr="005A30D7" w:rsidRDefault="001628D0" w:rsidP="005A30D7">
            <w:pPr>
              <w:pStyle w:val="Tabletext1"/>
            </w:pPr>
            <w:r w:rsidRPr="005A30D7">
              <w:t>PELVIS, ultrasound scan of, by any or all approaches, where:</w:t>
            </w:r>
          </w:p>
          <w:p w14:paraId="03E97A12" w14:textId="70CA6701" w:rsidR="007518CF" w:rsidRPr="005A30D7" w:rsidRDefault="00F84FCA" w:rsidP="005A30D7">
            <w:pPr>
              <w:pStyle w:val="Tabletext1"/>
            </w:pPr>
            <w:r w:rsidRPr="005A30D7">
              <w:t xml:space="preserve">(a) </w:t>
            </w:r>
            <w:r w:rsidR="001628D0" w:rsidRPr="005A30D7">
              <w:t>the patient is referred by a medical practitioner; and</w:t>
            </w:r>
          </w:p>
          <w:p w14:paraId="32AD4649" w14:textId="34028D5C" w:rsidR="007518CF" w:rsidRPr="005A30D7" w:rsidRDefault="00F84FCA" w:rsidP="005A30D7">
            <w:pPr>
              <w:pStyle w:val="Tabletext1"/>
            </w:pPr>
            <w:r w:rsidRPr="005A30D7">
              <w:t>(b)</w:t>
            </w:r>
            <w:r w:rsidR="001628D0" w:rsidRPr="005A30D7">
              <w:t>the service is not associated with a service to which an item in Subgroup 2, or 3, applies; and</w:t>
            </w:r>
          </w:p>
          <w:p w14:paraId="23DCAF90" w14:textId="4FC58DE7" w:rsidR="00A00B06" w:rsidRPr="005A30D7" w:rsidRDefault="00F84FCA" w:rsidP="005A30D7">
            <w:pPr>
              <w:pStyle w:val="Tabletext1"/>
            </w:pPr>
            <w:r w:rsidRPr="005A30D7">
              <w:t xml:space="preserve">(c) </w:t>
            </w:r>
            <w:r w:rsidR="001628D0" w:rsidRPr="005A30D7">
              <w:t>the referring practitioner is not a member of a group of  practitioners of which the providing practitioner is a member; and</w:t>
            </w:r>
          </w:p>
          <w:p w14:paraId="1C4188FF" w14:textId="20A3016F" w:rsidR="007518CF" w:rsidRPr="005A30D7" w:rsidRDefault="00F84FCA" w:rsidP="005A30D7">
            <w:pPr>
              <w:pStyle w:val="Tabletext1"/>
            </w:pPr>
            <w:r w:rsidRPr="005A30D7">
              <w:t xml:space="preserve">(d) </w:t>
            </w:r>
            <w:r w:rsidR="001628D0" w:rsidRPr="005A30D7">
              <w:t>the service is not solely a transrectal ultrasonic examination of the prostate gland, bladder base and ur</w:t>
            </w:r>
            <w:r w:rsidRPr="005A30D7">
              <w:t xml:space="preserve">ethra, or any of those organs; </w:t>
            </w:r>
            <w:r w:rsidR="001628D0" w:rsidRPr="005A30D7">
              <w:t>and</w:t>
            </w:r>
          </w:p>
          <w:p w14:paraId="16A8F75F" w14:textId="0A397F73" w:rsidR="007518CF" w:rsidRPr="005A30D7" w:rsidRDefault="00F84FCA" w:rsidP="005A30D7">
            <w:pPr>
              <w:pStyle w:val="Tabletext1"/>
            </w:pPr>
            <w:r w:rsidRPr="005A30D7">
              <w:t xml:space="preserve">(e) </w:t>
            </w:r>
            <w:r w:rsidR="001628D0" w:rsidRPr="005A30D7">
              <w:t>the service is not performed with item 55014, 55017, 55036 or 55038 on the same patient within 24 hours (R)(K)</w:t>
            </w:r>
          </w:p>
          <w:p w14:paraId="7BD794A9" w14:textId="193162D3" w:rsidR="001628D0" w:rsidRPr="005A30D7" w:rsidRDefault="00AC4BE5" w:rsidP="005A30D7">
            <w:pPr>
              <w:pStyle w:val="Tabletext1"/>
            </w:pPr>
            <w:hyperlink r:id="rId22" w:history="1">
              <w:r w:rsidR="001628D0" w:rsidRPr="005A30D7">
                <w:t>Bulk bill incentive</w:t>
              </w:r>
            </w:hyperlink>
          </w:p>
          <w:p w14:paraId="186F0F95" w14:textId="77777777" w:rsidR="001628D0" w:rsidRPr="005A30D7" w:rsidRDefault="001628D0" w:rsidP="005A30D7">
            <w:pPr>
              <w:pStyle w:val="Tabletext1"/>
            </w:pPr>
          </w:p>
          <w:p w14:paraId="77B58817" w14:textId="77777777" w:rsidR="001628D0" w:rsidRPr="005A30D7" w:rsidRDefault="001628D0" w:rsidP="005A30D7">
            <w:pPr>
              <w:pStyle w:val="Tabletext1"/>
            </w:pPr>
            <w:r w:rsidRPr="005A30D7">
              <w:t>Fee: $98.25 Benefit: 75% = $73.70 85% = $83.55</w:t>
            </w:r>
          </w:p>
          <w:p w14:paraId="32BE4330" w14:textId="1307AB13" w:rsidR="001628D0" w:rsidRPr="005A30D7" w:rsidRDefault="001628D0" w:rsidP="005A30D7">
            <w:pPr>
              <w:pStyle w:val="Tabletext1"/>
            </w:pPr>
            <w:r w:rsidRPr="005A30D7">
              <w:t xml:space="preserve">(See para </w:t>
            </w:r>
            <w:hyperlink r:id="rId23" w:history="1">
              <w:r w:rsidRPr="005A30D7">
                <w:t>IN.0.19</w:t>
              </w:r>
            </w:hyperlink>
            <w:r w:rsidRPr="005A30D7">
              <w:t xml:space="preserve"> of explanatory notes to this Category)</w:t>
            </w:r>
          </w:p>
        </w:tc>
      </w:tr>
    </w:tbl>
    <w:p w14:paraId="18176C52" w14:textId="4D76AF69" w:rsidR="005602D3" w:rsidRPr="00183E4D" w:rsidRDefault="001D4D47" w:rsidP="004446E6">
      <w:pPr>
        <w:pStyle w:val="Heading3"/>
      </w:pPr>
      <w:bookmarkStart w:id="137" w:name="_Toc502832905"/>
      <w:r>
        <w:t>Clinica</w:t>
      </w:r>
      <w:r w:rsidR="004446E6">
        <w:t>l management a</w:t>
      </w:r>
      <w:r>
        <w:t>lgorithm</w:t>
      </w:r>
      <w:r w:rsidR="00FF05F0">
        <w:t>s</w:t>
      </w:r>
      <w:bookmarkEnd w:id="137"/>
    </w:p>
    <w:p w14:paraId="601A87D9" w14:textId="74DA6DDD" w:rsidR="007518CF" w:rsidRPr="001D4D47" w:rsidRDefault="00813720" w:rsidP="001D4D47">
      <w:pPr>
        <w:jc w:val="both"/>
      </w:pPr>
      <w:r>
        <w:fldChar w:fldCharType="begin"/>
      </w:r>
      <w:r>
        <w:instrText xml:space="preserve"> REF _Ref379455005 \h </w:instrText>
      </w:r>
      <w:r w:rsidR="006F4FBC">
        <w:instrText xml:space="preserve"> \* MERGEFORMAT </w:instrText>
      </w:r>
      <w:r>
        <w:fldChar w:fldCharType="separate"/>
      </w:r>
      <w:r w:rsidR="00AC4BE5" w:rsidRPr="00183E4D">
        <w:t xml:space="preserve">Figure </w:t>
      </w:r>
      <w:r w:rsidR="00AC4BE5">
        <w:rPr>
          <w:noProof/>
        </w:rPr>
        <w:t>2</w:t>
      </w:r>
      <w:r>
        <w:fldChar w:fldCharType="end"/>
      </w:r>
      <w:r>
        <w:t xml:space="preserve"> shows the current and proposed clinical management algorithm for </w:t>
      </w:r>
      <w:r w:rsidR="006F4FBC">
        <w:t xml:space="preserve">females prior to gonadotoxic treatment. The proposed intervention is shown in red. The current and proposed clinical management algorithms for females following the completion of gonadotoxic treatment are shown in </w:t>
      </w:r>
      <w:r w:rsidR="006F4FBC">
        <w:fldChar w:fldCharType="begin"/>
      </w:r>
      <w:r w:rsidR="006F4FBC">
        <w:instrText xml:space="preserve"> REF _Ref477853455 \h  \* MERGEFORMAT </w:instrText>
      </w:r>
      <w:r w:rsidR="006F4FBC">
        <w:fldChar w:fldCharType="separate"/>
      </w:r>
      <w:r w:rsidR="00AC4BE5" w:rsidRPr="00CE368C">
        <w:t xml:space="preserve">Figure </w:t>
      </w:r>
      <w:r w:rsidR="00AC4BE5">
        <w:rPr>
          <w:noProof/>
        </w:rPr>
        <w:t>3</w:t>
      </w:r>
      <w:r w:rsidR="006F4FBC">
        <w:fldChar w:fldCharType="end"/>
      </w:r>
      <w:r w:rsidR="006F4FBC">
        <w:t xml:space="preserve"> and </w:t>
      </w:r>
      <w:r w:rsidR="006F4FBC">
        <w:fldChar w:fldCharType="begin"/>
      </w:r>
      <w:r w:rsidR="006F4FBC">
        <w:instrText xml:space="preserve"> REF _Ref477853594 \h  \* MERGEFORMAT </w:instrText>
      </w:r>
      <w:r w:rsidR="006F4FBC">
        <w:fldChar w:fldCharType="separate"/>
      </w:r>
      <w:r w:rsidR="00AC4BE5" w:rsidRPr="00CE368C">
        <w:t xml:space="preserve">Figure </w:t>
      </w:r>
      <w:r w:rsidR="00AC4BE5">
        <w:rPr>
          <w:noProof/>
        </w:rPr>
        <w:t>4</w:t>
      </w:r>
      <w:r w:rsidR="006F4FBC">
        <w:fldChar w:fldCharType="end"/>
      </w:r>
      <w:r w:rsidR="006F4FBC">
        <w:t>, respectively. In most cases, the AMH test will be done in addition to current ovarian reserve tests</w:t>
      </w:r>
      <w:r w:rsidR="001D4D47">
        <w:t>, i.e.</w:t>
      </w:r>
      <w:r w:rsidR="006F4FBC">
        <w:t xml:space="preserve"> </w:t>
      </w:r>
      <w:r w:rsidR="001D4D47">
        <w:t>FSH</w:t>
      </w:r>
      <w:r w:rsidR="006F4FBC">
        <w:t xml:space="preserve">, </w:t>
      </w:r>
      <w:r w:rsidR="001D4D47">
        <w:t>E2</w:t>
      </w:r>
      <w:r w:rsidR="006F4FBC">
        <w:t xml:space="preserve"> </w:t>
      </w:r>
      <w:r w:rsidR="001D4D47">
        <w:t>and AFC</w:t>
      </w:r>
      <w:r w:rsidR="006F4FBC">
        <w:t>.</w:t>
      </w:r>
    </w:p>
    <w:p w14:paraId="2A09AC46" w14:textId="7FA1E9B5" w:rsidR="002E5149" w:rsidRDefault="009C15A8" w:rsidP="00DF343F">
      <w:pPr>
        <w:jc w:val="both"/>
      </w:pPr>
      <w:r w:rsidRPr="007A67F7">
        <w:rPr>
          <w:noProof/>
        </w:rPr>
        <w:lastRenderedPageBreak/>
        <w:drawing>
          <wp:inline distT="0" distB="0" distL="0" distR="0" wp14:anchorId="5633A357" wp14:editId="160E3113">
            <wp:extent cx="5731510" cy="7619096"/>
            <wp:effectExtent l="0" t="0" r="2540" b="1270"/>
            <wp:docPr id="5" name="Picture 5" descr="Current and proposed clinical management algorithm for the assessment of ovarian reserve and cryopreservation of oocytes (if post-pubertal, current practice) or ovarian tissue (proposed) for female patients (0–45 years) prior to receiving gonadotoxic treatment " title="Current and proposed clinical management algorithm for the assessment of ovarian reserve and cryopreservation of oocytes (if post-pubertal, current practice) or ovarian tissue (proposed) for female patients (0–45 years) prior to receiving gonadotoxic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Sciences\SPHCP\Public Health\Projects\AHTA\MSAC\CAs\1435_Cryopreservation gonadal tissue\Project plan and Research protocol\Clinical pathways-1435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619096"/>
                    </a:xfrm>
                    <a:prstGeom prst="rect">
                      <a:avLst/>
                    </a:prstGeom>
                    <a:noFill/>
                    <a:ln>
                      <a:noFill/>
                    </a:ln>
                  </pic:spPr>
                </pic:pic>
              </a:graphicData>
            </a:graphic>
          </wp:inline>
        </w:drawing>
      </w:r>
    </w:p>
    <w:p w14:paraId="261F6DDC" w14:textId="321F0EF1" w:rsidR="007518CF" w:rsidRDefault="002E5149" w:rsidP="00637A2A">
      <w:pPr>
        <w:pStyle w:val="Caption"/>
        <w:ind w:left="1134" w:hanging="1134"/>
        <w:jc w:val="both"/>
      </w:pPr>
      <w:bookmarkStart w:id="138" w:name="_Ref379455005"/>
      <w:bookmarkStart w:id="139" w:name="_Ref379454995"/>
      <w:bookmarkStart w:id="140" w:name="_Toc381969891"/>
      <w:bookmarkStart w:id="141" w:name="_Toc502833116"/>
      <w:r w:rsidRPr="00183E4D">
        <w:t xml:space="preserve">Figure </w:t>
      </w:r>
      <w:fldSimple w:instr=" SEQ Figure \* ARABIC ">
        <w:r w:rsidR="00AC4BE5">
          <w:rPr>
            <w:noProof/>
          </w:rPr>
          <w:t>2</w:t>
        </w:r>
      </w:fldSimple>
      <w:bookmarkEnd w:id="138"/>
      <w:bookmarkEnd w:id="139"/>
      <w:bookmarkEnd w:id="140"/>
      <w:r w:rsidR="00637A2A">
        <w:tab/>
      </w:r>
      <w:r w:rsidR="001D4D47">
        <w:t>C</w:t>
      </w:r>
      <w:r w:rsidR="00637A2A" w:rsidRPr="00637A2A">
        <w:t>li</w:t>
      </w:r>
      <w:r w:rsidR="00543D7E">
        <w:t xml:space="preserve">nical management algorithm for </w:t>
      </w:r>
      <w:r w:rsidR="00637A2A" w:rsidRPr="00637A2A">
        <w:t xml:space="preserve">assessment of ovarian reserve and cryopreservation of oocytes </w:t>
      </w:r>
      <w:r w:rsidR="001D4D47">
        <w:t xml:space="preserve">or ovarian tissue. </w:t>
      </w:r>
      <w:r w:rsidR="00543D7E">
        <w:t>P</w:t>
      </w:r>
      <w:r w:rsidR="001D4D47">
        <w:t>athway showing cryopreservation of oocytes is current practice in post-pubertal cases.</w:t>
      </w:r>
      <w:r w:rsidR="00637A2A" w:rsidRPr="00637A2A">
        <w:t xml:space="preserve"> </w:t>
      </w:r>
      <w:r w:rsidR="00543D7E">
        <w:t>P</w:t>
      </w:r>
      <w:r w:rsidR="001D4D47">
        <w:t>athway showing cryopreservation of</w:t>
      </w:r>
      <w:r w:rsidR="00637A2A" w:rsidRPr="00637A2A">
        <w:t xml:space="preserve"> ovarian tissue </w:t>
      </w:r>
      <w:r w:rsidR="001D4D47">
        <w:t xml:space="preserve">is </w:t>
      </w:r>
      <w:r w:rsidR="00CE2AB7">
        <w:t xml:space="preserve">for </w:t>
      </w:r>
      <w:r w:rsidR="001D4D47">
        <w:t>the proposed service.</w:t>
      </w:r>
      <w:r w:rsidR="00637A2A" w:rsidRPr="00637A2A">
        <w:t xml:space="preserve"> </w:t>
      </w:r>
      <w:r w:rsidR="001D4D47">
        <w:t>The relevant population for both pathways includes</w:t>
      </w:r>
      <w:r w:rsidR="002705A0">
        <w:t xml:space="preserve"> females </w:t>
      </w:r>
      <w:r w:rsidR="001D4D47">
        <w:t>aged 0 to 45 years,</w:t>
      </w:r>
      <w:r w:rsidR="00637A2A" w:rsidRPr="00637A2A">
        <w:t xml:space="preserve"> </w:t>
      </w:r>
      <w:r w:rsidR="00543D7E">
        <w:t>pre-</w:t>
      </w:r>
      <w:r w:rsidR="00637A2A" w:rsidRPr="00637A2A">
        <w:t>gonadotoxic treatment</w:t>
      </w:r>
      <w:bookmarkEnd w:id="141"/>
    </w:p>
    <w:p w14:paraId="22460848" w14:textId="792DF92D" w:rsidR="0024135A" w:rsidRDefault="0024135A" w:rsidP="00543D7E">
      <w:pPr>
        <w:pStyle w:val="Tablenotes0"/>
        <w:spacing w:after="0"/>
        <w:rPr>
          <w:szCs w:val="44"/>
        </w:rPr>
      </w:pPr>
      <w:r>
        <w:t xml:space="preserve">AFC = antral follicle count, AMH = </w:t>
      </w:r>
      <w:r w:rsidR="00C22392">
        <w:rPr>
          <w:szCs w:val="44"/>
        </w:rPr>
        <w:t>anti-Müllerian h</w:t>
      </w:r>
      <w:r w:rsidRPr="00D358F5">
        <w:rPr>
          <w:szCs w:val="44"/>
        </w:rPr>
        <w:t>ormone</w:t>
      </w:r>
      <w:r>
        <w:rPr>
          <w:szCs w:val="44"/>
        </w:rPr>
        <w:t>, FSH = follicle</w:t>
      </w:r>
      <w:r w:rsidR="00DE6DD5">
        <w:rPr>
          <w:szCs w:val="44"/>
        </w:rPr>
        <w:t>-</w:t>
      </w:r>
      <w:r>
        <w:rPr>
          <w:szCs w:val="44"/>
        </w:rPr>
        <w:t>stimulating hormone</w:t>
      </w:r>
    </w:p>
    <w:p w14:paraId="4380F992" w14:textId="20213E26" w:rsidR="008D1C02" w:rsidRPr="008D1C02" w:rsidRDefault="008D1C02" w:rsidP="008D1C02">
      <w:pPr>
        <w:widowControl w:val="0"/>
        <w:spacing w:after="0" w:line="240" w:lineRule="auto"/>
        <w:jc w:val="both"/>
        <w:rPr>
          <w:rFonts w:ascii="Arial Narrow" w:hAnsi="Arial Narrow" w:cs="Arial"/>
          <w:snapToGrid w:val="0"/>
          <w:sz w:val="18"/>
          <w:szCs w:val="18"/>
          <w:lang w:eastAsia="en-US"/>
        </w:rPr>
      </w:pPr>
      <w:r w:rsidRPr="00543D7E">
        <w:rPr>
          <w:rFonts w:ascii="Arial Narrow" w:hAnsi="Arial Narrow" w:cs="Arial"/>
          <w:snapToGrid w:val="0"/>
          <w:sz w:val="18"/>
          <w:szCs w:val="18"/>
          <w:lang w:eastAsia="en-US"/>
        </w:rPr>
        <w:t>Source: Adapted from algorithm 4 from the final protocol for MSAC application 1434.</w:t>
      </w:r>
    </w:p>
    <w:p w14:paraId="10BDDBA7" w14:textId="26F253C3" w:rsidR="005354F8" w:rsidRDefault="00637A2A" w:rsidP="00637A2A">
      <w:pPr>
        <w:pStyle w:val="Caption"/>
        <w:ind w:left="1134" w:hanging="1134"/>
        <w:jc w:val="both"/>
      </w:pPr>
      <w:r>
        <w:rPr>
          <w:b w:val="0"/>
          <w:noProof/>
        </w:rPr>
        <w:lastRenderedPageBreak/>
        <w:drawing>
          <wp:inline distT="0" distB="0" distL="0" distR="0" wp14:anchorId="2B5E9533" wp14:editId="407748C1">
            <wp:extent cx="5733415" cy="7816646"/>
            <wp:effectExtent l="0" t="0" r="635" b="0"/>
            <wp:docPr id="7" name="Picture 7" descr="F after-current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after-current 14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7816646"/>
                    </a:xfrm>
                    <a:prstGeom prst="rect">
                      <a:avLst/>
                    </a:prstGeom>
                    <a:noFill/>
                    <a:ln>
                      <a:noFill/>
                    </a:ln>
                  </pic:spPr>
                </pic:pic>
              </a:graphicData>
            </a:graphic>
          </wp:inline>
        </w:drawing>
      </w:r>
    </w:p>
    <w:p w14:paraId="448D7E17" w14:textId="2A3EC505" w:rsidR="00637A2A" w:rsidRDefault="00637A2A" w:rsidP="00543D7E">
      <w:pPr>
        <w:pStyle w:val="TableHeading"/>
        <w:ind w:left="1134" w:hanging="1134"/>
        <w:jc w:val="both"/>
      </w:pPr>
      <w:bookmarkStart w:id="142" w:name="_Ref477853455"/>
      <w:bookmarkStart w:id="143" w:name="_Toc502833117"/>
      <w:r w:rsidRPr="00CE368C">
        <w:t xml:space="preserve">Figure </w:t>
      </w:r>
      <w:r w:rsidR="00AC4BE5">
        <w:fldChar w:fldCharType="begin"/>
      </w:r>
      <w:r w:rsidR="00AC4BE5">
        <w:instrText xml:space="preserve"> SEQ Figure \* ARABIC </w:instrText>
      </w:r>
      <w:r w:rsidR="00AC4BE5">
        <w:fldChar w:fldCharType="separate"/>
      </w:r>
      <w:r w:rsidR="00AC4BE5">
        <w:rPr>
          <w:noProof/>
        </w:rPr>
        <w:t>3</w:t>
      </w:r>
      <w:r w:rsidR="00AC4BE5">
        <w:rPr>
          <w:noProof/>
        </w:rPr>
        <w:fldChar w:fldCharType="end"/>
      </w:r>
      <w:bookmarkEnd w:id="142"/>
      <w:r w:rsidRPr="00CE368C">
        <w:tab/>
      </w:r>
      <w:r>
        <w:t>Current</w:t>
      </w:r>
      <w:r w:rsidRPr="00CE368C">
        <w:t xml:space="preserve"> </w:t>
      </w:r>
      <w:r w:rsidRPr="003231F2">
        <w:t xml:space="preserve">clinical management algorithm </w:t>
      </w:r>
      <w:r w:rsidRPr="00CE368C">
        <w:t xml:space="preserve">for the </w:t>
      </w:r>
      <w:r>
        <w:t xml:space="preserve">assessment of ovarian reserve and </w:t>
      </w:r>
      <w:r w:rsidR="007B0027">
        <w:t xml:space="preserve">post-pubertal </w:t>
      </w:r>
      <w:r>
        <w:t xml:space="preserve">cryopreservation </w:t>
      </w:r>
      <w:r w:rsidR="007B0027">
        <w:t>oocytes for females age</w:t>
      </w:r>
      <w:r w:rsidR="002705A0">
        <w:t>d</w:t>
      </w:r>
      <w:r w:rsidR="007B0027">
        <w:t xml:space="preserve"> </w:t>
      </w:r>
      <w:r>
        <w:t>0</w:t>
      </w:r>
      <w:r w:rsidR="007B0027">
        <w:t xml:space="preserve"> to 45 years,</w:t>
      </w:r>
      <w:r>
        <w:t xml:space="preserve"> following completion of gonadotoxic treatment</w:t>
      </w:r>
      <w:bookmarkEnd w:id="143"/>
    </w:p>
    <w:p w14:paraId="23E80AEC" w14:textId="48FCD741" w:rsidR="0024135A" w:rsidRDefault="0024135A" w:rsidP="00543D7E">
      <w:pPr>
        <w:pStyle w:val="Tablenotes0"/>
        <w:spacing w:after="0"/>
        <w:rPr>
          <w:szCs w:val="18"/>
        </w:rPr>
      </w:pPr>
      <w:r w:rsidRPr="00543D7E">
        <w:rPr>
          <w:szCs w:val="18"/>
        </w:rPr>
        <w:t>AFC = antral follicle count, AMH = Anti-Müllerian Hormone, E2 = estradiol, FSH = follicle</w:t>
      </w:r>
      <w:r w:rsidR="00DE6DD5">
        <w:rPr>
          <w:szCs w:val="18"/>
        </w:rPr>
        <w:t>-</w:t>
      </w:r>
      <w:r w:rsidRPr="00543D7E">
        <w:rPr>
          <w:szCs w:val="18"/>
        </w:rPr>
        <w:t>stimulating hormone, HRT =-hormone replacement therapy</w:t>
      </w:r>
    </w:p>
    <w:p w14:paraId="54B100AD" w14:textId="6532A443" w:rsidR="008D1C02" w:rsidRPr="008D1C02" w:rsidRDefault="008D1C02" w:rsidP="008D1C02">
      <w:pPr>
        <w:widowControl w:val="0"/>
        <w:spacing w:after="0" w:line="240" w:lineRule="auto"/>
        <w:jc w:val="both"/>
        <w:rPr>
          <w:rFonts w:ascii="Arial Narrow" w:hAnsi="Arial Narrow" w:cs="Arial"/>
          <w:snapToGrid w:val="0"/>
          <w:sz w:val="18"/>
          <w:szCs w:val="18"/>
          <w:lang w:eastAsia="en-US"/>
        </w:rPr>
      </w:pPr>
      <w:r w:rsidRPr="00543D7E">
        <w:rPr>
          <w:rFonts w:ascii="Arial Narrow" w:hAnsi="Arial Narrow" w:cs="Arial"/>
          <w:snapToGrid w:val="0"/>
          <w:sz w:val="18"/>
          <w:szCs w:val="18"/>
          <w:lang w:eastAsia="en-US"/>
        </w:rPr>
        <w:t>Source: Adapted from algorithm 4 from the final protocol for MSAC application 1434.</w:t>
      </w:r>
    </w:p>
    <w:p w14:paraId="78070F5D" w14:textId="532F73F1" w:rsidR="00637A2A" w:rsidRPr="00CE368C" w:rsidRDefault="00637A2A" w:rsidP="00637A2A">
      <w:pPr>
        <w:pStyle w:val="TableHeading"/>
        <w:jc w:val="both"/>
      </w:pPr>
      <w:r>
        <w:rPr>
          <w:b w:val="0"/>
          <w:noProof/>
        </w:rPr>
        <w:lastRenderedPageBreak/>
        <w:drawing>
          <wp:inline distT="0" distB="0" distL="0" distR="0" wp14:anchorId="2EFE90BA" wp14:editId="1A56F330">
            <wp:extent cx="5733415" cy="7162058"/>
            <wp:effectExtent l="0" t="0" r="635" b="1270"/>
            <wp:docPr id="8" name="Picture 8" descr="F after-proposed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after-proposed 14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7162058"/>
                    </a:xfrm>
                    <a:prstGeom prst="rect">
                      <a:avLst/>
                    </a:prstGeom>
                    <a:noFill/>
                    <a:ln>
                      <a:noFill/>
                    </a:ln>
                  </pic:spPr>
                </pic:pic>
              </a:graphicData>
            </a:graphic>
          </wp:inline>
        </w:drawing>
      </w:r>
    </w:p>
    <w:p w14:paraId="79B9079C" w14:textId="529403F9" w:rsidR="00637A2A" w:rsidRPr="00CE368C" w:rsidRDefault="00637A2A" w:rsidP="00543D7E">
      <w:pPr>
        <w:pStyle w:val="TableHeading"/>
        <w:ind w:left="993" w:hanging="993"/>
        <w:jc w:val="both"/>
      </w:pPr>
      <w:bookmarkStart w:id="144" w:name="_Ref477853594"/>
      <w:bookmarkStart w:id="145" w:name="_Toc502833118"/>
      <w:r w:rsidRPr="00CE368C">
        <w:t xml:space="preserve">Figure </w:t>
      </w:r>
      <w:r w:rsidR="00AC4BE5">
        <w:fldChar w:fldCharType="begin"/>
      </w:r>
      <w:r w:rsidR="00AC4BE5">
        <w:instrText xml:space="preserve"> SEQ Figure \* ARABIC </w:instrText>
      </w:r>
      <w:r w:rsidR="00AC4BE5">
        <w:fldChar w:fldCharType="separate"/>
      </w:r>
      <w:r w:rsidR="00AC4BE5">
        <w:rPr>
          <w:noProof/>
        </w:rPr>
        <w:t>4</w:t>
      </w:r>
      <w:r w:rsidR="00AC4BE5">
        <w:rPr>
          <w:noProof/>
        </w:rPr>
        <w:fldChar w:fldCharType="end"/>
      </w:r>
      <w:bookmarkEnd w:id="144"/>
      <w:r w:rsidRPr="00CE368C">
        <w:tab/>
        <w:t xml:space="preserve">Proposed </w:t>
      </w:r>
      <w:r w:rsidRPr="003231F2">
        <w:t xml:space="preserve">clinical management algorithm </w:t>
      </w:r>
      <w:r w:rsidRPr="00CE368C">
        <w:t xml:space="preserve">for the </w:t>
      </w:r>
      <w:r>
        <w:t>assessment of ovarian reserve and cryopreservation of oocyt</w:t>
      </w:r>
      <w:r w:rsidR="002705A0">
        <w:t>es or ovarian tissue for females age</w:t>
      </w:r>
      <w:r w:rsidR="009B416A">
        <w:t>d</w:t>
      </w:r>
      <w:r w:rsidR="002705A0">
        <w:t xml:space="preserve"> 0 to 45 years,</w:t>
      </w:r>
      <w:r>
        <w:t xml:space="preserve"> </w:t>
      </w:r>
      <w:r w:rsidRPr="000D2106">
        <w:t xml:space="preserve">following completion of </w:t>
      </w:r>
      <w:r>
        <w:t>gonadotoxic treatment</w:t>
      </w:r>
      <w:bookmarkEnd w:id="145"/>
    </w:p>
    <w:p w14:paraId="757F54BA" w14:textId="77777777" w:rsidR="00543D7E" w:rsidRPr="00543D7E" w:rsidRDefault="00543D7E" w:rsidP="00543D7E">
      <w:pPr>
        <w:widowControl w:val="0"/>
        <w:spacing w:after="0" w:line="240" w:lineRule="auto"/>
        <w:jc w:val="both"/>
        <w:rPr>
          <w:rFonts w:ascii="Arial Narrow" w:hAnsi="Arial Narrow" w:cs="Arial"/>
          <w:snapToGrid w:val="0"/>
          <w:sz w:val="18"/>
          <w:szCs w:val="18"/>
          <w:lang w:eastAsia="en-US"/>
        </w:rPr>
      </w:pPr>
      <w:r w:rsidRPr="00543D7E">
        <w:rPr>
          <w:rFonts w:ascii="Arial Narrow" w:hAnsi="Arial Narrow" w:cs="Arial"/>
          <w:snapToGrid w:val="0"/>
          <w:sz w:val="18"/>
          <w:szCs w:val="18"/>
          <w:lang w:eastAsia="en-US"/>
        </w:rPr>
        <w:t>The proposed test (AMH) is shown in red, current practice included the cryopreservation of oocytes. The proposed intervention for cryopreservation of ovarian tissue (MSAC application 1435 Part B) is also highlighted in red.</w:t>
      </w:r>
    </w:p>
    <w:p w14:paraId="19CE3ACF" w14:textId="0DF9C813" w:rsidR="00366807" w:rsidRDefault="00366807" w:rsidP="00543D7E">
      <w:pPr>
        <w:pStyle w:val="Tablenotes0"/>
        <w:spacing w:after="0"/>
        <w:rPr>
          <w:szCs w:val="18"/>
        </w:rPr>
      </w:pPr>
      <w:r w:rsidRPr="00543D7E">
        <w:rPr>
          <w:szCs w:val="18"/>
        </w:rPr>
        <w:t xml:space="preserve">AFC = antral follicle count, AMH = </w:t>
      </w:r>
      <w:r w:rsidR="00C22392" w:rsidRPr="00543D7E">
        <w:rPr>
          <w:szCs w:val="18"/>
        </w:rPr>
        <w:t>anti-Müllerian hormone</w:t>
      </w:r>
      <w:r w:rsidRPr="00543D7E">
        <w:rPr>
          <w:szCs w:val="18"/>
        </w:rPr>
        <w:t>, FSH = foll</w:t>
      </w:r>
      <w:r w:rsidR="009C0DD0">
        <w:rPr>
          <w:szCs w:val="18"/>
        </w:rPr>
        <w:t>icle</w:t>
      </w:r>
      <w:r w:rsidR="00DE6DD5">
        <w:rPr>
          <w:szCs w:val="18"/>
        </w:rPr>
        <w:t>-</w:t>
      </w:r>
      <w:r w:rsidR="009C0DD0">
        <w:rPr>
          <w:szCs w:val="18"/>
        </w:rPr>
        <w:t xml:space="preserve">stimulating hormone, HRT = </w:t>
      </w:r>
      <w:r w:rsidRPr="00543D7E">
        <w:rPr>
          <w:szCs w:val="18"/>
        </w:rPr>
        <w:t>hormone replacement therapy</w:t>
      </w:r>
    </w:p>
    <w:p w14:paraId="10FE55BE" w14:textId="17BD56FB" w:rsidR="008D1C02" w:rsidRPr="008D1C02" w:rsidRDefault="008D1C02" w:rsidP="008D1C02">
      <w:pPr>
        <w:widowControl w:val="0"/>
        <w:spacing w:after="0" w:line="240" w:lineRule="auto"/>
        <w:jc w:val="both"/>
        <w:rPr>
          <w:rFonts w:ascii="Arial Narrow" w:hAnsi="Arial Narrow" w:cs="Arial"/>
          <w:snapToGrid w:val="0"/>
          <w:sz w:val="18"/>
          <w:szCs w:val="18"/>
          <w:lang w:eastAsia="en-US"/>
        </w:rPr>
      </w:pPr>
      <w:r w:rsidRPr="00543D7E">
        <w:rPr>
          <w:rFonts w:ascii="Arial Narrow" w:hAnsi="Arial Narrow" w:cs="Arial"/>
          <w:snapToGrid w:val="0"/>
          <w:sz w:val="18"/>
          <w:szCs w:val="18"/>
          <w:lang w:eastAsia="en-US"/>
        </w:rPr>
        <w:t xml:space="preserve">Source: Adapted from algorithm 4 from the </w:t>
      </w:r>
      <w:r w:rsidR="0064098D">
        <w:rPr>
          <w:rFonts w:ascii="Arial Narrow" w:hAnsi="Arial Narrow" w:cs="Arial"/>
          <w:snapToGrid w:val="0"/>
          <w:sz w:val="18"/>
          <w:szCs w:val="18"/>
          <w:lang w:eastAsia="en-US"/>
        </w:rPr>
        <w:t>f</w:t>
      </w:r>
      <w:r w:rsidRPr="00543D7E">
        <w:rPr>
          <w:rFonts w:ascii="Arial Narrow" w:hAnsi="Arial Narrow" w:cs="Arial"/>
          <w:snapToGrid w:val="0"/>
          <w:sz w:val="18"/>
          <w:szCs w:val="18"/>
          <w:lang w:eastAsia="en-US"/>
        </w:rPr>
        <w:t>inal prot</w:t>
      </w:r>
      <w:r>
        <w:rPr>
          <w:rFonts w:ascii="Arial Narrow" w:hAnsi="Arial Narrow" w:cs="Arial"/>
          <w:snapToGrid w:val="0"/>
          <w:sz w:val="18"/>
          <w:szCs w:val="18"/>
          <w:lang w:eastAsia="en-US"/>
        </w:rPr>
        <w:t>ocol for MSAC application 1434.</w:t>
      </w:r>
    </w:p>
    <w:p w14:paraId="6633D5DE" w14:textId="49967788" w:rsidR="00EE1CE1" w:rsidRDefault="005354F8" w:rsidP="00D366DE">
      <w:pPr>
        <w:pStyle w:val="Heading2"/>
        <w:numPr>
          <w:ilvl w:val="0"/>
          <w:numId w:val="8"/>
        </w:numPr>
      </w:pPr>
      <w:bookmarkStart w:id="146" w:name="_Toc502832906"/>
      <w:r w:rsidRPr="00183E4D">
        <w:lastRenderedPageBreak/>
        <w:t>Clinical Claim</w:t>
      </w:r>
      <w:bookmarkEnd w:id="146"/>
    </w:p>
    <w:p w14:paraId="719BE08F" w14:textId="2C9C5802" w:rsidR="009D0368" w:rsidRDefault="00DF44DA" w:rsidP="009D0368">
      <w:pPr>
        <w:jc w:val="both"/>
      </w:pPr>
      <w:r>
        <w:t xml:space="preserve">The </w:t>
      </w:r>
      <w:r w:rsidR="003E7EA1">
        <w:t>early consultation</w:t>
      </w:r>
      <w:r>
        <w:t xml:space="preserve"> </w:t>
      </w:r>
      <w:r w:rsidR="003E7EA1">
        <w:t xml:space="preserve">PICO Confirmation </w:t>
      </w:r>
      <w:r>
        <w:t xml:space="preserve">indicated </w:t>
      </w:r>
      <w:r w:rsidR="007A3797">
        <w:t>AMH testing would be used</w:t>
      </w:r>
      <w:r>
        <w:t xml:space="preserve"> to</w:t>
      </w:r>
      <w:r w:rsidR="009D0368">
        <w:t>:</w:t>
      </w:r>
      <w:r>
        <w:t xml:space="preserve"> </w:t>
      </w:r>
      <w:r w:rsidR="007A3797">
        <w:t xml:space="preserve">(1) </w:t>
      </w:r>
      <w:r w:rsidR="009D0368">
        <w:t>assess</w:t>
      </w:r>
      <w:r w:rsidR="007A3797">
        <w:t xml:space="preserve"> ovarian fun</w:t>
      </w:r>
      <w:r w:rsidR="009D0368">
        <w:t>ction prior to cancer treatment;</w:t>
      </w:r>
      <w:r w:rsidR="007A3797">
        <w:t xml:space="preserve"> (2) </w:t>
      </w:r>
      <w:r w:rsidR="009D0368">
        <w:t>estimate</w:t>
      </w:r>
      <w:r>
        <w:t xml:space="preserve"> the return of reproductive function</w:t>
      </w:r>
      <w:r w:rsidR="007A3797">
        <w:t xml:space="preserve"> following gonadotoxic treatment</w:t>
      </w:r>
      <w:r w:rsidR="009D0368">
        <w:t>;</w:t>
      </w:r>
      <w:r w:rsidR="007A3797">
        <w:t xml:space="preserve"> (3) assess the need for fer</w:t>
      </w:r>
      <w:r w:rsidR="00052C4C">
        <w:t xml:space="preserve">tility preservation </w:t>
      </w:r>
      <w:r w:rsidR="009D0368">
        <w:t>prior to or following</w:t>
      </w:r>
      <w:r w:rsidR="00052C4C">
        <w:t xml:space="preserve"> </w:t>
      </w:r>
      <w:r w:rsidR="007A3797">
        <w:t>gonadotoxic treatment</w:t>
      </w:r>
      <w:r w:rsidR="009D0368">
        <w:t>,</w:t>
      </w:r>
      <w:r w:rsidR="007A3797">
        <w:t xml:space="preserve"> or to recommend the start of ART in patients </w:t>
      </w:r>
      <w:r w:rsidR="009D0368">
        <w:t>planning</w:t>
      </w:r>
      <w:r w:rsidR="007A3797">
        <w:t xml:space="preserve"> to start a family</w:t>
      </w:r>
      <w:r w:rsidR="009D0368">
        <w:t>. The f</w:t>
      </w:r>
      <w:r w:rsidR="007A3797">
        <w:t xml:space="preserve">inal </w:t>
      </w:r>
      <w:r w:rsidR="003E7EA1">
        <w:t>PICO Confirmation</w:t>
      </w:r>
      <w:r w:rsidR="007A3797">
        <w:t xml:space="preserve"> </w:t>
      </w:r>
      <w:r w:rsidR="00567B0A">
        <w:t xml:space="preserve">did not </w:t>
      </w:r>
      <w:r w:rsidR="009D0368">
        <w:t>make</w:t>
      </w:r>
      <w:r w:rsidR="007A3797">
        <w:t xml:space="preserve"> a clear clinical claim. Based on the available information in the </w:t>
      </w:r>
      <w:r w:rsidR="003E7EA1">
        <w:t>PICO Confirmation documents</w:t>
      </w:r>
      <w:r w:rsidR="00217348">
        <w:t>, the evidence</w:t>
      </w:r>
      <w:r w:rsidR="009D0368">
        <w:t>,</w:t>
      </w:r>
      <w:r w:rsidR="007A3797">
        <w:t xml:space="preserve"> and </w:t>
      </w:r>
      <w:r w:rsidR="00217348">
        <w:t>the consultation feedback</w:t>
      </w:r>
      <w:r w:rsidR="007A3797">
        <w:t xml:space="preserve">, the assessment group identified </w:t>
      </w:r>
      <w:r w:rsidR="009D0368">
        <w:t xml:space="preserve">that </w:t>
      </w:r>
      <w:r>
        <w:t>AMH test</w:t>
      </w:r>
      <w:r w:rsidR="003060B7">
        <w:t>ing</w:t>
      </w:r>
      <w:r>
        <w:t xml:space="preserve"> </w:t>
      </w:r>
      <w:r w:rsidR="003060B7">
        <w:t>is</w:t>
      </w:r>
      <w:r w:rsidR="009D0368">
        <w:t xml:space="preserve"> used for several purposes.</w:t>
      </w:r>
    </w:p>
    <w:p w14:paraId="5AD105C2" w14:textId="272B7738" w:rsidR="007518CF" w:rsidRDefault="003060B7" w:rsidP="003060B7">
      <w:pPr>
        <w:jc w:val="both"/>
      </w:pPr>
      <w:r>
        <w:t xml:space="preserve">Prior to gonadotoxic treatment, an AMH test is used to </w:t>
      </w:r>
      <w:r w:rsidR="00DF44DA">
        <w:t xml:space="preserve">provide prognostic information about risk of infertility, </w:t>
      </w:r>
      <w:r>
        <w:t>thereby informing</w:t>
      </w:r>
      <w:r w:rsidR="00DF44DA">
        <w:t xml:space="preserve"> the decision whether </w:t>
      </w:r>
      <w:r>
        <w:t xml:space="preserve">to undergo fertility preservation. Or, in other words, </w:t>
      </w:r>
      <w:r w:rsidR="00DF44DA">
        <w:t xml:space="preserve">whether </w:t>
      </w:r>
      <w:r>
        <w:t>f</w:t>
      </w:r>
      <w:r w:rsidR="00DF44DA">
        <w:t xml:space="preserve">ertility is likely to </w:t>
      </w:r>
      <w:r w:rsidR="00B3564F">
        <w:t>be</w:t>
      </w:r>
      <w:r w:rsidR="00567B0A">
        <w:t xml:space="preserve"> </w:t>
      </w:r>
      <w:r>
        <w:t xml:space="preserve">sufficient after </w:t>
      </w:r>
      <w:r w:rsidR="00DF44DA">
        <w:t xml:space="preserve">gonadotoxic therapy </w:t>
      </w:r>
      <w:r>
        <w:t xml:space="preserve">such </w:t>
      </w:r>
      <w:r w:rsidR="00DF44DA">
        <w:t>that fertility preservation</w:t>
      </w:r>
      <w:r>
        <w:t xml:space="preserve"> is unnecessary</w:t>
      </w:r>
      <w:r w:rsidR="00DF44DA">
        <w:t xml:space="preserve">, </w:t>
      </w:r>
      <w:r>
        <w:t>versus a scenario requiring that patients are counselled</w:t>
      </w:r>
      <w:r w:rsidR="00DF44DA">
        <w:t xml:space="preserve"> that they are likely t</w:t>
      </w:r>
      <w:r w:rsidR="009D0368">
        <w:t>o have a low number of oocytes</w:t>
      </w:r>
      <w:r>
        <w:t>, and that the chance of</w:t>
      </w:r>
      <w:r w:rsidR="00567B0A">
        <w:t xml:space="preserve"> </w:t>
      </w:r>
      <w:r>
        <w:t xml:space="preserve">conception is low. Pre-gonadotoxic treatment, an AMH test may also be used to </w:t>
      </w:r>
      <w:r w:rsidR="00DF44DA">
        <w:t xml:space="preserve">predict </w:t>
      </w:r>
      <w:r>
        <w:t xml:space="preserve">the </w:t>
      </w:r>
      <w:r w:rsidR="00DF44DA">
        <w:t xml:space="preserve">response to superovulation, </w:t>
      </w:r>
      <w:r w:rsidR="00DB25B6">
        <w:t>thereby enabling</w:t>
      </w:r>
      <w:r w:rsidR="00DF44DA">
        <w:t xml:space="preserve"> </w:t>
      </w:r>
      <w:r w:rsidR="00DB25B6">
        <w:t>the</w:t>
      </w:r>
      <w:r w:rsidR="00DF44DA">
        <w:t xml:space="preserve"> yield of good quality oocytes </w:t>
      </w:r>
      <w:r w:rsidR="00DB25B6">
        <w:t xml:space="preserve">to be maximised </w:t>
      </w:r>
      <w:r w:rsidR="008B7BAC">
        <w:t>while</w:t>
      </w:r>
      <w:r w:rsidR="00DB25B6">
        <w:t xml:space="preserve"> reducing</w:t>
      </w:r>
      <w:r w:rsidR="00DF44DA">
        <w:t xml:space="preserve"> the risk of ovarian hyper</w:t>
      </w:r>
      <w:r w:rsidR="00916047">
        <w:t>stimulation</w:t>
      </w:r>
      <w:r w:rsidR="00DB25B6">
        <w:t xml:space="preserve"> by adjusting starting doses of rFSH</w:t>
      </w:r>
      <w:r w:rsidR="009D0368">
        <w:t>.</w:t>
      </w:r>
    </w:p>
    <w:p w14:paraId="2977466E" w14:textId="6C6D26E4" w:rsidR="00DF44DA" w:rsidRDefault="00DF44DA" w:rsidP="00DA6BBC">
      <w:pPr>
        <w:jc w:val="both"/>
      </w:pPr>
      <w:r>
        <w:t xml:space="preserve">Following gonadotoxic treatment, </w:t>
      </w:r>
      <w:r w:rsidR="003060B7">
        <w:t>an AMH test is</w:t>
      </w:r>
      <w:r w:rsidR="00DA6BBC">
        <w:t xml:space="preserve"> used to m</w:t>
      </w:r>
      <w:r>
        <w:t>onitor the level of ov</w:t>
      </w:r>
      <w:r w:rsidR="00DA6BBC">
        <w:t xml:space="preserve">arian function. Monitoring ovarian function may </w:t>
      </w:r>
      <w:r>
        <w:t xml:space="preserve">inform whether patients </w:t>
      </w:r>
      <w:r w:rsidR="00DA6BBC">
        <w:t>are candidates for natural conception or may need</w:t>
      </w:r>
      <w:r>
        <w:t xml:space="preserve"> </w:t>
      </w:r>
      <w:r w:rsidR="0076789D">
        <w:t>ART</w:t>
      </w:r>
      <w:r w:rsidR="008B7BAC">
        <w:t>,</w:t>
      </w:r>
      <w:r>
        <w:t xml:space="preserve"> using </w:t>
      </w:r>
      <w:r w:rsidR="008B7BAC">
        <w:t xml:space="preserve">previously </w:t>
      </w:r>
      <w:r>
        <w:t>cryopreserved ova</w:t>
      </w:r>
      <w:r w:rsidR="008B7BAC">
        <w:t xml:space="preserve">rian tissue, oocytes or embryos to conceive. Other claimed benefits of monitoring ovarian function include the ability to guide </w:t>
      </w:r>
      <w:r w:rsidR="001A6500">
        <w:t>HRT</w:t>
      </w:r>
      <w:r w:rsidR="008B7BAC">
        <w:t xml:space="preserve"> based on information on ovarian reserve (i.e. is there premature ovarian insufficient), to diagnose ovarian failure</w:t>
      </w:r>
      <w:r w:rsidR="0031301C">
        <w:t>, and</w:t>
      </w:r>
      <w:r w:rsidR="008B7BAC">
        <w:t xml:space="preserve"> </w:t>
      </w:r>
      <w:r w:rsidR="0031301C">
        <w:t xml:space="preserve">to </w:t>
      </w:r>
      <w:r w:rsidR="008B7BAC">
        <w:t>assist with counselling</w:t>
      </w:r>
      <w:r w:rsidR="0031301C">
        <w:t xml:space="preserve"> and supportive care of early menopause.</w:t>
      </w:r>
    </w:p>
    <w:p w14:paraId="378BE689" w14:textId="196AE287" w:rsidR="00903492" w:rsidRPr="00183E4D" w:rsidRDefault="00A955E0" w:rsidP="00D366DE">
      <w:pPr>
        <w:pStyle w:val="Heading2"/>
        <w:numPr>
          <w:ilvl w:val="0"/>
          <w:numId w:val="8"/>
        </w:numPr>
      </w:pPr>
      <w:bookmarkStart w:id="147" w:name="_Toc502832907"/>
      <w:bookmarkEnd w:id="110"/>
      <w:bookmarkEnd w:id="111"/>
      <w:r>
        <w:t>Summary of the PICO</w:t>
      </w:r>
      <w:bookmarkEnd w:id="147"/>
    </w:p>
    <w:p w14:paraId="5CA2D77C" w14:textId="09B0D124" w:rsidR="007518CF" w:rsidRDefault="002979F7" w:rsidP="004F36F1">
      <w:pPr>
        <w:spacing w:before="240"/>
        <w:jc w:val="both"/>
      </w:pPr>
      <w:r>
        <w:t>A guiding framework for the</w:t>
      </w:r>
      <w:r w:rsidRPr="002979F7">
        <w:t xml:space="preserve"> </w:t>
      </w:r>
      <w:r w:rsidRPr="00183E4D">
        <w:t>P</w:t>
      </w:r>
      <w:r w:rsidR="0076789D">
        <w:t>ICO</w:t>
      </w:r>
      <w:r w:rsidR="003E7EA1">
        <w:t xml:space="preserve"> </w:t>
      </w:r>
      <w:r>
        <w:t xml:space="preserve">is determined </w:t>
      </w:r>
      <w:r w:rsidR="00783C0F">
        <w:t xml:space="preserve">by MSAC </w:t>
      </w:r>
      <w:r w:rsidR="007822AD" w:rsidRPr="00183E4D">
        <w:t>for</w:t>
      </w:r>
      <w:r w:rsidR="006C5B34" w:rsidRPr="00183E4D">
        <w:t xml:space="preserve"> </w:t>
      </w:r>
      <w:r w:rsidR="00783C0F">
        <w:t>each</w:t>
      </w:r>
      <w:r>
        <w:t xml:space="preserve"> assessment using a PICO Confirmation.</w:t>
      </w:r>
      <w:r w:rsidR="006C5B34" w:rsidRPr="00183E4D">
        <w:t xml:space="preserve"> </w:t>
      </w:r>
      <w:r w:rsidR="00E511FF" w:rsidRPr="00183E4D">
        <w:t>The</w:t>
      </w:r>
      <w:r w:rsidR="00D52A25">
        <w:t xml:space="preserve"> </w:t>
      </w:r>
      <w:r w:rsidR="003E7EA1">
        <w:t>PICO Confirmation</w:t>
      </w:r>
      <w:r w:rsidR="006C5B34" w:rsidRPr="00183E4D">
        <w:t xml:space="preserve"> </w:t>
      </w:r>
      <w:r>
        <w:t>is a document that</w:t>
      </w:r>
      <w:r w:rsidR="00FD6DFB">
        <w:t xml:space="preserve"> describes the</w:t>
      </w:r>
      <w:r w:rsidR="006C5B34" w:rsidRPr="00183E4D">
        <w:t xml:space="preserve"> current clinical practice and reflects the likely fu</w:t>
      </w:r>
      <w:r w:rsidR="002802AE">
        <w:t xml:space="preserve">ture practice with the proposed </w:t>
      </w:r>
      <w:r w:rsidR="006C5B34" w:rsidRPr="00183E4D">
        <w:t>medical service.</w:t>
      </w:r>
    </w:p>
    <w:p w14:paraId="7181908A" w14:textId="3CD42B07" w:rsidR="00DA32F6" w:rsidRDefault="004F36F1" w:rsidP="006335D5">
      <w:pPr>
        <w:spacing w:before="240"/>
        <w:jc w:val="both"/>
      </w:pPr>
      <w:r w:rsidRPr="00183E4D">
        <w:t xml:space="preserve">The </w:t>
      </w:r>
      <w:r w:rsidR="00FD6DFB">
        <w:t>PICO</w:t>
      </w:r>
      <w:r w:rsidRPr="00183E4D">
        <w:t xml:space="preserve"> </w:t>
      </w:r>
      <w:r w:rsidR="00BB381C" w:rsidRPr="00183E4D">
        <w:t xml:space="preserve">that were pre-specified to guide the </w:t>
      </w:r>
      <w:r w:rsidR="001A5EF8" w:rsidRPr="00183E4D">
        <w:t>systematic literature review</w:t>
      </w:r>
      <w:r w:rsidR="00CC5307">
        <w:t xml:space="preserve"> for direct evidence</w:t>
      </w:r>
      <w:r w:rsidR="001A5EF8" w:rsidRPr="00183E4D">
        <w:t xml:space="preserve"> </w:t>
      </w:r>
      <w:r w:rsidR="009F70BC">
        <w:t>are presented in</w:t>
      </w:r>
      <w:r w:rsidR="002C29FF">
        <w:rPr>
          <w:sz w:val="24"/>
        </w:rPr>
        <w:t xml:space="preserve"> </w:t>
      </w:r>
      <w:r w:rsidR="002C29FF">
        <w:rPr>
          <w:sz w:val="24"/>
        </w:rPr>
        <w:fldChar w:fldCharType="begin"/>
      </w:r>
      <w:r w:rsidR="002C29FF">
        <w:rPr>
          <w:sz w:val="24"/>
        </w:rPr>
        <w:instrText xml:space="preserve"> REF _Ref477853412 \h </w:instrText>
      </w:r>
      <w:r w:rsidR="002C29FF">
        <w:rPr>
          <w:sz w:val="24"/>
        </w:rPr>
      </w:r>
      <w:r w:rsidR="002C29FF">
        <w:rPr>
          <w:sz w:val="24"/>
        </w:rPr>
        <w:fldChar w:fldCharType="separate"/>
      </w:r>
      <w:r w:rsidR="00AC4BE5" w:rsidRPr="00D86397">
        <w:t xml:space="preserve">Table </w:t>
      </w:r>
      <w:r w:rsidR="00AC4BE5">
        <w:rPr>
          <w:noProof/>
        </w:rPr>
        <w:t>13</w:t>
      </w:r>
      <w:r w:rsidR="002C29FF">
        <w:rPr>
          <w:sz w:val="24"/>
        </w:rPr>
        <w:fldChar w:fldCharType="end"/>
      </w:r>
      <w:r w:rsidR="002C29FF">
        <w:t xml:space="preserve"> and </w:t>
      </w:r>
      <w:r w:rsidR="002C29FF">
        <w:fldChar w:fldCharType="begin"/>
      </w:r>
      <w:r w:rsidR="002C29FF">
        <w:instrText xml:space="preserve"> REF _Ref493511955 \h </w:instrText>
      </w:r>
      <w:r w:rsidR="002C29FF">
        <w:fldChar w:fldCharType="separate"/>
      </w:r>
      <w:r w:rsidR="00AC4BE5" w:rsidRPr="00D86397">
        <w:t xml:space="preserve">Table </w:t>
      </w:r>
      <w:r w:rsidR="00AC4BE5">
        <w:rPr>
          <w:noProof/>
        </w:rPr>
        <w:t>14</w:t>
      </w:r>
      <w:r w:rsidR="002C29FF">
        <w:fldChar w:fldCharType="end"/>
      </w:r>
      <w:r w:rsidR="002C29FF">
        <w:t xml:space="preserve">. </w:t>
      </w:r>
      <w:r w:rsidR="002C29FF">
        <w:fldChar w:fldCharType="begin"/>
      </w:r>
      <w:r w:rsidR="002C29FF">
        <w:instrText xml:space="preserve"> REF _Ref477853412 \h </w:instrText>
      </w:r>
      <w:r w:rsidR="002C29FF">
        <w:fldChar w:fldCharType="separate"/>
      </w:r>
      <w:r w:rsidR="00AC4BE5" w:rsidRPr="00D86397">
        <w:t xml:space="preserve">Table </w:t>
      </w:r>
      <w:r w:rsidR="00AC4BE5">
        <w:rPr>
          <w:noProof/>
        </w:rPr>
        <w:t>13</w:t>
      </w:r>
      <w:r w:rsidR="002C29FF">
        <w:fldChar w:fldCharType="end"/>
      </w:r>
      <w:r w:rsidR="002C29FF">
        <w:t xml:space="preserve"> </w:t>
      </w:r>
      <w:r w:rsidR="009F70BC">
        <w:t>lists</w:t>
      </w:r>
      <w:r w:rsidR="002C29FF">
        <w:t xml:space="preserve"> the PICO </w:t>
      </w:r>
      <w:r w:rsidR="009F70BC">
        <w:t>for</w:t>
      </w:r>
      <w:r w:rsidR="002C29FF">
        <w:t xml:space="preserve"> the population </w:t>
      </w:r>
      <w:r w:rsidR="009F70BC">
        <w:t xml:space="preserve">of patients undergoing AMH testing prior to gonadotoxic treatment and </w:t>
      </w:r>
      <w:r w:rsidR="002C29FF">
        <w:fldChar w:fldCharType="begin"/>
      </w:r>
      <w:r w:rsidR="002C29FF">
        <w:instrText xml:space="preserve"> REF _Ref493511955 \h </w:instrText>
      </w:r>
      <w:r w:rsidR="002C29FF">
        <w:fldChar w:fldCharType="separate"/>
      </w:r>
      <w:r w:rsidR="00AC4BE5" w:rsidRPr="00D86397">
        <w:t xml:space="preserve">Table </w:t>
      </w:r>
      <w:r w:rsidR="00AC4BE5">
        <w:rPr>
          <w:noProof/>
        </w:rPr>
        <w:t>14</w:t>
      </w:r>
      <w:r w:rsidR="002C29FF">
        <w:fldChar w:fldCharType="end"/>
      </w:r>
      <w:r w:rsidR="002C29FF">
        <w:t xml:space="preserve"> </w:t>
      </w:r>
      <w:r w:rsidR="009F70BC">
        <w:t>shows</w:t>
      </w:r>
      <w:r w:rsidR="002C29FF">
        <w:t xml:space="preserve"> the PICO </w:t>
      </w:r>
      <w:r w:rsidR="009F70BC">
        <w:t xml:space="preserve">for </w:t>
      </w:r>
      <w:r w:rsidR="002C29FF">
        <w:t xml:space="preserve">the population of </w:t>
      </w:r>
      <w:r w:rsidR="009F70BC">
        <w:t>patients having AMH testing post-</w:t>
      </w:r>
      <w:r w:rsidR="002C29FF">
        <w:t xml:space="preserve">gonadotoxic treatment. </w:t>
      </w:r>
      <w:r w:rsidR="006335D5" w:rsidRPr="00523A03">
        <w:t>The PICO criteria for direct and linked evi</w:t>
      </w:r>
      <w:r w:rsidR="006335D5">
        <w:t>dence for the female population are</w:t>
      </w:r>
      <w:r w:rsidR="006335D5" w:rsidRPr="00523A03">
        <w:t xml:space="preserve"> divided into three population subgroups according to age</w:t>
      </w:r>
      <w:r w:rsidR="006335D5">
        <w:t>.</w:t>
      </w:r>
    </w:p>
    <w:p w14:paraId="32837E7D" w14:textId="77777777" w:rsidR="00DA32F6" w:rsidRDefault="00DA32F6">
      <w:pPr>
        <w:spacing w:after="0" w:line="240" w:lineRule="auto"/>
      </w:pPr>
      <w:r>
        <w:br w:type="page"/>
      </w:r>
    </w:p>
    <w:p w14:paraId="6BA34478" w14:textId="3DB13F54" w:rsidR="004F36F1" w:rsidRDefault="006335D5" w:rsidP="006335D5">
      <w:pPr>
        <w:pStyle w:val="Heading3"/>
      </w:pPr>
      <w:bookmarkStart w:id="148" w:name="_Toc502832908"/>
      <w:r>
        <w:lastRenderedPageBreak/>
        <w:t>Direct evidence</w:t>
      </w:r>
      <w:bookmarkEnd w:id="148"/>
    </w:p>
    <w:p w14:paraId="2E2F1D02" w14:textId="436C1020" w:rsidR="00040D6B" w:rsidRPr="00D86397" w:rsidRDefault="00040D6B" w:rsidP="00040D6B">
      <w:pPr>
        <w:pStyle w:val="TableHeading"/>
      </w:pPr>
      <w:bookmarkStart w:id="149" w:name="_Ref477853412"/>
      <w:bookmarkStart w:id="150" w:name="_Toc491849011"/>
      <w:bookmarkStart w:id="151" w:name="_Toc502833031"/>
      <w:r w:rsidRPr="00D86397">
        <w:t xml:space="preserve">Table </w:t>
      </w:r>
      <w:r w:rsidR="00AC4BE5">
        <w:fldChar w:fldCharType="begin"/>
      </w:r>
      <w:r w:rsidR="00AC4BE5">
        <w:instrText xml:space="preserve"> SEQ Table \* ARABIC </w:instrText>
      </w:r>
      <w:r w:rsidR="00AC4BE5">
        <w:fldChar w:fldCharType="separate"/>
      </w:r>
      <w:r w:rsidR="00AC4BE5">
        <w:rPr>
          <w:noProof/>
        </w:rPr>
        <w:t>13</w:t>
      </w:r>
      <w:r w:rsidR="00AC4BE5">
        <w:rPr>
          <w:noProof/>
        </w:rPr>
        <w:fldChar w:fldCharType="end"/>
      </w:r>
      <w:bookmarkEnd w:id="149"/>
      <w:r>
        <w:tab/>
      </w:r>
      <w:r w:rsidRPr="00D86397">
        <w:t>PICO criteria and research questions for direct evidence in population</w:t>
      </w:r>
      <w:r>
        <w:t>s</w:t>
      </w:r>
      <w:r w:rsidRPr="00D86397">
        <w:t xml:space="preserve"> </w:t>
      </w:r>
      <w:r>
        <w:t>1, 2 and 3</w:t>
      </w:r>
      <w:bookmarkEnd w:id="150"/>
      <w:bookmarkEnd w:id="151"/>
    </w:p>
    <w:tbl>
      <w:tblPr>
        <w:tblStyle w:val="TableGrid1"/>
        <w:tblW w:w="0" w:type="auto"/>
        <w:tblLook w:val="04A0" w:firstRow="1" w:lastRow="0" w:firstColumn="1" w:lastColumn="0" w:noHBand="0" w:noVBand="1"/>
        <w:tblDescription w:val="PICO criteria and research questions for direct evidence in populations 1, 2 and 3"/>
      </w:tblPr>
      <w:tblGrid>
        <w:gridCol w:w="1755"/>
        <w:gridCol w:w="7156"/>
      </w:tblGrid>
      <w:tr w:rsidR="00040D6B" w:rsidRPr="00D86397" w14:paraId="446BD175"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1755" w:type="dxa"/>
          </w:tcPr>
          <w:p w14:paraId="60789CC2" w14:textId="77777777" w:rsidR="00040D6B" w:rsidRPr="00D86397" w:rsidRDefault="00040D6B"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Population</w:t>
            </w:r>
          </w:p>
        </w:tc>
        <w:tc>
          <w:tcPr>
            <w:tcW w:w="7156" w:type="dxa"/>
          </w:tcPr>
          <w:p w14:paraId="0E229FD0" w14:textId="77777777" w:rsidR="00040D6B" w:rsidRPr="005A30D7" w:rsidRDefault="00040D6B" w:rsidP="00B7183E">
            <w:pPr>
              <w:pStyle w:val="Tabletext1"/>
              <w:numPr>
                <w:ilvl w:val="0"/>
                <w:numId w:val="42"/>
              </w:numPr>
            </w:pPr>
            <w:r w:rsidRPr="005A30D7">
              <w:t>Paediatric female patients aged 0–14 years prior to receiving gonadotoxic treatment</w:t>
            </w:r>
          </w:p>
          <w:p w14:paraId="6159A02A" w14:textId="77777777" w:rsidR="00040D6B" w:rsidRPr="005A30D7" w:rsidRDefault="00040D6B" w:rsidP="00B7183E">
            <w:pPr>
              <w:pStyle w:val="Tabletext1"/>
              <w:numPr>
                <w:ilvl w:val="0"/>
                <w:numId w:val="42"/>
              </w:numPr>
            </w:pPr>
            <w:r w:rsidRPr="005A30D7">
              <w:t>Adolescent/young adult female patients aged 15–25 years prior to receiving gonadotoxic treatment</w:t>
            </w:r>
          </w:p>
          <w:p w14:paraId="46624E8A" w14:textId="77777777" w:rsidR="00040D6B" w:rsidRPr="005A30D7" w:rsidRDefault="00040D6B" w:rsidP="00B7183E">
            <w:pPr>
              <w:pStyle w:val="Tabletext1"/>
              <w:numPr>
                <w:ilvl w:val="0"/>
                <w:numId w:val="42"/>
              </w:numPr>
            </w:pPr>
            <w:r w:rsidRPr="005A30D7">
              <w:t>Adult female patients aged 26–45 years prior to receiving gonadotoxic treatment</w:t>
            </w:r>
          </w:p>
        </w:tc>
      </w:tr>
      <w:tr w:rsidR="00040D6B" w:rsidRPr="00D86397" w14:paraId="236CF71B" w14:textId="77777777" w:rsidTr="004D6D0A">
        <w:tc>
          <w:tcPr>
            <w:tcW w:w="1755" w:type="dxa"/>
          </w:tcPr>
          <w:p w14:paraId="774F60B9" w14:textId="77777777" w:rsidR="00040D6B" w:rsidRPr="00D86397" w:rsidRDefault="00040D6B"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Intervention</w:t>
            </w:r>
          </w:p>
        </w:tc>
        <w:tc>
          <w:tcPr>
            <w:tcW w:w="7156" w:type="dxa"/>
          </w:tcPr>
          <w:p w14:paraId="3B3E96A3" w14:textId="49015C9F" w:rsidR="00040D6B" w:rsidRPr="005A30D7" w:rsidRDefault="00040D6B" w:rsidP="00B7183E">
            <w:pPr>
              <w:pStyle w:val="ListParagraph"/>
              <w:numPr>
                <w:ilvl w:val="0"/>
                <w:numId w:val="49"/>
              </w:numPr>
              <w:autoSpaceDE w:val="0"/>
              <w:autoSpaceDN w:val="0"/>
              <w:adjustRightInd w:val="0"/>
              <w:spacing w:after="40"/>
              <w:rPr>
                <w:rFonts w:ascii="Arial Narrow" w:hAnsi="Arial Narrow" w:cs="Arial Narrow"/>
                <w:bCs/>
                <w:sz w:val="20"/>
              </w:rPr>
            </w:pPr>
            <w:r w:rsidRPr="005A30D7">
              <w:rPr>
                <w:rFonts w:ascii="Arial Narrow" w:hAnsi="Arial Narrow" w:cs="Arial Narrow"/>
                <w:bCs/>
                <w:sz w:val="20"/>
              </w:rPr>
              <w:t>AMH test in addition to other standard tests, to measure ovarian reserve to determine if cryopreservation of ovarian tissue, oocytes or embryos for fertility preservation is required, and predict chance of success of fertility preservation</w:t>
            </w:r>
          </w:p>
          <w:p w14:paraId="6B25C7C0" w14:textId="21E0A149" w:rsidR="00040D6B" w:rsidRPr="005A30D7" w:rsidRDefault="00040D6B" w:rsidP="00B7183E">
            <w:pPr>
              <w:pStyle w:val="ListParagraph"/>
              <w:numPr>
                <w:ilvl w:val="0"/>
                <w:numId w:val="49"/>
              </w:numPr>
              <w:autoSpaceDE w:val="0"/>
              <w:autoSpaceDN w:val="0"/>
              <w:adjustRightInd w:val="0"/>
              <w:spacing w:after="40"/>
              <w:rPr>
                <w:rFonts w:ascii="Arial Narrow" w:hAnsi="Arial Narrow" w:cs="Arial Narrow"/>
                <w:bCs/>
                <w:sz w:val="20"/>
              </w:rPr>
            </w:pPr>
            <w:r w:rsidRPr="005A30D7">
              <w:rPr>
                <w:rFonts w:ascii="Arial Narrow" w:hAnsi="Arial Narrow" w:cs="Arial Narrow"/>
                <w:bCs/>
                <w:sz w:val="20"/>
              </w:rPr>
              <w:t>AMH test in addition to other standard tests, to predict response to superovulation and determine the level of hormones used for superovulation</w:t>
            </w:r>
          </w:p>
        </w:tc>
      </w:tr>
      <w:tr w:rsidR="00040D6B" w:rsidRPr="00D86397" w14:paraId="7E87B413" w14:textId="77777777" w:rsidTr="004D6D0A">
        <w:tc>
          <w:tcPr>
            <w:tcW w:w="1755" w:type="dxa"/>
          </w:tcPr>
          <w:p w14:paraId="26507F15" w14:textId="77777777" w:rsidR="00040D6B" w:rsidRPr="00D86397" w:rsidRDefault="00040D6B"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Comparators</w:t>
            </w:r>
          </w:p>
        </w:tc>
        <w:tc>
          <w:tcPr>
            <w:tcW w:w="7156" w:type="dxa"/>
          </w:tcPr>
          <w:p w14:paraId="79280BE9" w14:textId="68C534F0" w:rsidR="00040D6B" w:rsidRPr="005A30D7" w:rsidRDefault="00040D6B" w:rsidP="00B7183E">
            <w:pPr>
              <w:pStyle w:val="ListParagraph"/>
              <w:numPr>
                <w:ilvl w:val="0"/>
                <w:numId w:val="50"/>
              </w:numPr>
              <w:spacing w:after="40" w:line="240" w:lineRule="auto"/>
              <w:rPr>
                <w:rFonts w:ascii="Arial Narrow" w:hAnsi="Arial Narrow" w:cs="Arial Narrow"/>
                <w:bCs/>
                <w:sz w:val="20"/>
              </w:rPr>
            </w:pPr>
            <w:r w:rsidRPr="005A30D7">
              <w:rPr>
                <w:rFonts w:ascii="Arial Narrow" w:hAnsi="Arial Narrow" w:cs="Arial Narrow"/>
                <w:bCs/>
                <w:sz w:val="20"/>
              </w:rPr>
              <w:t xml:space="preserve">Other standard tests (FSH, </w:t>
            </w:r>
            <w:r w:rsidR="003C660B" w:rsidRPr="005A30D7">
              <w:rPr>
                <w:rFonts w:ascii="Arial Narrow" w:hAnsi="Arial Narrow" w:cs="Arial Narrow"/>
                <w:bCs/>
                <w:sz w:val="20"/>
              </w:rPr>
              <w:t>E2</w:t>
            </w:r>
            <w:r w:rsidRPr="005A30D7">
              <w:rPr>
                <w:rFonts w:ascii="Arial Narrow" w:hAnsi="Arial Narrow" w:cs="Arial Narrow"/>
                <w:bCs/>
                <w:sz w:val="20"/>
              </w:rPr>
              <w:t>, AFC ultrasound if post-pubertal) to measure ovarian reserve to determine if cryopreservation of ovarian tissue, oocytes or embryos for fertility preservation is required, and predict chance of success of fertility preservation</w:t>
            </w:r>
          </w:p>
          <w:p w14:paraId="105DEE32" w14:textId="7EF12A1A" w:rsidR="00040D6B" w:rsidRPr="005A30D7" w:rsidRDefault="00040D6B" w:rsidP="00B7183E">
            <w:pPr>
              <w:pStyle w:val="ListParagraph"/>
              <w:numPr>
                <w:ilvl w:val="0"/>
                <w:numId w:val="50"/>
              </w:numPr>
              <w:spacing w:after="40" w:line="240" w:lineRule="auto"/>
              <w:rPr>
                <w:rFonts w:ascii="Arial Narrow" w:hAnsi="Arial Narrow" w:cs="Arial Narrow"/>
                <w:bCs/>
                <w:sz w:val="20"/>
              </w:rPr>
            </w:pPr>
            <w:r w:rsidRPr="005A30D7">
              <w:rPr>
                <w:rFonts w:ascii="Arial Narrow" w:hAnsi="Arial Narrow" w:cs="Arial Narrow"/>
                <w:bCs/>
                <w:sz w:val="20"/>
              </w:rPr>
              <w:t xml:space="preserve">Other standard tests (FSH, </w:t>
            </w:r>
            <w:r w:rsidR="003C660B" w:rsidRPr="005A30D7">
              <w:rPr>
                <w:rFonts w:ascii="Arial Narrow" w:hAnsi="Arial Narrow" w:cs="Arial Narrow"/>
                <w:bCs/>
                <w:sz w:val="20"/>
              </w:rPr>
              <w:t>E2</w:t>
            </w:r>
            <w:r w:rsidRPr="005A30D7">
              <w:rPr>
                <w:rFonts w:ascii="Arial Narrow" w:hAnsi="Arial Narrow" w:cs="Arial Narrow"/>
                <w:bCs/>
                <w:sz w:val="20"/>
              </w:rPr>
              <w:t>,</w:t>
            </w:r>
            <w:r>
              <w:t xml:space="preserve"> </w:t>
            </w:r>
            <w:r w:rsidRPr="005A30D7">
              <w:rPr>
                <w:rFonts w:ascii="Arial Narrow" w:hAnsi="Arial Narrow" w:cs="Arial Narrow"/>
                <w:bCs/>
                <w:sz w:val="20"/>
              </w:rPr>
              <w:t>AFC ultrasound if post-pubertal) to predict response to superovulation and determine the level of hormones used</w:t>
            </w:r>
          </w:p>
        </w:tc>
      </w:tr>
      <w:tr w:rsidR="00040D6B" w:rsidRPr="00D86397" w14:paraId="66A4BB7D" w14:textId="77777777" w:rsidTr="004D6D0A">
        <w:tc>
          <w:tcPr>
            <w:tcW w:w="1755" w:type="dxa"/>
          </w:tcPr>
          <w:p w14:paraId="37143AC8" w14:textId="77777777" w:rsidR="00040D6B" w:rsidRPr="00D86397" w:rsidRDefault="00040D6B"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Outcomes</w:t>
            </w:r>
          </w:p>
        </w:tc>
        <w:tc>
          <w:tcPr>
            <w:tcW w:w="7156" w:type="dxa"/>
          </w:tcPr>
          <w:p w14:paraId="1E1FEA7E" w14:textId="3E9734C4" w:rsidR="00040D6B" w:rsidRDefault="00040D6B" w:rsidP="005A30D7">
            <w:pPr>
              <w:tabs>
                <w:tab w:val="left" w:pos="1535"/>
              </w:tabs>
              <w:autoSpaceDE w:val="0"/>
              <w:autoSpaceDN w:val="0"/>
              <w:adjustRightInd w:val="0"/>
              <w:spacing w:afterLines="40" w:after="96" w:line="240" w:lineRule="auto"/>
              <w:rPr>
                <w:rFonts w:ascii="Arial Narrow" w:hAnsi="Arial Narrow" w:cs="Arial Narrow"/>
                <w:bCs/>
                <w:sz w:val="20"/>
              </w:rPr>
            </w:pPr>
            <w:r w:rsidRPr="00D86397">
              <w:rPr>
                <w:rFonts w:ascii="Arial Narrow" w:hAnsi="Arial Narrow" w:cs="Arial Narrow"/>
                <w:bCs/>
                <w:sz w:val="20"/>
                <w:u w:val="single"/>
              </w:rPr>
              <w:t>Safety</w:t>
            </w:r>
            <w:r w:rsidR="003C660B" w:rsidRPr="003C660B">
              <w:rPr>
                <w:rFonts w:ascii="Arial Narrow" w:hAnsi="Arial Narrow" w:cs="Arial Narrow"/>
                <w:bCs/>
                <w:sz w:val="20"/>
              </w:rPr>
              <w:t>:</w:t>
            </w:r>
            <w:r w:rsidRPr="00D86397">
              <w:rPr>
                <w:rFonts w:ascii="Arial Narrow" w:hAnsi="Arial Narrow" w:cs="Arial Narrow"/>
                <w:bCs/>
                <w:sz w:val="20"/>
              </w:rPr>
              <w:tab/>
            </w:r>
            <w:r>
              <w:rPr>
                <w:rFonts w:ascii="Arial Narrow" w:hAnsi="Arial Narrow" w:cs="Arial Narrow"/>
                <w:bCs/>
                <w:sz w:val="20"/>
              </w:rPr>
              <w:t>Adverse events associated with the tests</w:t>
            </w:r>
          </w:p>
          <w:p w14:paraId="4973A376" w14:textId="5F3CE7D8" w:rsidR="00040D6B" w:rsidRDefault="00040D6B" w:rsidP="005A30D7">
            <w:pPr>
              <w:tabs>
                <w:tab w:val="left" w:pos="1535"/>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Adverse events associat</w:t>
            </w:r>
            <w:r w:rsidR="003C660B">
              <w:rPr>
                <w:rFonts w:ascii="Arial Narrow" w:hAnsi="Arial Narrow" w:cs="Arial Narrow"/>
                <w:bCs/>
                <w:sz w:val="20"/>
              </w:rPr>
              <w:t>ed with superovulation, such as OHSS</w:t>
            </w:r>
          </w:p>
          <w:p w14:paraId="7452CED7" w14:textId="68CDB7DB" w:rsidR="00040D6B" w:rsidRDefault="00040D6B" w:rsidP="005A30D7">
            <w:pPr>
              <w:tabs>
                <w:tab w:val="left" w:pos="1535"/>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Adverse events associated with procurement of ovarian tissue or oocytes</w:t>
            </w:r>
            <w:r>
              <w:rPr>
                <w:rFonts w:ascii="Arial Narrow" w:hAnsi="Arial Narrow" w:cs="Arial Narrow"/>
                <w:bCs/>
                <w:sz w:val="20"/>
              </w:rPr>
              <w:tab/>
              <w:t>Anxiety about viability of frozen tissue or oocytes</w:t>
            </w:r>
          </w:p>
          <w:p w14:paraId="27D5FA4E" w14:textId="77777777" w:rsidR="00040D6B" w:rsidRPr="00D86397" w:rsidRDefault="00040D6B" w:rsidP="005A30D7">
            <w:pPr>
              <w:tabs>
                <w:tab w:val="left" w:pos="1535"/>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Anxiety about disposal of excess or unwanted frozen tissue or oocytes</w:t>
            </w:r>
          </w:p>
          <w:p w14:paraId="7E021571" w14:textId="77777777" w:rsidR="007518CF" w:rsidRDefault="00040D6B"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sidRPr="00D86397">
              <w:rPr>
                <w:rFonts w:ascii="Arial Narrow" w:hAnsi="Arial Narrow" w:cs="Arial Narrow"/>
                <w:bCs/>
                <w:sz w:val="20"/>
                <w:u w:val="single"/>
              </w:rPr>
              <w:t>Effectiveness</w:t>
            </w:r>
            <w:r w:rsidRPr="003C660B">
              <w:rPr>
                <w:rFonts w:ascii="Arial Narrow" w:hAnsi="Arial Narrow" w:cs="Arial Narrow"/>
                <w:bCs/>
                <w:sz w:val="20"/>
              </w:rPr>
              <w:t>:</w:t>
            </w:r>
            <w:r>
              <w:rPr>
                <w:rFonts w:ascii="Arial Narrow" w:hAnsi="Arial Narrow" w:cs="Arial Narrow"/>
                <w:bCs/>
                <w:sz w:val="20"/>
              </w:rPr>
              <w:tab/>
              <w:t>Rate of pregnancy with biological offspring</w:t>
            </w:r>
            <w:r>
              <w:rPr>
                <w:rFonts w:ascii="Arial Narrow" w:hAnsi="Arial Narrow" w:cs="Arial Narrow"/>
                <w:bCs/>
                <w:sz w:val="20"/>
              </w:rPr>
              <w:br/>
            </w:r>
            <w:r>
              <w:rPr>
                <w:rFonts w:ascii="Arial Narrow" w:hAnsi="Arial Narrow" w:cs="Arial Narrow"/>
                <w:bCs/>
                <w:sz w:val="20"/>
              </w:rPr>
              <w:tab/>
              <w:t xml:space="preserve">Pregnancy outcomes (live birth at term, premature birth, stillbirth, birth </w:t>
            </w:r>
            <w:r w:rsidR="00FE0526">
              <w:rPr>
                <w:rFonts w:ascii="Arial Narrow" w:hAnsi="Arial Narrow" w:cs="Arial Narrow"/>
                <w:bCs/>
                <w:sz w:val="20"/>
              </w:rPr>
              <w:tab/>
            </w:r>
            <w:r>
              <w:rPr>
                <w:rFonts w:ascii="Arial Narrow" w:hAnsi="Arial Narrow" w:cs="Arial Narrow"/>
                <w:bCs/>
                <w:sz w:val="20"/>
              </w:rPr>
              <w:t>defects,</w:t>
            </w:r>
            <w:r w:rsidR="00FE0526">
              <w:rPr>
                <w:rFonts w:ascii="Arial Narrow" w:hAnsi="Arial Narrow" w:cs="Arial Narrow"/>
                <w:bCs/>
                <w:sz w:val="20"/>
              </w:rPr>
              <w:t xml:space="preserve"> </w:t>
            </w:r>
            <w:r>
              <w:rPr>
                <w:rFonts w:ascii="Arial Narrow" w:hAnsi="Arial Narrow" w:cs="Arial Narrow"/>
                <w:bCs/>
                <w:sz w:val="20"/>
              </w:rPr>
              <w:t>miscarriage)</w:t>
            </w:r>
          </w:p>
          <w:p w14:paraId="59F6AB18" w14:textId="6E318D2E" w:rsidR="00040D6B" w:rsidRDefault="00040D6B"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 xml:space="preserve">Rate of having non-biological children (IVF with donor oocyte, surrogacy </w:t>
            </w:r>
            <w:r w:rsidR="00FE0526">
              <w:rPr>
                <w:rFonts w:ascii="Arial Narrow" w:hAnsi="Arial Narrow" w:cs="Arial Narrow"/>
                <w:bCs/>
                <w:sz w:val="20"/>
              </w:rPr>
              <w:tab/>
            </w:r>
            <w:r>
              <w:rPr>
                <w:rFonts w:ascii="Arial Narrow" w:hAnsi="Arial Narrow" w:cs="Arial Narrow"/>
                <w:bCs/>
                <w:sz w:val="20"/>
              </w:rPr>
              <w:t>or adoption)</w:t>
            </w:r>
          </w:p>
          <w:p w14:paraId="670E9501" w14:textId="77777777" w:rsidR="00040D6B" w:rsidRDefault="00040D6B"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Rate of childlessness</w:t>
            </w:r>
          </w:p>
          <w:p w14:paraId="357726AC" w14:textId="77777777" w:rsidR="00040D6B" w:rsidRDefault="00040D6B"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Q</w:t>
            </w:r>
            <w:r w:rsidRPr="00A1170E">
              <w:rPr>
                <w:rFonts w:ascii="Arial Narrow" w:hAnsi="Arial Narrow" w:cs="Arial Narrow"/>
                <w:bCs/>
                <w:sz w:val="20"/>
              </w:rPr>
              <w:t>uality of</w:t>
            </w:r>
            <w:r>
              <w:rPr>
                <w:rFonts w:ascii="Arial Narrow" w:hAnsi="Arial Narrow" w:cs="Arial Narrow"/>
                <w:bCs/>
                <w:sz w:val="20"/>
              </w:rPr>
              <w:t xml:space="preserve"> </w:t>
            </w:r>
            <w:r w:rsidRPr="00A1170E">
              <w:rPr>
                <w:rFonts w:ascii="Arial Narrow" w:hAnsi="Arial Narrow" w:cs="Arial Narrow"/>
                <w:bCs/>
                <w:sz w:val="20"/>
              </w:rPr>
              <w:t>life</w:t>
            </w:r>
          </w:p>
          <w:p w14:paraId="3713701F" w14:textId="77777777" w:rsidR="00040D6B" w:rsidRDefault="00040D6B"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 xml:space="preserve">Quality of relationship and </w:t>
            </w:r>
            <w:r w:rsidRPr="00A1170E">
              <w:rPr>
                <w:rFonts w:ascii="Arial Narrow" w:hAnsi="Arial Narrow" w:cs="Arial Narrow"/>
                <w:bCs/>
                <w:sz w:val="20"/>
              </w:rPr>
              <w:t>family life</w:t>
            </w:r>
          </w:p>
          <w:p w14:paraId="1AA9F52D" w14:textId="078E8340" w:rsidR="003C660B" w:rsidRDefault="003C660B"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Yield of good quality oocytes (intermediate effectiveness outcome)</w:t>
            </w:r>
          </w:p>
          <w:p w14:paraId="3210606B" w14:textId="30FD9A72" w:rsidR="00040D6B" w:rsidRPr="00D86397" w:rsidRDefault="00040D6B" w:rsidP="005A30D7">
            <w:pPr>
              <w:tabs>
                <w:tab w:val="left" w:pos="1535"/>
              </w:tabs>
              <w:autoSpaceDE w:val="0"/>
              <w:autoSpaceDN w:val="0"/>
              <w:adjustRightInd w:val="0"/>
              <w:spacing w:afterLines="40" w:after="96" w:line="240" w:lineRule="auto"/>
              <w:rPr>
                <w:rFonts w:ascii="Arial Narrow" w:hAnsi="Arial Narrow" w:cs="Arial Narrow"/>
                <w:bCs/>
                <w:sz w:val="20"/>
                <w:u w:val="single"/>
              </w:rPr>
            </w:pPr>
            <w:r w:rsidRPr="00D86397">
              <w:rPr>
                <w:rFonts w:ascii="Arial Narrow" w:hAnsi="Arial Narrow" w:cs="Arial Narrow"/>
                <w:bCs/>
                <w:sz w:val="20"/>
                <w:u w:val="single"/>
              </w:rPr>
              <w:t>Cost-effectiveness</w:t>
            </w:r>
            <w:r w:rsidRPr="00D86397">
              <w:rPr>
                <w:rFonts w:ascii="Arial Narrow" w:hAnsi="Arial Narrow" w:cs="Arial Narrow"/>
                <w:bCs/>
                <w:sz w:val="20"/>
              </w:rPr>
              <w:tab/>
              <w:t>Cost</w:t>
            </w:r>
          </w:p>
          <w:p w14:paraId="394FC02A" w14:textId="77777777" w:rsidR="00040D6B" w:rsidRPr="00D86397" w:rsidRDefault="00040D6B" w:rsidP="005A30D7">
            <w:pPr>
              <w:tabs>
                <w:tab w:val="left" w:pos="1535"/>
              </w:tabs>
              <w:autoSpaceDE w:val="0"/>
              <w:autoSpaceDN w:val="0"/>
              <w:adjustRightInd w:val="0"/>
              <w:spacing w:afterLines="40" w:after="96" w:line="240" w:lineRule="auto"/>
              <w:ind w:left="357"/>
              <w:rPr>
                <w:rFonts w:ascii="Arial Narrow" w:hAnsi="Arial Narrow" w:cs="Arial Narrow"/>
                <w:bCs/>
                <w:sz w:val="20"/>
                <w:u w:val="single"/>
              </w:rPr>
            </w:pPr>
            <w:r w:rsidRPr="00D86397">
              <w:rPr>
                <w:rFonts w:ascii="Arial Narrow" w:hAnsi="Arial Narrow" w:cs="Arial Narrow"/>
                <w:bCs/>
                <w:sz w:val="20"/>
              </w:rPr>
              <w:tab/>
              <w:t xml:space="preserve">Cost per QALY or cost per </w:t>
            </w:r>
            <w:r>
              <w:rPr>
                <w:rFonts w:ascii="Arial Narrow" w:hAnsi="Arial Narrow" w:cs="Arial Narrow"/>
                <w:bCs/>
                <w:sz w:val="20"/>
              </w:rPr>
              <w:t>live birth</w:t>
            </w:r>
          </w:p>
          <w:p w14:paraId="438BD630" w14:textId="77777777" w:rsidR="00040D6B" w:rsidRPr="00D86397" w:rsidRDefault="00040D6B" w:rsidP="005A30D7">
            <w:pPr>
              <w:tabs>
                <w:tab w:val="left" w:pos="1535"/>
              </w:tabs>
              <w:autoSpaceDE w:val="0"/>
              <w:autoSpaceDN w:val="0"/>
              <w:adjustRightInd w:val="0"/>
              <w:spacing w:afterLines="40" w:after="96" w:line="240" w:lineRule="auto"/>
              <w:ind w:left="357"/>
              <w:rPr>
                <w:rFonts w:ascii="Arial Narrow" w:hAnsi="Arial Narrow" w:cs="Arial Narrow"/>
                <w:bCs/>
                <w:sz w:val="20"/>
              </w:rPr>
            </w:pPr>
            <w:r w:rsidRPr="00D86397">
              <w:rPr>
                <w:rFonts w:ascii="Arial Narrow" w:hAnsi="Arial Narrow" w:cs="Arial Narrow"/>
                <w:bCs/>
                <w:sz w:val="20"/>
              </w:rPr>
              <w:tab/>
              <w:t>ICER</w:t>
            </w:r>
          </w:p>
        </w:tc>
      </w:tr>
      <w:tr w:rsidR="00040D6B" w:rsidRPr="00D86397" w14:paraId="6F4FFCAD" w14:textId="77777777" w:rsidTr="004D6D0A">
        <w:tc>
          <w:tcPr>
            <w:tcW w:w="1755" w:type="dxa"/>
          </w:tcPr>
          <w:p w14:paraId="58B99242" w14:textId="77777777" w:rsidR="00040D6B" w:rsidRPr="00D86397" w:rsidRDefault="00040D6B"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Study design</w:t>
            </w:r>
          </w:p>
        </w:tc>
        <w:tc>
          <w:tcPr>
            <w:tcW w:w="7156" w:type="dxa"/>
          </w:tcPr>
          <w:p w14:paraId="622CE4BC" w14:textId="503EDF85" w:rsidR="00040D6B" w:rsidRPr="002754A9" w:rsidRDefault="00040D6B" w:rsidP="0064098D">
            <w:pPr>
              <w:tabs>
                <w:tab w:val="left" w:pos="1535"/>
              </w:tabs>
              <w:autoSpaceDE w:val="0"/>
              <w:autoSpaceDN w:val="0"/>
              <w:adjustRightInd w:val="0"/>
              <w:spacing w:after="0"/>
              <w:rPr>
                <w:rFonts w:ascii="Arial Narrow" w:hAnsi="Arial Narrow" w:cs="Arial Narrow"/>
                <w:bCs/>
                <w:sz w:val="20"/>
              </w:rPr>
            </w:pPr>
            <w:r w:rsidRPr="002754A9">
              <w:rPr>
                <w:rFonts w:ascii="Arial Narrow" w:hAnsi="Arial Narrow" w:cs="Arial Narrow"/>
                <w:bCs/>
                <w:sz w:val="20"/>
              </w:rPr>
              <w:t>Randomised trials, cohort studies, case series, or systematic reviews of these study designs</w:t>
            </w:r>
          </w:p>
        </w:tc>
      </w:tr>
      <w:tr w:rsidR="00040D6B" w:rsidRPr="00D86397" w14:paraId="447023A1" w14:textId="77777777" w:rsidTr="004D6D0A">
        <w:tc>
          <w:tcPr>
            <w:tcW w:w="1755" w:type="dxa"/>
          </w:tcPr>
          <w:p w14:paraId="6A9D66C4" w14:textId="77777777" w:rsidR="00040D6B" w:rsidRPr="00D86397" w:rsidRDefault="00040D6B"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Search period</w:t>
            </w:r>
          </w:p>
        </w:tc>
        <w:tc>
          <w:tcPr>
            <w:tcW w:w="7156" w:type="dxa"/>
          </w:tcPr>
          <w:p w14:paraId="337C5907" w14:textId="2AAF74BE" w:rsidR="00040D6B" w:rsidRPr="00D86397" w:rsidRDefault="00040D6B" w:rsidP="00123D7B">
            <w:pPr>
              <w:autoSpaceDE w:val="0"/>
              <w:autoSpaceDN w:val="0"/>
              <w:adjustRightInd w:val="0"/>
              <w:spacing w:after="40"/>
              <w:rPr>
                <w:rFonts w:ascii="Arial Narrow" w:hAnsi="Arial Narrow" w:cs="Arial Narrow"/>
                <w:bCs/>
                <w:sz w:val="20"/>
              </w:rPr>
            </w:pPr>
            <w:r w:rsidRPr="00D86397">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w:t>
            </w:r>
            <w:r w:rsidRPr="00D86397">
              <w:rPr>
                <w:rFonts w:ascii="Arial Narrow" w:hAnsi="Arial Narrow" w:cs="Arial Narrow"/>
                <w:bCs/>
                <w:sz w:val="20"/>
              </w:rPr>
              <w:t xml:space="preserve"> 201</w:t>
            </w:r>
            <w:r>
              <w:rPr>
                <w:rFonts w:ascii="Arial Narrow" w:hAnsi="Arial Narrow" w:cs="Arial Narrow"/>
                <w:bCs/>
                <w:sz w:val="20"/>
              </w:rPr>
              <w:t>7</w:t>
            </w:r>
          </w:p>
        </w:tc>
      </w:tr>
      <w:tr w:rsidR="00040D6B" w:rsidRPr="00D86397" w14:paraId="4F09A43D" w14:textId="77777777" w:rsidTr="004D6D0A">
        <w:tc>
          <w:tcPr>
            <w:tcW w:w="1755" w:type="dxa"/>
          </w:tcPr>
          <w:p w14:paraId="1D13B946" w14:textId="77777777" w:rsidR="00040D6B" w:rsidRPr="00D86397" w:rsidRDefault="00040D6B"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Language</w:t>
            </w:r>
          </w:p>
        </w:tc>
        <w:tc>
          <w:tcPr>
            <w:tcW w:w="7156" w:type="dxa"/>
          </w:tcPr>
          <w:p w14:paraId="18B7677B" w14:textId="6C6DC467" w:rsidR="00040D6B" w:rsidRPr="00D86397" w:rsidRDefault="00040D6B" w:rsidP="00123D7B">
            <w:pPr>
              <w:autoSpaceDE w:val="0"/>
              <w:autoSpaceDN w:val="0"/>
              <w:adjustRightInd w:val="0"/>
              <w:spacing w:after="40"/>
              <w:rPr>
                <w:rFonts w:ascii="Arial Narrow" w:hAnsi="Arial Narrow" w:cs="Arial Narrow"/>
                <w:bCs/>
                <w:sz w:val="20"/>
              </w:rPr>
            </w:pPr>
            <w:r w:rsidRPr="00D86397">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D86397">
              <w:rPr>
                <w:rFonts w:ascii="Arial Narrow" w:hAnsi="Arial Narrow" w:cs="Arial Narrow"/>
                <w:bCs/>
                <w:sz w:val="20"/>
              </w:rPr>
              <w:t>base</w:t>
            </w:r>
          </w:p>
        </w:tc>
      </w:tr>
      <w:tr w:rsidR="00040D6B" w:rsidRPr="00D86397" w14:paraId="144083DB" w14:textId="77777777" w:rsidTr="004D6D0A">
        <w:trPr>
          <w:trHeight w:val="630"/>
        </w:trPr>
        <w:tc>
          <w:tcPr>
            <w:tcW w:w="8911" w:type="dxa"/>
            <w:gridSpan w:val="2"/>
          </w:tcPr>
          <w:p w14:paraId="0437DA57" w14:textId="77777777" w:rsidR="007518CF" w:rsidRDefault="00040D6B" w:rsidP="00B7183E">
            <w:pPr>
              <w:numPr>
                <w:ilvl w:val="0"/>
                <w:numId w:val="27"/>
              </w:numPr>
              <w:autoSpaceDE w:val="0"/>
              <w:autoSpaceDN w:val="0"/>
              <w:adjustRightInd w:val="0"/>
              <w:spacing w:after="40" w:line="240" w:lineRule="auto"/>
              <w:rPr>
                <w:rFonts w:ascii="Arial Narrow" w:hAnsi="Arial Narrow" w:cs="Arial Narrow"/>
                <w:b/>
                <w:bCs/>
                <w:sz w:val="20"/>
              </w:rPr>
            </w:pPr>
            <w:r w:rsidRPr="00D86397">
              <w:rPr>
                <w:rFonts w:ascii="Arial Narrow" w:hAnsi="Arial Narrow" w:cs="Arial Narrow"/>
                <w:b/>
                <w:bCs/>
                <w:sz w:val="20"/>
              </w:rPr>
              <w:t>What is the safety, effectiveness, and cost-effectiveness of</w:t>
            </w:r>
            <w:r w:rsidRPr="00D86397">
              <w:rPr>
                <w:rFonts w:ascii="Arial Narrow" w:hAnsi="Arial Narrow" w:cs="Arial"/>
              </w:rPr>
              <w:t xml:space="preserve"> </w:t>
            </w:r>
            <w:r w:rsidRPr="00ED493D">
              <w:rPr>
                <w:rFonts w:ascii="Arial Narrow" w:hAnsi="Arial Narrow" w:cs="Arial Narrow"/>
                <w:b/>
                <w:bCs/>
                <w:sz w:val="20"/>
              </w:rPr>
              <w:t xml:space="preserve">having </w:t>
            </w:r>
            <w:r>
              <w:rPr>
                <w:rFonts w:ascii="Arial Narrow" w:hAnsi="Arial Narrow" w:cs="Arial Narrow"/>
                <w:b/>
                <w:bCs/>
                <w:sz w:val="20"/>
              </w:rPr>
              <w:t xml:space="preserve">an AMH test to </w:t>
            </w:r>
            <w:r w:rsidRPr="007A0751">
              <w:rPr>
                <w:rFonts w:ascii="Arial Narrow" w:hAnsi="Arial Narrow" w:cs="Arial Narrow"/>
                <w:b/>
                <w:bCs/>
                <w:sz w:val="20"/>
              </w:rPr>
              <w:t xml:space="preserve">measure ovarian reserve </w:t>
            </w:r>
            <w:r>
              <w:rPr>
                <w:rFonts w:ascii="Arial Narrow" w:hAnsi="Arial Narrow" w:cs="Arial Narrow"/>
                <w:b/>
                <w:bCs/>
                <w:sz w:val="20"/>
              </w:rPr>
              <w:t xml:space="preserve">in addition to other standard tests, versus other standard tests alone, for </w:t>
            </w:r>
            <w:r w:rsidRPr="007A0751">
              <w:rPr>
                <w:rFonts w:ascii="Arial Narrow" w:hAnsi="Arial Narrow" w:cs="Arial Narrow"/>
                <w:b/>
                <w:bCs/>
                <w:sz w:val="20"/>
              </w:rPr>
              <w:t>determin</w:t>
            </w:r>
            <w:r>
              <w:rPr>
                <w:rFonts w:ascii="Arial Narrow" w:hAnsi="Arial Narrow" w:cs="Arial Narrow"/>
                <w:b/>
                <w:bCs/>
                <w:sz w:val="20"/>
              </w:rPr>
              <w:t>ing</w:t>
            </w:r>
            <w:r w:rsidRPr="007A0751">
              <w:rPr>
                <w:rFonts w:ascii="Arial Narrow" w:hAnsi="Arial Narrow" w:cs="Arial Narrow"/>
                <w:b/>
                <w:bCs/>
                <w:sz w:val="20"/>
              </w:rPr>
              <w:t xml:space="preserve"> </w:t>
            </w:r>
            <w:r>
              <w:rPr>
                <w:rFonts w:ascii="Arial Narrow" w:hAnsi="Arial Narrow" w:cs="Arial Narrow"/>
                <w:b/>
                <w:bCs/>
                <w:sz w:val="20"/>
              </w:rPr>
              <w:t>the need for</w:t>
            </w:r>
            <w:r w:rsidRPr="007A0751">
              <w:rPr>
                <w:rFonts w:ascii="Arial Narrow" w:hAnsi="Arial Narrow" w:cs="Arial Narrow"/>
                <w:b/>
                <w:bCs/>
                <w:sz w:val="20"/>
              </w:rPr>
              <w:t xml:space="preserve"> </w:t>
            </w:r>
            <w:r>
              <w:rPr>
                <w:rFonts w:ascii="Arial Narrow" w:hAnsi="Arial Narrow" w:cs="Arial Narrow"/>
                <w:b/>
                <w:bCs/>
                <w:sz w:val="20"/>
              </w:rPr>
              <w:t>cryopreservation of ovarian tissue, oocytes or embryos, and predicting the success of fertility preservation,</w:t>
            </w:r>
            <w:r w:rsidRPr="002D494D">
              <w:rPr>
                <w:rFonts w:ascii="Arial Narrow" w:hAnsi="Arial Narrow" w:cs="Arial Narrow"/>
                <w:b/>
                <w:bCs/>
                <w:sz w:val="20"/>
              </w:rPr>
              <w:t xml:space="preserve"> </w:t>
            </w:r>
            <w:r w:rsidRPr="002E0CD8">
              <w:rPr>
                <w:rFonts w:ascii="Arial Narrow" w:hAnsi="Arial Narrow" w:cs="Arial Narrow"/>
                <w:b/>
                <w:bCs/>
                <w:sz w:val="20"/>
              </w:rPr>
              <w:t>prior to receiving gonadotoxic treatment</w:t>
            </w:r>
            <w:r w:rsidRPr="00D86397">
              <w:rPr>
                <w:rFonts w:ascii="Arial Narrow" w:hAnsi="Arial Narrow" w:cs="Arial Narrow"/>
                <w:b/>
                <w:bCs/>
                <w:sz w:val="20"/>
              </w:rPr>
              <w:t>?</w:t>
            </w:r>
          </w:p>
          <w:p w14:paraId="3CDA0D64" w14:textId="014DF117" w:rsidR="00040D6B" w:rsidRPr="003B543C" w:rsidRDefault="00040D6B" w:rsidP="00B7183E">
            <w:pPr>
              <w:numPr>
                <w:ilvl w:val="0"/>
                <w:numId w:val="27"/>
              </w:numPr>
              <w:autoSpaceDE w:val="0"/>
              <w:autoSpaceDN w:val="0"/>
              <w:adjustRightInd w:val="0"/>
              <w:spacing w:after="40" w:line="240" w:lineRule="auto"/>
              <w:rPr>
                <w:rFonts w:ascii="Arial Narrow" w:hAnsi="Arial Narrow" w:cs="Arial Narrow"/>
                <w:b/>
                <w:bCs/>
                <w:sz w:val="20"/>
              </w:rPr>
            </w:pPr>
            <w:r w:rsidRPr="002D494D">
              <w:rPr>
                <w:rFonts w:ascii="Arial Narrow" w:hAnsi="Arial Narrow" w:cs="Arial Narrow"/>
                <w:b/>
                <w:bCs/>
                <w:sz w:val="20"/>
              </w:rPr>
              <w:t xml:space="preserve">What is the safety, effectiveness, and cost-effectiveness of having an AMH test </w:t>
            </w:r>
            <w:r>
              <w:rPr>
                <w:rFonts w:ascii="Arial Narrow" w:hAnsi="Arial Narrow" w:cs="Arial Narrow"/>
                <w:b/>
                <w:bCs/>
                <w:sz w:val="20"/>
              </w:rPr>
              <w:t xml:space="preserve">in addition to other standard tests, versus other standard tests alone, </w:t>
            </w:r>
            <w:r w:rsidRPr="00005BE9">
              <w:rPr>
                <w:rFonts w:ascii="Arial Narrow" w:hAnsi="Arial Narrow" w:cs="Arial Narrow"/>
                <w:b/>
                <w:bCs/>
                <w:sz w:val="20"/>
              </w:rPr>
              <w:t>to predict response to superovulation and determine the level of hormones used</w:t>
            </w:r>
            <w:r>
              <w:rPr>
                <w:rFonts w:ascii="Arial Narrow" w:hAnsi="Arial Narrow" w:cs="Arial Narrow"/>
                <w:b/>
                <w:bCs/>
                <w:sz w:val="20"/>
              </w:rPr>
              <w:t>,</w:t>
            </w:r>
            <w:r w:rsidDel="005E4099">
              <w:rPr>
                <w:rFonts w:ascii="Arial Narrow" w:hAnsi="Arial Narrow" w:cs="Arial Narrow"/>
                <w:b/>
                <w:bCs/>
                <w:sz w:val="20"/>
              </w:rPr>
              <w:t xml:space="preserve"> </w:t>
            </w:r>
            <w:r w:rsidRPr="002D494D">
              <w:rPr>
                <w:rFonts w:ascii="Arial Narrow" w:hAnsi="Arial Narrow" w:cs="Arial Narrow"/>
                <w:b/>
                <w:bCs/>
                <w:sz w:val="20"/>
              </w:rPr>
              <w:t>prior to receiving gonadotoxic treatment?</w:t>
            </w:r>
          </w:p>
        </w:tc>
      </w:tr>
    </w:tbl>
    <w:p w14:paraId="0A0F29D3" w14:textId="34202592" w:rsidR="00040D6B" w:rsidRPr="005A61AD" w:rsidRDefault="008D1C02" w:rsidP="005A61AD">
      <w:pPr>
        <w:pStyle w:val="Tablenotes0"/>
      </w:pPr>
      <w:r>
        <w:t>AFC = antral follicle count; AMH = Anti-Müllerian hormone;</w:t>
      </w:r>
      <w:r w:rsidR="005A61AD" w:rsidRPr="005A61AD">
        <w:t xml:space="preserve"> </w:t>
      </w:r>
      <w:r w:rsidR="003C660B">
        <w:t xml:space="preserve">E2 = estradiol, </w:t>
      </w:r>
      <w:r w:rsidR="005A61AD" w:rsidRPr="005A61AD">
        <w:t>FSH = follicle</w:t>
      </w:r>
      <w:r w:rsidR="00DE6DD5">
        <w:t>-</w:t>
      </w:r>
      <w:r w:rsidR="005A61AD" w:rsidRPr="005A61AD">
        <w:t>st</w:t>
      </w:r>
      <w:r>
        <w:t>imulating hormone;</w:t>
      </w:r>
      <w:r w:rsidR="005A61AD" w:rsidRPr="005A61AD">
        <w:t xml:space="preserve"> </w:t>
      </w:r>
      <w:r w:rsidR="00040D6B" w:rsidRPr="005A61AD">
        <w:t>ICER = incre</w:t>
      </w:r>
      <w:r>
        <w:t>mental cost-effectiveness ratio;</w:t>
      </w:r>
      <w:r w:rsidR="00040D6B" w:rsidRPr="005A61AD">
        <w:t xml:space="preserve"> IVF = in vitro fertili</w:t>
      </w:r>
      <w:r w:rsidR="00415491">
        <w:t>s</w:t>
      </w:r>
      <w:r w:rsidR="00040D6B" w:rsidRPr="005A61AD">
        <w:t>ation</w:t>
      </w:r>
      <w:r w:rsidR="005A61AD">
        <w:t>, OHSS = ov</w:t>
      </w:r>
      <w:r>
        <w:t>arian hyperstimulation syndrome;</w:t>
      </w:r>
      <w:r w:rsidR="00040D6B" w:rsidRPr="005A61AD">
        <w:t xml:space="preserve"> QALY = </w:t>
      </w:r>
      <w:r w:rsidR="005070FC">
        <w:t>quality-adjusted</w:t>
      </w:r>
      <w:r w:rsidR="00040D6B" w:rsidRPr="005A61AD">
        <w:t xml:space="preserve"> life year</w:t>
      </w:r>
    </w:p>
    <w:p w14:paraId="60E94C32" w14:textId="3483E81A" w:rsidR="002C29FF" w:rsidRPr="00D86397" w:rsidRDefault="002C29FF" w:rsidP="002C29FF">
      <w:pPr>
        <w:pStyle w:val="TableHeading"/>
      </w:pPr>
      <w:bookmarkStart w:id="152" w:name="_Ref493511955"/>
      <w:bookmarkStart w:id="153" w:name="_Toc491849017"/>
      <w:bookmarkStart w:id="154" w:name="_Toc502833032"/>
      <w:r w:rsidRPr="00D86397">
        <w:lastRenderedPageBreak/>
        <w:t xml:space="preserve">Table </w:t>
      </w:r>
      <w:r w:rsidR="00AC4BE5">
        <w:fldChar w:fldCharType="begin"/>
      </w:r>
      <w:r w:rsidR="00AC4BE5">
        <w:instrText xml:space="preserve"> SEQ Table \* ARABIC </w:instrText>
      </w:r>
      <w:r w:rsidR="00AC4BE5">
        <w:fldChar w:fldCharType="separate"/>
      </w:r>
      <w:r w:rsidR="00AC4BE5">
        <w:rPr>
          <w:noProof/>
        </w:rPr>
        <w:t>14</w:t>
      </w:r>
      <w:r w:rsidR="00AC4BE5">
        <w:rPr>
          <w:noProof/>
        </w:rPr>
        <w:fldChar w:fldCharType="end"/>
      </w:r>
      <w:bookmarkEnd w:id="152"/>
      <w:r w:rsidRPr="00D86397">
        <w:tab/>
        <w:t>PICO criteria and research questions for direct evidence in population</w:t>
      </w:r>
      <w:r>
        <w:t>s</w:t>
      </w:r>
      <w:r w:rsidRPr="00D86397">
        <w:t xml:space="preserve"> </w:t>
      </w:r>
      <w:r>
        <w:t>4, 5 and 6</w:t>
      </w:r>
      <w:bookmarkEnd w:id="153"/>
      <w:bookmarkEnd w:id="154"/>
    </w:p>
    <w:tbl>
      <w:tblPr>
        <w:tblStyle w:val="TableGrid1"/>
        <w:tblW w:w="0" w:type="auto"/>
        <w:tblLook w:val="04A0" w:firstRow="1" w:lastRow="0" w:firstColumn="1" w:lastColumn="0" w:noHBand="0" w:noVBand="1"/>
        <w:tblDescription w:val="PICO criteria and research questions for direct evidence in populations 4, 5 and 6"/>
      </w:tblPr>
      <w:tblGrid>
        <w:gridCol w:w="1753"/>
        <w:gridCol w:w="7158"/>
      </w:tblGrid>
      <w:tr w:rsidR="002C29FF" w:rsidRPr="00D86397" w14:paraId="6D079D7F"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1753" w:type="dxa"/>
          </w:tcPr>
          <w:p w14:paraId="711D0D67" w14:textId="77777777" w:rsidR="002C29FF" w:rsidRPr="00D86397" w:rsidRDefault="002C29FF"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Population</w:t>
            </w:r>
          </w:p>
        </w:tc>
        <w:tc>
          <w:tcPr>
            <w:tcW w:w="7158" w:type="dxa"/>
          </w:tcPr>
          <w:p w14:paraId="02981033" w14:textId="77777777" w:rsidR="002C29FF" w:rsidRDefault="002C29FF" w:rsidP="00B7183E">
            <w:pPr>
              <w:pStyle w:val="ListParagraph"/>
              <w:numPr>
                <w:ilvl w:val="0"/>
                <w:numId w:val="28"/>
              </w:numPr>
              <w:spacing w:after="40" w:line="240" w:lineRule="auto"/>
              <w:ind w:left="459" w:hanging="459"/>
              <w:contextualSpacing/>
              <w:rPr>
                <w:rFonts w:ascii="Arial Narrow" w:hAnsi="Arial Narrow" w:cs="Arial Narrow"/>
                <w:bCs/>
                <w:sz w:val="20"/>
              </w:rPr>
            </w:pPr>
            <w:r w:rsidRPr="00ED493D">
              <w:rPr>
                <w:rFonts w:ascii="Arial Narrow" w:hAnsi="Arial Narrow" w:cs="Arial Narrow"/>
                <w:bCs/>
                <w:sz w:val="20"/>
              </w:rPr>
              <w:t>Paediatric</w:t>
            </w:r>
            <w:r>
              <w:rPr>
                <w:rFonts w:ascii="Arial Narrow" w:hAnsi="Arial Narrow" w:cs="Arial Narrow"/>
                <w:bCs/>
                <w:sz w:val="20"/>
              </w:rPr>
              <w:t xml:space="preserve"> female</w:t>
            </w:r>
            <w:r w:rsidRPr="00ED493D">
              <w:rPr>
                <w:rFonts w:ascii="Arial Narrow" w:hAnsi="Arial Narrow" w:cs="Arial Narrow"/>
                <w:bCs/>
                <w:sz w:val="20"/>
              </w:rPr>
              <w:t xml:space="preserve"> patients aged 0</w:t>
            </w:r>
            <w:r>
              <w:rPr>
                <w:rFonts w:ascii="Arial Narrow" w:hAnsi="Arial Narrow" w:cs="Arial Narrow"/>
                <w:bCs/>
                <w:sz w:val="20"/>
              </w:rPr>
              <w:t>–</w:t>
            </w:r>
            <w:r w:rsidRPr="00ED493D">
              <w:rPr>
                <w:rFonts w:ascii="Arial Narrow" w:hAnsi="Arial Narrow" w:cs="Arial Narrow"/>
                <w:bCs/>
                <w:sz w:val="20"/>
              </w:rPr>
              <w:t xml:space="preserve">14 years </w:t>
            </w:r>
            <w:r>
              <w:rPr>
                <w:rFonts w:ascii="Arial Narrow" w:hAnsi="Arial Narrow" w:cs="Arial Narrow"/>
                <w:bCs/>
                <w:sz w:val="20"/>
              </w:rPr>
              <w:t xml:space="preserve">following completion of </w:t>
            </w:r>
            <w:r w:rsidRPr="00D86397">
              <w:rPr>
                <w:rFonts w:ascii="Arial Narrow" w:hAnsi="Arial Narrow" w:cs="Arial Narrow"/>
                <w:bCs/>
                <w:sz w:val="20"/>
              </w:rPr>
              <w:t>gonadotoxic</w:t>
            </w:r>
            <w:r>
              <w:rPr>
                <w:rFonts w:ascii="Arial Narrow" w:hAnsi="Arial Narrow" w:cs="Arial Narrow"/>
                <w:bCs/>
                <w:sz w:val="20"/>
              </w:rPr>
              <w:t xml:space="preserve"> treatment</w:t>
            </w:r>
          </w:p>
          <w:p w14:paraId="1EB217AC" w14:textId="77777777" w:rsidR="002C29FF" w:rsidRPr="005F040A" w:rsidRDefault="002C29FF" w:rsidP="00B7183E">
            <w:pPr>
              <w:pStyle w:val="ListParagraph"/>
              <w:numPr>
                <w:ilvl w:val="0"/>
                <w:numId w:val="28"/>
              </w:numPr>
              <w:spacing w:after="40" w:line="240" w:lineRule="auto"/>
              <w:ind w:left="459" w:hanging="459"/>
              <w:contextualSpacing/>
              <w:rPr>
                <w:rFonts w:ascii="Arial Narrow" w:hAnsi="Arial Narrow" w:cs="Arial Narrow"/>
                <w:bCs/>
                <w:sz w:val="20"/>
              </w:rPr>
            </w:pPr>
            <w:r w:rsidRPr="005F040A">
              <w:rPr>
                <w:rFonts w:ascii="Arial Narrow" w:hAnsi="Arial Narrow" w:cs="Arial Narrow"/>
                <w:bCs/>
                <w:sz w:val="20"/>
              </w:rPr>
              <w:t xml:space="preserve">Adolescent/young adult </w:t>
            </w:r>
            <w:r>
              <w:rPr>
                <w:rFonts w:ascii="Arial Narrow" w:hAnsi="Arial Narrow" w:cs="Arial Narrow"/>
                <w:bCs/>
                <w:sz w:val="20"/>
              </w:rPr>
              <w:t>female</w:t>
            </w:r>
            <w:r w:rsidRPr="005F040A">
              <w:rPr>
                <w:rFonts w:ascii="Arial Narrow" w:hAnsi="Arial Narrow" w:cs="Arial Narrow"/>
                <w:bCs/>
                <w:sz w:val="20"/>
              </w:rPr>
              <w:t xml:space="preserve"> patients aged 15–25 years </w:t>
            </w:r>
            <w:r w:rsidRPr="00523A03">
              <w:rPr>
                <w:rFonts w:ascii="Arial Narrow" w:hAnsi="Arial Narrow" w:cs="Arial Narrow"/>
                <w:bCs/>
                <w:sz w:val="20"/>
              </w:rPr>
              <w:t xml:space="preserve">following completion of </w:t>
            </w:r>
            <w:r w:rsidRPr="005F040A">
              <w:rPr>
                <w:rFonts w:ascii="Arial Narrow" w:hAnsi="Arial Narrow" w:cs="Arial Narrow"/>
                <w:bCs/>
                <w:sz w:val="20"/>
              </w:rPr>
              <w:t>gonadotoxic treatment</w:t>
            </w:r>
          </w:p>
          <w:p w14:paraId="3142DC3B" w14:textId="77777777" w:rsidR="002C29FF" w:rsidRPr="00D86397" w:rsidRDefault="002C29FF" w:rsidP="00B7183E">
            <w:pPr>
              <w:pStyle w:val="ListParagraph"/>
              <w:numPr>
                <w:ilvl w:val="0"/>
                <w:numId w:val="28"/>
              </w:numPr>
              <w:spacing w:after="40" w:line="240" w:lineRule="auto"/>
              <w:ind w:left="459" w:hanging="459"/>
              <w:contextualSpacing/>
              <w:rPr>
                <w:rFonts w:ascii="Arial Narrow" w:hAnsi="Arial Narrow" w:cs="Arial Narrow"/>
                <w:bCs/>
                <w:sz w:val="20"/>
              </w:rPr>
            </w:pPr>
            <w:r w:rsidRPr="005F040A">
              <w:rPr>
                <w:rFonts w:ascii="Arial Narrow" w:hAnsi="Arial Narrow" w:cs="Arial Narrow"/>
                <w:bCs/>
                <w:sz w:val="20"/>
              </w:rPr>
              <w:t>Adult</w:t>
            </w:r>
            <w:r>
              <w:rPr>
                <w:rFonts w:ascii="Arial Narrow" w:hAnsi="Arial Narrow" w:cs="Arial Narrow"/>
                <w:bCs/>
                <w:sz w:val="20"/>
              </w:rPr>
              <w:t xml:space="preserve"> female</w:t>
            </w:r>
            <w:r w:rsidRPr="005F040A">
              <w:rPr>
                <w:rFonts w:ascii="Arial Narrow" w:hAnsi="Arial Narrow" w:cs="Arial Narrow"/>
                <w:bCs/>
                <w:sz w:val="20"/>
              </w:rPr>
              <w:t xml:space="preserve"> patients aged 26–45 years </w:t>
            </w:r>
            <w:r w:rsidRPr="00523A03">
              <w:rPr>
                <w:rFonts w:ascii="Arial Narrow" w:hAnsi="Arial Narrow" w:cs="Arial Narrow"/>
                <w:bCs/>
                <w:sz w:val="20"/>
              </w:rPr>
              <w:t xml:space="preserve">following completion of </w:t>
            </w:r>
            <w:r w:rsidRPr="005F040A">
              <w:rPr>
                <w:rFonts w:ascii="Arial Narrow" w:hAnsi="Arial Narrow" w:cs="Arial Narrow"/>
                <w:bCs/>
                <w:sz w:val="20"/>
              </w:rPr>
              <w:t>gonadotoxic treatment</w:t>
            </w:r>
          </w:p>
        </w:tc>
      </w:tr>
      <w:tr w:rsidR="002C29FF" w:rsidRPr="00D86397" w14:paraId="27ADF7E7" w14:textId="77777777" w:rsidTr="004D6D0A">
        <w:tc>
          <w:tcPr>
            <w:tcW w:w="1753" w:type="dxa"/>
          </w:tcPr>
          <w:p w14:paraId="5831F7B6" w14:textId="77777777" w:rsidR="002C29FF" w:rsidRPr="00D86397" w:rsidRDefault="002C29FF"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Intervention</w:t>
            </w:r>
          </w:p>
        </w:tc>
        <w:tc>
          <w:tcPr>
            <w:tcW w:w="7158" w:type="dxa"/>
          </w:tcPr>
          <w:p w14:paraId="0FF8F496" w14:textId="5182B17B" w:rsidR="002C29FF" w:rsidRDefault="002C29FF" w:rsidP="003C660B">
            <w:pPr>
              <w:autoSpaceDE w:val="0"/>
              <w:autoSpaceDN w:val="0"/>
              <w:adjustRightInd w:val="0"/>
              <w:spacing w:after="40"/>
              <w:rPr>
                <w:rFonts w:ascii="Arial Narrow" w:hAnsi="Arial Narrow" w:cs="Arial Narrow"/>
                <w:bCs/>
                <w:sz w:val="20"/>
              </w:rPr>
            </w:pPr>
            <w:r w:rsidRPr="00CD20FB">
              <w:rPr>
                <w:rFonts w:ascii="Arial Narrow" w:hAnsi="Arial Narrow" w:cs="Arial Narrow"/>
                <w:bCs/>
                <w:sz w:val="20"/>
              </w:rPr>
              <w:t>AMH test in addition to other standard tests, to assess</w:t>
            </w:r>
            <w:r w:rsidR="003C660B">
              <w:rPr>
                <w:rFonts w:ascii="Arial Narrow" w:hAnsi="Arial Narrow" w:cs="Arial Narrow"/>
                <w:bCs/>
                <w:sz w:val="20"/>
              </w:rPr>
              <w:t xml:space="preserve"> the</w:t>
            </w:r>
            <w:r w:rsidRPr="00CD20FB">
              <w:rPr>
                <w:rFonts w:ascii="Arial Narrow" w:hAnsi="Arial Narrow" w:cs="Arial Narrow"/>
                <w:bCs/>
                <w:sz w:val="20"/>
              </w:rPr>
              <w:t xml:space="preserve"> level of ovarian function</w:t>
            </w:r>
            <w:r w:rsidR="003C660B">
              <w:rPr>
                <w:rFonts w:ascii="Arial Narrow" w:hAnsi="Arial Narrow" w:cs="Arial Narrow"/>
                <w:bCs/>
                <w:sz w:val="20"/>
              </w:rPr>
              <w:t xml:space="preserve"> for</w:t>
            </w:r>
            <w:r>
              <w:rPr>
                <w:rFonts w:ascii="Arial Narrow" w:hAnsi="Arial Narrow" w:cs="Arial Narrow"/>
                <w:bCs/>
                <w:sz w:val="20"/>
              </w:rPr>
              <w:t>:</w:t>
            </w:r>
          </w:p>
          <w:p w14:paraId="782F7FB1" w14:textId="5E22E5A4" w:rsidR="007518CF" w:rsidRDefault="002C29FF" w:rsidP="00B7183E">
            <w:pPr>
              <w:numPr>
                <w:ilvl w:val="0"/>
                <w:numId w:val="48"/>
              </w:numPr>
              <w:autoSpaceDE w:val="0"/>
              <w:autoSpaceDN w:val="0"/>
              <w:adjustRightInd w:val="0"/>
              <w:spacing w:after="40" w:line="240" w:lineRule="auto"/>
              <w:rPr>
                <w:rFonts w:ascii="Arial Narrow" w:hAnsi="Arial Narrow" w:cs="Arial Narrow"/>
                <w:bCs/>
                <w:sz w:val="20"/>
              </w:rPr>
            </w:pPr>
            <w:r>
              <w:rPr>
                <w:rFonts w:ascii="Arial Narrow" w:hAnsi="Arial Narrow" w:cs="Arial Narrow"/>
                <w:bCs/>
                <w:sz w:val="20"/>
              </w:rPr>
              <w:t>helping inform whether patients need to use ART</w:t>
            </w:r>
            <w:r w:rsidR="003C660B">
              <w:rPr>
                <w:rFonts w:ascii="Arial Narrow" w:hAnsi="Arial Narrow" w:cs="Arial Narrow"/>
                <w:bCs/>
                <w:sz w:val="20"/>
              </w:rPr>
              <w:t xml:space="preserve"> to conceive</w:t>
            </w:r>
            <w:r>
              <w:rPr>
                <w:rFonts w:ascii="Arial Narrow" w:hAnsi="Arial Narrow" w:cs="Arial Narrow"/>
                <w:bCs/>
                <w:sz w:val="20"/>
              </w:rPr>
              <w:t>, using cryopreserved ova</w:t>
            </w:r>
            <w:r w:rsidR="003C660B">
              <w:rPr>
                <w:rFonts w:ascii="Arial Narrow" w:hAnsi="Arial Narrow" w:cs="Arial Narrow"/>
                <w:bCs/>
                <w:sz w:val="20"/>
              </w:rPr>
              <w:t>rian tissue, oocytes or embryos,</w:t>
            </w:r>
            <w:r>
              <w:rPr>
                <w:rFonts w:ascii="Arial Narrow" w:hAnsi="Arial Narrow" w:cs="Arial Narrow"/>
                <w:bCs/>
                <w:sz w:val="20"/>
              </w:rPr>
              <w:t xml:space="preserve"> or should try natural conception</w:t>
            </w:r>
          </w:p>
          <w:p w14:paraId="11BBCED9" w14:textId="6DBFF539" w:rsidR="002C29FF" w:rsidRDefault="002C29FF" w:rsidP="00B7183E">
            <w:pPr>
              <w:numPr>
                <w:ilvl w:val="0"/>
                <w:numId w:val="48"/>
              </w:numPr>
              <w:autoSpaceDE w:val="0"/>
              <w:autoSpaceDN w:val="0"/>
              <w:adjustRightInd w:val="0"/>
              <w:spacing w:after="40" w:line="240" w:lineRule="auto"/>
              <w:rPr>
                <w:rFonts w:ascii="Arial Narrow" w:hAnsi="Arial Narrow" w:cs="Arial Narrow"/>
                <w:bCs/>
                <w:sz w:val="20"/>
              </w:rPr>
            </w:pPr>
            <w:r>
              <w:rPr>
                <w:rFonts w:ascii="Arial Narrow" w:hAnsi="Arial Narrow" w:cs="Arial Narrow"/>
                <w:bCs/>
                <w:sz w:val="20"/>
              </w:rPr>
              <w:t>providing information about decline in ovarian reserve (premature ovarian insufficiency), and whether patients should undergo fertility preservation, if not already performed prior to treatment</w:t>
            </w:r>
          </w:p>
          <w:p w14:paraId="6CFB0FBB" w14:textId="77777777" w:rsidR="002C29FF" w:rsidRDefault="002C29FF" w:rsidP="00B7183E">
            <w:pPr>
              <w:numPr>
                <w:ilvl w:val="0"/>
                <w:numId w:val="48"/>
              </w:numPr>
              <w:autoSpaceDE w:val="0"/>
              <w:autoSpaceDN w:val="0"/>
              <w:adjustRightInd w:val="0"/>
              <w:spacing w:after="40" w:line="240" w:lineRule="auto"/>
              <w:rPr>
                <w:rFonts w:ascii="Arial Narrow" w:hAnsi="Arial Narrow" w:cs="Arial Narrow"/>
                <w:bCs/>
                <w:sz w:val="20"/>
              </w:rPr>
            </w:pPr>
            <w:r>
              <w:rPr>
                <w:rFonts w:ascii="Arial Narrow" w:hAnsi="Arial Narrow" w:cs="Arial Narrow"/>
                <w:bCs/>
                <w:sz w:val="20"/>
              </w:rPr>
              <w:t>monitoring whether pre-pubertal patients have delayed puberty, in order to allow treatment</w:t>
            </w:r>
          </w:p>
          <w:p w14:paraId="76975BE9" w14:textId="77777777" w:rsidR="002C29FF" w:rsidRPr="00051595" w:rsidRDefault="002C29FF" w:rsidP="00B7183E">
            <w:pPr>
              <w:numPr>
                <w:ilvl w:val="0"/>
                <w:numId w:val="48"/>
              </w:numPr>
              <w:autoSpaceDE w:val="0"/>
              <w:autoSpaceDN w:val="0"/>
              <w:adjustRightInd w:val="0"/>
              <w:spacing w:after="40" w:line="240" w:lineRule="auto"/>
              <w:rPr>
                <w:rFonts w:ascii="Arial Narrow" w:hAnsi="Arial Narrow" w:cs="Arial Narrow"/>
                <w:bCs/>
                <w:sz w:val="20"/>
              </w:rPr>
            </w:pPr>
            <w:r>
              <w:rPr>
                <w:rFonts w:ascii="Arial Narrow" w:hAnsi="Arial Narrow" w:cs="Arial Narrow"/>
                <w:bCs/>
                <w:sz w:val="20"/>
              </w:rPr>
              <w:t>diagnose ovarian failure and assist with counselling and supportive care of early menopause</w:t>
            </w:r>
          </w:p>
        </w:tc>
      </w:tr>
      <w:tr w:rsidR="002C29FF" w:rsidRPr="00D86397" w14:paraId="3A25E975" w14:textId="77777777" w:rsidTr="004D6D0A">
        <w:tc>
          <w:tcPr>
            <w:tcW w:w="1753" w:type="dxa"/>
          </w:tcPr>
          <w:p w14:paraId="580C0EF1" w14:textId="77777777" w:rsidR="002C29FF" w:rsidRPr="00D86397" w:rsidRDefault="002C29FF"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Comparators</w:t>
            </w:r>
          </w:p>
        </w:tc>
        <w:tc>
          <w:tcPr>
            <w:tcW w:w="7158" w:type="dxa"/>
          </w:tcPr>
          <w:p w14:paraId="61A60BF7" w14:textId="7D80C2DB" w:rsidR="002C29FF" w:rsidRPr="002E192E" w:rsidRDefault="002C29FF" w:rsidP="003C660B">
            <w:pPr>
              <w:pStyle w:val="ListParagraph"/>
              <w:autoSpaceDE w:val="0"/>
              <w:autoSpaceDN w:val="0"/>
              <w:adjustRightInd w:val="0"/>
              <w:spacing w:after="40"/>
              <w:contextualSpacing/>
            </w:pPr>
            <w:r>
              <w:rPr>
                <w:rFonts w:ascii="Arial Narrow" w:hAnsi="Arial Narrow" w:cs="Arial Narrow"/>
                <w:bCs/>
                <w:sz w:val="20"/>
                <w:szCs w:val="20"/>
              </w:rPr>
              <w:t xml:space="preserve">Other standard tests (FSH, </w:t>
            </w:r>
            <w:r w:rsidR="003C660B">
              <w:rPr>
                <w:rFonts w:ascii="Arial Narrow" w:hAnsi="Arial Narrow" w:cs="Arial Narrow"/>
                <w:bCs/>
                <w:sz w:val="20"/>
                <w:szCs w:val="20"/>
              </w:rPr>
              <w:t>E2</w:t>
            </w:r>
            <w:r>
              <w:rPr>
                <w:rFonts w:ascii="Arial Narrow" w:hAnsi="Arial Narrow" w:cs="Arial Narrow"/>
                <w:bCs/>
                <w:sz w:val="20"/>
                <w:szCs w:val="20"/>
              </w:rPr>
              <w:t>,</w:t>
            </w:r>
            <w:r w:rsidRPr="002E192E">
              <w:rPr>
                <w:rFonts w:ascii="Arial Narrow" w:hAnsi="Arial Narrow" w:cs="Arial Narrow"/>
                <w:bCs/>
                <w:sz w:val="20"/>
                <w:szCs w:val="20"/>
              </w:rPr>
              <w:t xml:space="preserve"> AFC ultrasound if post-pubertal</w:t>
            </w:r>
            <w:r>
              <w:rPr>
                <w:rFonts w:ascii="Arial Narrow" w:hAnsi="Arial Narrow" w:cs="Arial Narrow"/>
                <w:bCs/>
                <w:sz w:val="20"/>
                <w:szCs w:val="20"/>
              </w:rPr>
              <w:t>) to assess level of ovarian function</w:t>
            </w:r>
          </w:p>
        </w:tc>
      </w:tr>
      <w:tr w:rsidR="002C29FF" w:rsidRPr="00D86397" w14:paraId="732AE51E" w14:textId="77777777" w:rsidTr="004D6D0A">
        <w:tc>
          <w:tcPr>
            <w:tcW w:w="1753" w:type="dxa"/>
          </w:tcPr>
          <w:p w14:paraId="5B7A0877" w14:textId="77777777" w:rsidR="002C29FF" w:rsidRPr="00D86397" w:rsidRDefault="002C29FF"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Outcomes</w:t>
            </w:r>
          </w:p>
        </w:tc>
        <w:tc>
          <w:tcPr>
            <w:tcW w:w="7158" w:type="dxa"/>
          </w:tcPr>
          <w:p w14:paraId="73A3AAB3" w14:textId="77777777" w:rsidR="002C29FF" w:rsidRDefault="002C29FF" w:rsidP="005A30D7">
            <w:pPr>
              <w:tabs>
                <w:tab w:val="left" w:pos="1535"/>
              </w:tabs>
              <w:autoSpaceDE w:val="0"/>
              <w:autoSpaceDN w:val="0"/>
              <w:adjustRightInd w:val="0"/>
              <w:spacing w:afterLines="40" w:after="96" w:line="240" w:lineRule="auto"/>
              <w:rPr>
                <w:rFonts w:ascii="Arial Narrow" w:hAnsi="Arial Narrow" w:cs="Arial Narrow"/>
                <w:bCs/>
                <w:sz w:val="20"/>
              </w:rPr>
            </w:pPr>
            <w:r w:rsidRPr="00D86397">
              <w:rPr>
                <w:rFonts w:ascii="Arial Narrow" w:hAnsi="Arial Narrow" w:cs="Arial Narrow"/>
                <w:bCs/>
                <w:sz w:val="20"/>
                <w:u w:val="single"/>
              </w:rPr>
              <w:t>Safety</w:t>
            </w:r>
            <w:r w:rsidRPr="00D86397">
              <w:rPr>
                <w:rFonts w:ascii="Arial Narrow" w:hAnsi="Arial Narrow" w:cs="Arial Narrow"/>
                <w:bCs/>
                <w:sz w:val="20"/>
              </w:rPr>
              <w:tab/>
            </w:r>
            <w:r>
              <w:rPr>
                <w:rFonts w:ascii="Arial Narrow" w:hAnsi="Arial Narrow" w:cs="Arial Narrow"/>
                <w:bCs/>
                <w:sz w:val="20"/>
              </w:rPr>
              <w:t>Adverse events associated with procurement of ovarian tissue or oocytes</w:t>
            </w:r>
          </w:p>
          <w:p w14:paraId="68D87D53" w14:textId="77777777" w:rsidR="002C29FF" w:rsidRDefault="002C29FF" w:rsidP="005A30D7">
            <w:pPr>
              <w:tabs>
                <w:tab w:val="left" w:pos="1535"/>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Adverse events associated with the test(s)</w:t>
            </w:r>
          </w:p>
          <w:p w14:paraId="544CD35C" w14:textId="77777777" w:rsidR="002C29FF" w:rsidRDefault="002C29FF" w:rsidP="005A30D7">
            <w:pPr>
              <w:tabs>
                <w:tab w:val="left" w:pos="1535"/>
              </w:tabs>
              <w:autoSpaceDE w:val="0"/>
              <w:autoSpaceDN w:val="0"/>
              <w:adjustRightInd w:val="0"/>
              <w:spacing w:afterLines="40" w:after="96" w:line="240" w:lineRule="auto"/>
              <w:rPr>
                <w:rFonts w:ascii="Arial Narrow" w:hAnsi="Arial Narrow" w:cs="Arial Narrow"/>
                <w:bCs/>
                <w:sz w:val="20"/>
              </w:rPr>
            </w:pPr>
            <w:r w:rsidRPr="00D86397">
              <w:rPr>
                <w:rFonts w:ascii="Arial Narrow" w:hAnsi="Arial Narrow" w:cs="Arial Narrow"/>
                <w:bCs/>
                <w:sz w:val="20"/>
              </w:rPr>
              <w:tab/>
            </w:r>
            <w:r>
              <w:rPr>
                <w:rFonts w:ascii="Arial Narrow" w:hAnsi="Arial Narrow" w:cs="Arial Narrow"/>
                <w:bCs/>
                <w:sz w:val="20"/>
              </w:rPr>
              <w:t>Anxiety about viability of frozen tissue/oocytes</w:t>
            </w:r>
          </w:p>
          <w:p w14:paraId="22555414" w14:textId="77777777" w:rsidR="002C29FF" w:rsidRPr="00D86397" w:rsidRDefault="002C29FF" w:rsidP="005A30D7">
            <w:pPr>
              <w:tabs>
                <w:tab w:val="left" w:pos="1535"/>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Anxiety about disposal of excess or unwanted frozen tissue or oocytes</w:t>
            </w:r>
          </w:p>
          <w:p w14:paraId="1DCB7950" w14:textId="77777777" w:rsidR="003C660B" w:rsidRDefault="002C29FF"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sidRPr="00D86397">
              <w:rPr>
                <w:rFonts w:ascii="Arial Narrow" w:hAnsi="Arial Narrow" w:cs="Arial Narrow"/>
                <w:bCs/>
                <w:sz w:val="20"/>
                <w:u w:val="single"/>
              </w:rPr>
              <w:t>Effectiveness</w:t>
            </w:r>
            <w:r w:rsidRPr="00D86397">
              <w:rPr>
                <w:rFonts w:ascii="Arial Narrow" w:hAnsi="Arial Narrow" w:cs="Arial Narrow"/>
                <w:bCs/>
                <w:sz w:val="20"/>
              </w:rPr>
              <w:tab/>
            </w:r>
            <w:r>
              <w:rPr>
                <w:rFonts w:ascii="Arial Narrow" w:hAnsi="Arial Narrow" w:cs="Arial Narrow"/>
                <w:bCs/>
                <w:sz w:val="20"/>
              </w:rPr>
              <w:t>Rate of pregnancy with biological offspring</w:t>
            </w:r>
          </w:p>
          <w:p w14:paraId="0675FFB7" w14:textId="21F9B2F4" w:rsidR="007518CF" w:rsidRDefault="002C29FF"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 xml:space="preserve">Pregnancy outcomes (live birth at term, premature birth, stillbirth, birth </w:t>
            </w:r>
            <w:r w:rsidR="00FE0526">
              <w:rPr>
                <w:rFonts w:ascii="Arial Narrow" w:hAnsi="Arial Narrow" w:cs="Arial Narrow"/>
                <w:bCs/>
                <w:sz w:val="20"/>
              </w:rPr>
              <w:tab/>
            </w:r>
            <w:r>
              <w:rPr>
                <w:rFonts w:ascii="Arial Narrow" w:hAnsi="Arial Narrow" w:cs="Arial Narrow"/>
                <w:bCs/>
                <w:sz w:val="20"/>
              </w:rPr>
              <w:t>defects,</w:t>
            </w:r>
            <w:r w:rsidR="00FE0526">
              <w:rPr>
                <w:rFonts w:ascii="Arial Narrow" w:hAnsi="Arial Narrow" w:cs="Arial Narrow"/>
                <w:bCs/>
                <w:sz w:val="20"/>
              </w:rPr>
              <w:t xml:space="preserve"> </w:t>
            </w:r>
            <w:r>
              <w:rPr>
                <w:rFonts w:ascii="Arial Narrow" w:hAnsi="Arial Narrow" w:cs="Arial Narrow"/>
                <w:bCs/>
                <w:sz w:val="20"/>
              </w:rPr>
              <w:t>miscarriage)</w:t>
            </w:r>
          </w:p>
          <w:p w14:paraId="67A48227" w14:textId="5142B065" w:rsidR="002C29FF" w:rsidRDefault="002C29FF"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 xml:space="preserve">Rate of having non-biological children (IVF with donor oocyte, surrogacy </w:t>
            </w:r>
            <w:r w:rsidR="00FE0526">
              <w:rPr>
                <w:rFonts w:ascii="Arial Narrow" w:hAnsi="Arial Narrow" w:cs="Arial Narrow"/>
                <w:bCs/>
                <w:sz w:val="20"/>
              </w:rPr>
              <w:tab/>
            </w:r>
            <w:r>
              <w:rPr>
                <w:rFonts w:ascii="Arial Narrow" w:hAnsi="Arial Narrow" w:cs="Arial Narrow"/>
                <w:bCs/>
                <w:sz w:val="20"/>
              </w:rPr>
              <w:t>or adoption)</w:t>
            </w:r>
          </w:p>
          <w:p w14:paraId="2D221179" w14:textId="77777777" w:rsidR="002C29FF" w:rsidRDefault="002C29FF"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Rate of childlessness</w:t>
            </w:r>
          </w:p>
          <w:p w14:paraId="0F0519BD" w14:textId="77777777" w:rsidR="002C29FF" w:rsidRDefault="002C29FF"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Q</w:t>
            </w:r>
            <w:r w:rsidRPr="00A1170E">
              <w:rPr>
                <w:rFonts w:ascii="Arial Narrow" w:hAnsi="Arial Narrow" w:cs="Arial Narrow"/>
                <w:bCs/>
                <w:sz w:val="20"/>
              </w:rPr>
              <w:t>uality of</w:t>
            </w:r>
            <w:r>
              <w:rPr>
                <w:rFonts w:ascii="Arial Narrow" w:hAnsi="Arial Narrow" w:cs="Arial Narrow"/>
                <w:bCs/>
                <w:sz w:val="20"/>
              </w:rPr>
              <w:t xml:space="preserve"> </w:t>
            </w:r>
            <w:r w:rsidRPr="00A1170E">
              <w:rPr>
                <w:rFonts w:ascii="Arial Narrow" w:hAnsi="Arial Narrow" w:cs="Arial Narrow"/>
                <w:bCs/>
                <w:sz w:val="20"/>
              </w:rPr>
              <w:t>life</w:t>
            </w:r>
          </w:p>
          <w:p w14:paraId="51B925C6" w14:textId="77777777" w:rsidR="002C29FF" w:rsidRDefault="002C29FF"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 xml:space="preserve">Quality of relationship and </w:t>
            </w:r>
            <w:r w:rsidRPr="00A1170E">
              <w:rPr>
                <w:rFonts w:ascii="Arial Narrow" w:hAnsi="Arial Narrow" w:cs="Arial Narrow"/>
                <w:bCs/>
                <w:sz w:val="20"/>
              </w:rPr>
              <w:t>family life</w:t>
            </w:r>
          </w:p>
          <w:p w14:paraId="46EB0D06" w14:textId="77777777" w:rsidR="002C29FF" w:rsidRDefault="002C29FF" w:rsidP="005A30D7">
            <w:pPr>
              <w:tabs>
                <w:tab w:val="left" w:pos="1535"/>
                <w:tab w:val="left" w:pos="3294"/>
              </w:tabs>
              <w:autoSpaceDE w:val="0"/>
              <w:autoSpaceDN w:val="0"/>
              <w:adjustRightInd w:val="0"/>
              <w:spacing w:afterLines="40" w:after="96" w:line="240" w:lineRule="auto"/>
              <w:rPr>
                <w:rFonts w:ascii="Arial Narrow" w:hAnsi="Arial Narrow" w:cs="Arial Narrow"/>
                <w:bCs/>
                <w:sz w:val="20"/>
              </w:rPr>
            </w:pPr>
            <w:r>
              <w:rPr>
                <w:rFonts w:ascii="Arial Narrow" w:hAnsi="Arial Narrow" w:cs="Arial Narrow"/>
                <w:bCs/>
                <w:sz w:val="20"/>
              </w:rPr>
              <w:tab/>
              <w:t>Psychosocial or health outcomes associated with pubertal timing</w:t>
            </w:r>
          </w:p>
          <w:p w14:paraId="425F6ED4" w14:textId="77777777" w:rsidR="002C29FF" w:rsidRPr="00D86397" w:rsidRDefault="002C29FF" w:rsidP="005A30D7">
            <w:pPr>
              <w:tabs>
                <w:tab w:val="left" w:pos="1535"/>
              </w:tabs>
              <w:autoSpaceDE w:val="0"/>
              <w:autoSpaceDN w:val="0"/>
              <w:adjustRightInd w:val="0"/>
              <w:spacing w:afterLines="40" w:after="96" w:line="240" w:lineRule="auto"/>
              <w:rPr>
                <w:rFonts w:ascii="Arial Narrow" w:hAnsi="Arial Narrow" w:cs="Arial Narrow"/>
                <w:bCs/>
                <w:sz w:val="20"/>
                <w:u w:val="single"/>
              </w:rPr>
            </w:pPr>
            <w:r w:rsidRPr="00D86397">
              <w:rPr>
                <w:rFonts w:ascii="Arial Narrow" w:hAnsi="Arial Narrow" w:cs="Arial Narrow"/>
                <w:bCs/>
                <w:sz w:val="20"/>
                <w:u w:val="single"/>
              </w:rPr>
              <w:t>Cost-effectiveness</w:t>
            </w:r>
            <w:r w:rsidRPr="00D86397">
              <w:rPr>
                <w:rFonts w:ascii="Arial Narrow" w:hAnsi="Arial Narrow" w:cs="Arial Narrow"/>
                <w:bCs/>
                <w:sz w:val="20"/>
              </w:rPr>
              <w:tab/>
              <w:t>Cost</w:t>
            </w:r>
          </w:p>
          <w:p w14:paraId="622B9813" w14:textId="77777777" w:rsidR="002C29FF" w:rsidRPr="00D86397" w:rsidRDefault="002C29FF" w:rsidP="005A30D7">
            <w:pPr>
              <w:tabs>
                <w:tab w:val="left" w:pos="1535"/>
              </w:tabs>
              <w:autoSpaceDE w:val="0"/>
              <w:autoSpaceDN w:val="0"/>
              <w:adjustRightInd w:val="0"/>
              <w:spacing w:afterLines="40" w:after="96" w:line="240" w:lineRule="auto"/>
              <w:ind w:left="357"/>
              <w:rPr>
                <w:rFonts w:ascii="Arial Narrow" w:hAnsi="Arial Narrow" w:cs="Arial Narrow"/>
                <w:bCs/>
                <w:sz w:val="20"/>
                <w:u w:val="single"/>
              </w:rPr>
            </w:pPr>
            <w:r w:rsidRPr="00D86397">
              <w:rPr>
                <w:rFonts w:ascii="Arial Narrow" w:hAnsi="Arial Narrow" w:cs="Arial Narrow"/>
                <w:bCs/>
                <w:sz w:val="20"/>
              </w:rPr>
              <w:tab/>
              <w:t xml:space="preserve">Cost per QALY or cost per </w:t>
            </w:r>
            <w:r>
              <w:rPr>
                <w:rFonts w:ascii="Arial Narrow" w:hAnsi="Arial Narrow" w:cs="Arial Narrow"/>
                <w:bCs/>
                <w:sz w:val="20"/>
              </w:rPr>
              <w:t>live birth</w:t>
            </w:r>
          </w:p>
          <w:p w14:paraId="3D7601AB" w14:textId="77777777" w:rsidR="002C29FF" w:rsidRPr="00D86397" w:rsidRDefault="002C29FF" w:rsidP="005A30D7">
            <w:pPr>
              <w:tabs>
                <w:tab w:val="left" w:pos="1535"/>
              </w:tabs>
              <w:autoSpaceDE w:val="0"/>
              <w:autoSpaceDN w:val="0"/>
              <w:adjustRightInd w:val="0"/>
              <w:spacing w:afterLines="40" w:after="96" w:line="240" w:lineRule="auto"/>
              <w:ind w:left="357"/>
              <w:rPr>
                <w:rFonts w:ascii="Arial Narrow" w:hAnsi="Arial Narrow" w:cs="Arial Narrow"/>
                <w:bCs/>
                <w:sz w:val="20"/>
              </w:rPr>
            </w:pPr>
            <w:r w:rsidRPr="00D86397">
              <w:rPr>
                <w:rFonts w:ascii="Arial Narrow" w:hAnsi="Arial Narrow" w:cs="Arial Narrow"/>
                <w:bCs/>
                <w:sz w:val="20"/>
              </w:rPr>
              <w:tab/>
              <w:t>ICER</w:t>
            </w:r>
          </w:p>
        </w:tc>
      </w:tr>
      <w:tr w:rsidR="002C29FF" w:rsidRPr="00D86397" w14:paraId="320FB499" w14:textId="77777777" w:rsidTr="004D6D0A">
        <w:tc>
          <w:tcPr>
            <w:tcW w:w="1753" w:type="dxa"/>
          </w:tcPr>
          <w:p w14:paraId="4FA4B499" w14:textId="77777777" w:rsidR="002C29FF" w:rsidRPr="00D86397" w:rsidRDefault="002C29FF"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Study design</w:t>
            </w:r>
          </w:p>
        </w:tc>
        <w:tc>
          <w:tcPr>
            <w:tcW w:w="7158" w:type="dxa"/>
          </w:tcPr>
          <w:p w14:paraId="7CB11F6E" w14:textId="1711BFC5" w:rsidR="002C29FF" w:rsidRPr="002754A9" w:rsidRDefault="002C29FF" w:rsidP="0064098D">
            <w:pPr>
              <w:tabs>
                <w:tab w:val="left" w:pos="1535"/>
              </w:tabs>
              <w:autoSpaceDE w:val="0"/>
              <w:autoSpaceDN w:val="0"/>
              <w:adjustRightInd w:val="0"/>
              <w:spacing w:after="0"/>
              <w:rPr>
                <w:rFonts w:ascii="Arial Narrow" w:hAnsi="Arial Narrow" w:cs="Arial Narrow"/>
                <w:bCs/>
                <w:sz w:val="20"/>
              </w:rPr>
            </w:pPr>
            <w:r w:rsidRPr="002754A9">
              <w:rPr>
                <w:rFonts w:ascii="Arial Narrow" w:hAnsi="Arial Narrow" w:cs="Arial Narrow"/>
                <w:bCs/>
                <w:sz w:val="20"/>
              </w:rPr>
              <w:t>Randomised trials, cohort studies, case series, or systematic reviews of these study designs</w:t>
            </w:r>
          </w:p>
        </w:tc>
      </w:tr>
      <w:tr w:rsidR="002C29FF" w:rsidRPr="00D86397" w14:paraId="30F76E9D" w14:textId="77777777" w:rsidTr="004D6D0A">
        <w:tc>
          <w:tcPr>
            <w:tcW w:w="1753" w:type="dxa"/>
          </w:tcPr>
          <w:p w14:paraId="1F903251" w14:textId="77777777" w:rsidR="002C29FF" w:rsidRPr="00D86397" w:rsidRDefault="002C29FF"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Search period</w:t>
            </w:r>
          </w:p>
        </w:tc>
        <w:tc>
          <w:tcPr>
            <w:tcW w:w="7158" w:type="dxa"/>
          </w:tcPr>
          <w:p w14:paraId="79E71401" w14:textId="320DE19E" w:rsidR="002C29FF" w:rsidRPr="00D86397" w:rsidRDefault="002C29FF" w:rsidP="00123D7B">
            <w:pPr>
              <w:autoSpaceDE w:val="0"/>
              <w:autoSpaceDN w:val="0"/>
              <w:adjustRightInd w:val="0"/>
              <w:spacing w:after="40"/>
              <w:rPr>
                <w:rFonts w:ascii="Arial Narrow" w:hAnsi="Arial Narrow" w:cs="Arial Narrow"/>
                <w:bCs/>
                <w:sz w:val="20"/>
              </w:rPr>
            </w:pPr>
            <w:r w:rsidRPr="00D86397">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w:t>
            </w:r>
            <w:r w:rsidRPr="00D86397">
              <w:rPr>
                <w:rFonts w:ascii="Arial Narrow" w:hAnsi="Arial Narrow" w:cs="Arial Narrow"/>
                <w:bCs/>
                <w:sz w:val="20"/>
              </w:rPr>
              <w:t xml:space="preserve"> 201</w:t>
            </w:r>
            <w:r>
              <w:rPr>
                <w:rFonts w:ascii="Arial Narrow" w:hAnsi="Arial Narrow" w:cs="Arial Narrow"/>
                <w:bCs/>
                <w:sz w:val="20"/>
              </w:rPr>
              <w:t>7</w:t>
            </w:r>
          </w:p>
        </w:tc>
      </w:tr>
      <w:tr w:rsidR="002C29FF" w:rsidRPr="00D86397" w14:paraId="5825ED45" w14:textId="77777777" w:rsidTr="004D6D0A">
        <w:tc>
          <w:tcPr>
            <w:tcW w:w="1753" w:type="dxa"/>
          </w:tcPr>
          <w:p w14:paraId="1F5B4771" w14:textId="77777777" w:rsidR="002C29FF" w:rsidRPr="00D86397" w:rsidRDefault="002C29FF"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Language</w:t>
            </w:r>
          </w:p>
        </w:tc>
        <w:tc>
          <w:tcPr>
            <w:tcW w:w="7158" w:type="dxa"/>
          </w:tcPr>
          <w:p w14:paraId="0BD07BB1" w14:textId="73914C44" w:rsidR="002C29FF" w:rsidRPr="00D86397" w:rsidRDefault="002C29FF" w:rsidP="00123D7B">
            <w:pPr>
              <w:autoSpaceDE w:val="0"/>
              <w:autoSpaceDN w:val="0"/>
              <w:adjustRightInd w:val="0"/>
              <w:spacing w:after="40"/>
              <w:rPr>
                <w:rFonts w:ascii="Arial Narrow" w:hAnsi="Arial Narrow" w:cs="Arial Narrow"/>
                <w:bCs/>
                <w:sz w:val="20"/>
              </w:rPr>
            </w:pPr>
            <w:r w:rsidRPr="00D86397">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D86397">
              <w:rPr>
                <w:rFonts w:ascii="Arial Narrow" w:hAnsi="Arial Narrow" w:cs="Arial Narrow"/>
                <w:bCs/>
                <w:sz w:val="20"/>
              </w:rPr>
              <w:t>base</w:t>
            </w:r>
          </w:p>
        </w:tc>
      </w:tr>
      <w:tr w:rsidR="002C29FF" w:rsidRPr="00D86397" w14:paraId="706D0D8F" w14:textId="77777777" w:rsidTr="004D6D0A">
        <w:trPr>
          <w:trHeight w:val="630"/>
        </w:trPr>
        <w:tc>
          <w:tcPr>
            <w:tcW w:w="8911" w:type="dxa"/>
            <w:gridSpan w:val="2"/>
          </w:tcPr>
          <w:p w14:paraId="420C6435" w14:textId="0352F9A9" w:rsidR="002C29FF" w:rsidRPr="00D86397" w:rsidRDefault="002C29FF" w:rsidP="00123D7B">
            <w:pPr>
              <w:autoSpaceDE w:val="0"/>
              <w:autoSpaceDN w:val="0"/>
              <w:adjustRightInd w:val="0"/>
              <w:spacing w:after="40"/>
              <w:rPr>
                <w:rFonts w:ascii="Arial Narrow" w:hAnsi="Arial Narrow" w:cs="Arial Narrow"/>
                <w:b/>
                <w:bCs/>
                <w:sz w:val="20"/>
              </w:rPr>
            </w:pPr>
            <w:r w:rsidRPr="00D86397">
              <w:rPr>
                <w:rFonts w:ascii="Arial Narrow" w:hAnsi="Arial Narrow" w:cs="Arial Narrow"/>
                <w:b/>
                <w:bCs/>
                <w:sz w:val="20"/>
              </w:rPr>
              <w:t>What is the safety, effectiveness, and cost-effectiveness of</w:t>
            </w:r>
            <w:r w:rsidRPr="00D86397">
              <w:rPr>
                <w:rFonts w:ascii="Arial Narrow" w:hAnsi="Arial Narrow" w:cs="Arial"/>
              </w:rPr>
              <w:t xml:space="preserve"> </w:t>
            </w:r>
            <w:r w:rsidRPr="00ED493D">
              <w:rPr>
                <w:rFonts w:ascii="Arial Narrow" w:hAnsi="Arial Narrow" w:cs="Arial Narrow"/>
                <w:b/>
                <w:bCs/>
                <w:sz w:val="20"/>
              </w:rPr>
              <w:t xml:space="preserve">having </w:t>
            </w:r>
            <w:r>
              <w:rPr>
                <w:rFonts w:ascii="Arial Narrow" w:hAnsi="Arial Narrow" w:cs="Arial Narrow"/>
                <w:b/>
                <w:bCs/>
                <w:sz w:val="20"/>
              </w:rPr>
              <w:t xml:space="preserve">an AMH test in addition to other standard tests to </w:t>
            </w:r>
            <w:r w:rsidRPr="007A0751">
              <w:rPr>
                <w:rFonts w:ascii="Arial Narrow" w:hAnsi="Arial Narrow" w:cs="Arial Narrow"/>
                <w:b/>
                <w:bCs/>
                <w:sz w:val="20"/>
              </w:rPr>
              <w:t xml:space="preserve">measure ovarian </w:t>
            </w:r>
            <w:r>
              <w:rPr>
                <w:rFonts w:ascii="Arial Narrow" w:hAnsi="Arial Narrow" w:cs="Arial Narrow"/>
                <w:b/>
                <w:bCs/>
                <w:sz w:val="20"/>
              </w:rPr>
              <w:t>function</w:t>
            </w:r>
            <w:r w:rsidR="003C660B">
              <w:rPr>
                <w:rFonts w:ascii="Arial Narrow" w:hAnsi="Arial Narrow" w:cs="Arial Narrow"/>
                <w:b/>
                <w:bCs/>
                <w:sz w:val="20"/>
              </w:rPr>
              <w:t>,</w:t>
            </w:r>
            <w:r w:rsidRPr="007A0751">
              <w:rPr>
                <w:rFonts w:ascii="Arial Narrow" w:hAnsi="Arial Narrow" w:cs="Arial Narrow"/>
                <w:b/>
                <w:bCs/>
                <w:sz w:val="20"/>
              </w:rPr>
              <w:t xml:space="preserve"> </w:t>
            </w:r>
            <w:r w:rsidRPr="00D86397">
              <w:rPr>
                <w:rFonts w:ascii="Arial Narrow" w:hAnsi="Arial Narrow" w:cs="Arial Narrow"/>
                <w:b/>
                <w:bCs/>
                <w:sz w:val="20"/>
              </w:rPr>
              <w:t xml:space="preserve">compared to </w:t>
            </w:r>
            <w:r>
              <w:rPr>
                <w:rFonts w:ascii="Arial Narrow" w:hAnsi="Arial Narrow" w:cs="Arial Narrow"/>
                <w:b/>
                <w:bCs/>
                <w:sz w:val="20"/>
              </w:rPr>
              <w:t xml:space="preserve">other standard tests alone </w:t>
            </w:r>
            <w:r w:rsidRPr="00D86397">
              <w:rPr>
                <w:rFonts w:ascii="Arial Narrow" w:hAnsi="Arial Narrow" w:cs="Arial Narrow"/>
                <w:b/>
                <w:bCs/>
                <w:sz w:val="20"/>
              </w:rPr>
              <w:t xml:space="preserve">in </w:t>
            </w:r>
            <w:r>
              <w:rPr>
                <w:rFonts w:ascii="Arial Narrow" w:hAnsi="Arial Narrow" w:cs="Arial Narrow"/>
                <w:b/>
                <w:bCs/>
                <w:sz w:val="20"/>
              </w:rPr>
              <w:t xml:space="preserve">female </w:t>
            </w:r>
            <w:r w:rsidRPr="00D86397">
              <w:rPr>
                <w:rFonts w:ascii="Arial Narrow" w:hAnsi="Arial Narrow" w:cs="Arial Narrow"/>
                <w:b/>
                <w:bCs/>
                <w:sz w:val="20"/>
              </w:rPr>
              <w:t>patients</w:t>
            </w:r>
            <w:r>
              <w:rPr>
                <w:rFonts w:ascii="Arial Narrow" w:hAnsi="Arial Narrow" w:cs="Arial Narrow"/>
                <w:b/>
                <w:bCs/>
                <w:sz w:val="20"/>
              </w:rPr>
              <w:t xml:space="preserve"> following completion of</w:t>
            </w:r>
            <w:r w:rsidRPr="002E0CD8">
              <w:rPr>
                <w:rFonts w:ascii="Arial Narrow" w:hAnsi="Arial Narrow" w:cs="Arial Narrow"/>
                <w:b/>
                <w:bCs/>
                <w:sz w:val="20"/>
              </w:rPr>
              <w:t xml:space="preserve"> gonadotoxic treatment</w:t>
            </w:r>
            <w:r w:rsidRPr="00D86397">
              <w:rPr>
                <w:rFonts w:ascii="Arial Narrow" w:hAnsi="Arial Narrow" w:cs="Arial Narrow"/>
                <w:b/>
                <w:bCs/>
                <w:sz w:val="20"/>
              </w:rPr>
              <w:t>?</w:t>
            </w:r>
          </w:p>
        </w:tc>
      </w:tr>
    </w:tbl>
    <w:p w14:paraId="431CC8D3" w14:textId="6177AE19" w:rsidR="00C6670D" w:rsidRPr="005A61AD" w:rsidRDefault="008D1C02" w:rsidP="00C6670D">
      <w:pPr>
        <w:pStyle w:val="Tablenotes0"/>
      </w:pPr>
      <w:r>
        <w:t>AFC = antral follicle count;</w:t>
      </w:r>
      <w:r w:rsidR="00C6670D" w:rsidRPr="005A61AD">
        <w:t xml:space="preserve"> AMH = </w:t>
      </w:r>
      <w:r w:rsidR="00C22392">
        <w:t>anti-Müllerian hormone</w:t>
      </w:r>
      <w:r>
        <w:t>;</w:t>
      </w:r>
      <w:r w:rsidR="00C6670D" w:rsidRPr="005A61AD">
        <w:t xml:space="preserve"> </w:t>
      </w:r>
      <w:r w:rsidR="00C6670D">
        <w:t>ART</w:t>
      </w:r>
      <w:r w:rsidR="00FC7C3B">
        <w:t xml:space="preserve"> = assisted reproductive technology</w:t>
      </w:r>
      <w:r>
        <w:t>;</w:t>
      </w:r>
      <w:r w:rsidR="00C6670D">
        <w:t xml:space="preserve"> </w:t>
      </w:r>
      <w:r w:rsidR="00C6670D" w:rsidRPr="005A61AD">
        <w:t>FSH</w:t>
      </w:r>
      <w:r>
        <w:t xml:space="preserve"> = follicle</w:t>
      </w:r>
      <w:r w:rsidR="00DE6DD5">
        <w:t>-</w:t>
      </w:r>
      <w:r>
        <w:t>stimulating hormone;</w:t>
      </w:r>
      <w:r w:rsidR="00C6670D" w:rsidRPr="005A61AD">
        <w:t xml:space="preserve"> ICER = incre</w:t>
      </w:r>
      <w:r>
        <w:t>mental cost-effectiveness ratio;</w:t>
      </w:r>
      <w:r w:rsidR="00C6670D" w:rsidRPr="005A61AD">
        <w:t xml:space="preserve"> IVF = in vitro fertili</w:t>
      </w:r>
      <w:r w:rsidR="00415491">
        <w:t>s</w:t>
      </w:r>
      <w:r w:rsidR="00C6670D" w:rsidRPr="005A61AD">
        <w:t>ation</w:t>
      </w:r>
      <w:r>
        <w:t>;</w:t>
      </w:r>
      <w:r w:rsidR="00C6670D">
        <w:t xml:space="preserve"> OHSS = ov</w:t>
      </w:r>
      <w:r>
        <w:t>arian hyperstimulation syndrome;</w:t>
      </w:r>
      <w:r w:rsidR="00C6670D" w:rsidRPr="005A61AD">
        <w:t xml:space="preserve"> QALY = </w:t>
      </w:r>
      <w:r w:rsidR="005070FC">
        <w:t>quality-adjusted</w:t>
      </w:r>
      <w:r w:rsidR="00C6670D" w:rsidRPr="005A61AD">
        <w:t xml:space="preserve"> life year</w:t>
      </w:r>
    </w:p>
    <w:p w14:paraId="3712858B" w14:textId="1BA30F62" w:rsidR="006335D5" w:rsidRDefault="006335D5" w:rsidP="006335D5">
      <w:pPr>
        <w:pStyle w:val="Heading3"/>
      </w:pPr>
      <w:bookmarkStart w:id="155" w:name="_Toc502832909"/>
      <w:r>
        <w:lastRenderedPageBreak/>
        <w:t>Linked evidence</w:t>
      </w:r>
      <w:bookmarkEnd w:id="155"/>
    </w:p>
    <w:p w14:paraId="0A697255" w14:textId="77777777" w:rsidR="00AC4BE5" w:rsidRDefault="00CC5307" w:rsidP="000214B4">
      <w:pPr>
        <w:jc w:val="both"/>
      </w:pPr>
      <w:r>
        <w:t xml:space="preserve">The </w:t>
      </w:r>
      <w:r w:rsidR="003C660B">
        <w:t>PICO</w:t>
      </w:r>
      <w:r w:rsidRPr="006335D5">
        <w:t xml:space="preserve"> that were pre-specified to guide the systematic literature review for</w:t>
      </w:r>
      <w:r>
        <w:t xml:space="preserve"> a linked evidence approach</w:t>
      </w:r>
      <w:r w:rsidRPr="00183E4D">
        <w:t>, are presented</w:t>
      </w:r>
      <w:bookmarkStart w:id="156" w:name="_Ref399335476"/>
      <w:r w:rsidR="00154082">
        <w:t xml:space="preserve"> in </w:t>
      </w:r>
      <w:r w:rsidR="007E4701">
        <w:fldChar w:fldCharType="begin"/>
      </w:r>
      <w:r w:rsidR="007E4701">
        <w:instrText xml:space="preserve"> REF _Ref493512937 \h </w:instrText>
      </w:r>
      <w:r w:rsidR="007E4701">
        <w:fldChar w:fldCharType="separate"/>
      </w:r>
      <w:r w:rsidR="00AC4BE5">
        <w:t xml:space="preserve">Table </w:t>
      </w:r>
      <w:r w:rsidR="00AC4BE5">
        <w:rPr>
          <w:noProof/>
        </w:rPr>
        <w:t>15</w:t>
      </w:r>
      <w:r w:rsidR="007E4701">
        <w:fldChar w:fldCharType="end"/>
      </w:r>
      <w:r w:rsidR="007E4701">
        <w:t xml:space="preserve"> to </w:t>
      </w:r>
      <w:r w:rsidR="007E4701">
        <w:fldChar w:fldCharType="begin"/>
      </w:r>
      <w:r w:rsidR="007E4701">
        <w:instrText xml:space="preserve"> REF _Ref478567779 \h </w:instrText>
      </w:r>
      <w:r w:rsidR="007E4701">
        <w:fldChar w:fldCharType="separate"/>
      </w:r>
      <w:r w:rsidR="00AC4BE5">
        <w:t xml:space="preserve">Table </w:t>
      </w:r>
      <w:r w:rsidR="00AC4BE5">
        <w:rPr>
          <w:noProof/>
        </w:rPr>
        <w:t>19</w:t>
      </w:r>
      <w:r w:rsidR="00AC4BE5">
        <w:t xml:space="preserve"> outlines the criteria to be used for assessing the impact of a change in fertility preservation options. Assessment of the effectiveness of cryopreservation of ovarian tissue was assessed in MSAC 1435 (Part B: females). It was stated in the research protocol that if other changes in management were identified, such as differential use of hormone treatment, then the health impact of these would be assessed.</w:t>
      </w:r>
    </w:p>
    <w:p w14:paraId="7B7EDCE3" w14:textId="3CC4C91B" w:rsidR="006335D5" w:rsidRDefault="00AC4BE5" w:rsidP="00154082">
      <w:pPr>
        <w:jc w:val="both"/>
      </w:pPr>
      <w:r>
        <w:t xml:space="preserve">Table </w:t>
      </w:r>
      <w:r>
        <w:rPr>
          <w:noProof/>
        </w:rPr>
        <w:t>19</w:t>
      </w:r>
      <w:r w:rsidR="007E4701">
        <w:fldChar w:fldCharType="end"/>
      </w:r>
      <w:r w:rsidR="00154082">
        <w:t>, which</w:t>
      </w:r>
      <w:r w:rsidR="006335D5">
        <w:t xml:space="preserve"> include </w:t>
      </w:r>
      <w:r w:rsidR="00F92E88">
        <w:t xml:space="preserve">the </w:t>
      </w:r>
      <w:r w:rsidR="006335D5">
        <w:t xml:space="preserve">PICO </w:t>
      </w:r>
      <w:r w:rsidR="00F92E88">
        <w:t>for</w:t>
      </w:r>
      <w:r w:rsidR="006335D5">
        <w:t xml:space="preserve"> the linked analysis in the population prior to receiving gonadotoxic treatment, </w:t>
      </w:r>
      <w:r w:rsidR="00154082">
        <w:t>and</w:t>
      </w:r>
      <w:r w:rsidR="006335D5">
        <w:t xml:space="preserve"> </w:t>
      </w:r>
      <w:r w:rsidR="001D17B7">
        <w:fldChar w:fldCharType="begin"/>
      </w:r>
      <w:r w:rsidR="001D17B7">
        <w:instrText xml:space="preserve"> REF _Ref493513321 \h </w:instrText>
      </w:r>
      <w:r w:rsidR="001D17B7">
        <w:fldChar w:fldCharType="separate"/>
      </w:r>
      <w:r>
        <w:t xml:space="preserve">Table </w:t>
      </w:r>
      <w:r>
        <w:rPr>
          <w:noProof/>
        </w:rPr>
        <w:t>20</w:t>
      </w:r>
      <w:r w:rsidR="001D17B7">
        <w:fldChar w:fldCharType="end"/>
      </w:r>
      <w:r w:rsidR="006335D5">
        <w:t xml:space="preserve"> to </w:t>
      </w:r>
      <w:r w:rsidR="001D17B7">
        <w:fldChar w:fldCharType="begin"/>
      </w:r>
      <w:r w:rsidR="001D17B7">
        <w:instrText xml:space="preserve"> REF _Ref493513329 \h </w:instrText>
      </w:r>
      <w:r w:rsidR="001D17B7">
        <w:fldChar w:fldCharType="separate"/>
      </w:r>
      <w:r>
        <w:t xml:space="preserve">Table </w:t>
      </w:r>
      <w:r>
        <w:rPr>
          <w:noProof/>
        </w:rPr>
        <w:t>22</w:t>
      </w:r>
      <w:r w:rsidR="001D17B7">
        <w:fldChar w:fldCharType="end"/>
      </w:r>
      <w:r w:rsidR="00154082">
        <w:t>, which</w:t>
      </w:r>
      <w:r w:rsidR="001D17B7">
        <w:t xml:space="preserve"> </w:t>
      </w:r>
      <w:r w:rsidR="00F92E88">
        <w:t>show the</w:t>
      </w:r>
      <w:r w:rsidR="006335D5">
        <w:t xml:space="preserve"> PICO </w:t>
      </w:r>
      <w:r w:rsidR="00F92E88">
        <w:t>for</w:t>
      </w:r>
      <w:r w:rsidR="006335D5">
        <w:t xml:space="preserve"> the population following completion of gonadotoxic treatment.</w:t>
      </w:r>
    </w:p>
    <w:p w14:paraId="1925F93A" w14:textId="13FE435C" w:rsidR="007E4701" w:rsidRDefault="007E4701" w:rsidP="007E4701">
      <w:pPr>
        <w:pStyle w:val="TableHeading"/>
      </w:pPr>
      <w:bookmarkStart w:id="157" w:name="_Ref493512937"/>
      <w:bookmarkStart w:id="158" w:name="_Toc452029022"/>
      <w:bookmarkStart w:id="159" w:name="_Toc491849012"/>
      <w:bookmarkStart w:id="160" w:name="_Toc502833033"/>
      <w:r>
        <w:t xml:space="preserve">Table </w:t>
      </w:r>
      <w:r w:rsidR="00AC4BE5">
        <w:fldChar w:fldCharType="begin"/>
      </w:r>
      <w:r w:rsidR="00AC4BE5">
        <w:instrText xml:space="preserve"> SEQ Table \* ARABIC </w:instrText>
      </w:r>
      <w:r w:rsidR="00AC4BE5">
        <w:fldChar w:fldCharType="separate"/>
      </w:r>
      <w:r w:rsidR="00AC4BE5">
        <w:rPr>
          <w:noProof/>
        </w:rPr>
        <w:t>15</w:t>
      </w:r>
      <w:r w:rsidR="00AC4BE5">
        <w:rPr>
          <w:noProof/>
        </w:rPr>
        <w:fldChar w:fldCharType="end"/>
      </w:r>
      <w:bookmarkEnd w:id="157"/>
      <w:r>
        <w:tab/>
        <w:t>PICO criteria and research question for the analytical validity</w:t>
      </w:r>
      <w:r w:rsidRPr="007F7F65">
        <w:t xml:space="preserve"> of </w:t>
      </w:r>
      <w:r>
        <w:t>AMH testing</w:t>
      </w:r>
      <w:r w:rsidRPr="007F7F65">
        <w:t xml:space="preserve"> in population</w:t>
      </w:r>
      <w:r>
        <w:t>s</w:t>
      </w:r>
      <w:r w:rsidRPr="007F7F65">
        <w:t xml:space="preserve"> 1</w:t>
      </w:r>
      <w:r w:rsidR="005A30D7">
        <w:t xml:space="preserve"> </w:t>
      </w:r>
      <w:bookmarkEnd w:id="158"/>
      <w:bookmarkEnd w:id="159"/>
      <w:r w:rsidR="005A30D7">
        <w:t>to 3</w:t>
      </w:r>
      <w:bookmarkEnd w:id="160"/>
    </w:p>
    <w:tbl>
      <w:tblPr>
        <w:tblStyle w:val="TableGrid1"/>
        <w:tblW w:w="0" w:type="auto"/>
        <w:tblLook w:val="04A0" w:firstRow="1" w:lastRow="0" w:firstColumn="1" w:lastColumn="0" w:noHBand="0" w:noVBand="1"/>
        <w:tblDescription w:val="PICO criteria and research question for the analytical validity of AMH testing in populations 1 to 3"/>
      </w:tblPr>
      <w:tblGrid>
        <w:gridCol w:w="1919"/>
        <w:gridCol w:w="7323"/>
      </w:tblGrid>
      <w:tr w:rsidR="007E4701" w:rsidRPr="006D6DA4" w14:paraId="6E3AC47F"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1985" w:type="dxa"/>
          </w:tcPr>
          <w:p w14:paraId="60D6DE7D"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Population</w:t>
            </w:r>
          </w:p>
        </w:tc>
        <w:tc>
          <w:tcPr>
            <w:tcW w:w="7796" w:type="dxa"/>
          </w:tcPr>
          <w:p w14:paraId="2E2258FF" w14:textId="77777777" w:rsidR="007E4701" w:rsidRDefault="007E4701" w:rsidP="00B7183E">
            <w:pPr>
              <w:pStyle w:val="Tabletext1"/>
              <w:numPr>
                <w:ilvl w:val="0"/>
                <w:numId w:val="43"/>
              </w:numPr>
            </w:pPr>
            <w:r w:rsidRPr="00ED493D">
              <w:t xml:space="preserve">Paediatric </w:t>
            </w:r>
            <w:r>
              <w:t>female</w:t>
            </w:r>
            <w:r w:rsidRPr="00ED493D">
              <w:t xml:space="preserve"> patients aged 0</w:t>
            </w:r>
            <w:r>
              <w:t>–</w:t>
            </w:r>
            <w:r w:rsidRPr="00ED493D">
              <w:t xml:space="preserve">14 years </w:t>
            </w:r>
            <w:r>
              <w:t xml:space="preserve">prior to receiving </w:t>
            </w:r>
            <w:r w:rsidRPr="00D86397">
              <w:t>gonadotoxic</w:t>
            </w:r>
            <w:r>
              <w:t xml:space="preserve"> treatment</w:t>
            </w:r>
          </w:p>
          <w:p w14:paraId="76BD0494" w14:textId="77777777" w:rsidR="007E4701" w:rsidRPr="005F040A" w:rsidRDefault="007E4701" w:rsidP="00B7183E">
            <w:pPr>
              <w:pStyle w:val="Tabletext1"/>
              <w:numPr>
                <w:ilvl w:val="0"/>
                <w:numId w:val="43"/>
              </w:numPr>
            </w:pPr>
            <w:r w:rsidRPr="005F040A">
              <w:t>Adolescent/young adult</w:t>
            </w:r>
            <w:r>
              <w:t xml:space="preserve"> female</w:t>
            </w:r>
            <w:r w:rsidRPr="005F040A">
              <w:t xml:space="preserve"> patients aged 15–25 years prior to receiving gonadotoxic treatment</w:t>
            </w:r>
          </w:p>
          <w:p w14:paraId="4C6588B7" w14:textId="77777777" w:rsidR="007E4701" w:rsidRPr="00D86397" w:rsidRDefault="007E4701" w:rsidP="00B7183E">
            <w:pPr>
              <w:pStyle w:val="Tabletext1"/>
              <w:numPr>
                <w:ilvl w:val="0"/>
                <w:numId w:val="43"/>
              </w:numPr>
            </w:pPr>
            <w:r w:rsidRPr="005F040A">
              <w:t>Adult</w:t>
            </w:r>
            <w:r>
              <w:t xml:space="preserve"> female</w:t>
            </w:r>
            <w:r w:rsidRPr="005F040A">
              <w:t xml:space="preserve"> patients aged 26–45 years prior to receiving gonadotoxic treatment</w:t>
            </w:r>
          </w:p>
        </w:tc>
      </w:tr>
      <w:tr w:rsidR="007E4701" w:rsidRPr="006D6DA4" w14:paraId="2B5B2EF7" w14:textId="77777777" w:rsidTr="004D6D0A">
        <w:tc>
          <w:tcPr>
            <w:tcW w:w="1985" w:type="dxa"/>
          </w:tcPr>
          <w:p w14:paraId="5F912B2E"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Intervention</w:t>
            </w:r>
          </w:p>
        </w:tc>
        <w:tc>
          <w:tcPr>
            <w:tcW w:w="7796" w:type="dxa"/>
          </w:tcPr>
          <w:p w14:paraId="5F32650B" w14:textId="4C358EDC" w:rsidR="007E4701" w:rsidRPr="00D86397" w:rsidRDefault="005A30D7" w:rsidP="005A30D7">
            <w:pPr>
              <w:pStyle w:val="Tabletext1"/>
            </w:pPr>
            <w:r>
              <w:t>AMH test</w:t>
            </w:r>
          </w:p>
        </w:tc>
      </w:tr>
      <w:tr w:rsidR="007E4701" w:rsidRPr="006D6DA4" w14:paraId="26783F30" w14:textId="77777777" w:rsidTr="004D6D0A">
        <w:tc>
          <w:tcPr>
            <w:tcW w:w="1985" w:type="dxa"/>
          </w:tcPr>
          <w:p w14:paraId="642576A5"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Comparator</w:t>
            </w:r>
          </w:p>
        </w:tc>
        <w:tc>
          <w:tcPr>
            <w:tcW w:w="7796" w:type="dxa"/>
          </w:tcPr>
          <w:p w14:paraId="5FED8FAA" w14:textId="020D82EF" w:rsidR="007518CF" w:rsidRDefault="007E4701" w:rsidP="005A30D7">
            <w:pPr>
              <w:pStyle w:val="Tabletext1"/>
            </w:pPr>
            <w:r>
              <w:t>Other standard tests (FSH,</w:t>
            </w:r>
            <w:r w:rsidR="00486362">
              <w:t xml:space="preserve"> </w:t>
            </w:r>
            <w:r w:rsidR="000828FE">
              <w:t>E2</w:t>
            </w:r>
            <w:r>
              <w:t>)</w:t>
            </w:r>
          </w:p>
          <w:p w14:paraId="630A8AB5" w14:textId="77DFCDF8" w:rsidR="007E4701" w:rsidRPr="00005BE9" w:rsidRDefault="007E4701" w:rsidP="005A30D7">
            <w:pPr>
              <w:pStyle w:val="Tabletext1"/>
            </w:pPr>
            <w:r>
              <w:t xml:space="preserve">Other AMH test (repeated test, different laboratory, different assay etc). </w:t>
            </w:r>
          </w:p>
        </w:tc>
      </w:tr>
      <w:tr w:rsidR="007E4701" w:rsidRPr="006D6DA4" w14:paraId="68F555E1" w14:textId="77777777" w:rsidTr="004D6D0A">
        <w:tc>
          <w:tcPr>
            <w:tcW w:w="1985" w:type="dxa"/>
          </w:tcPr>
          <w:p w14:paraId="6E1CCA75" w14:textId="13DEF202" w:rsidR="007E4701" w:rsidRPr="00515C51" w:rsidRDefault="007E4701" w:rsidP="00123D7B">
            <w:pPr>
              <w:autoSpaceDE w:val="0"/>
              <w:autoSpaceDN w:val="0"/>
              <w:adjustRightInd w:val="0"/>
              <w:spacing w:after="40"/>
              <w:rPr>
                <w:rFonts w:ascii="Arial Narrow" w:hAnsi="Arial Narrow" w:cs="Arial Narrow"/>
                <w:b/>
                <w:bCs/>
                <w:sz w:val="20"/>
              </w:rPr>
            </w:pPr>
            <w:r>
              <w:rPr>
                <w:rFonts w:ascii="Arial Narrow" w:hAnsi="Arial Narrow" w:cs="Arial Narrow"/>
                <w:b/>
                <w:bCs/>
                <w:sz w:val="20"/>
              </w:rPr>
              <w:t xml:space="preserve">Evidentiary </w:t>
            </w:r>
            <w:r w:rsidR="00E830B2">
              <w:rPr>
                <w:rFonts w:ascii="Arial Narrow" w:hAnsi="Arial Narrow" w:cs="Arial Narrow"/>
                <w:b/>
                <w:bCs/>
                <w:sz w:val="20"/>
              </w:rPr>
              <w:t>s</w:t>
            </w:r>
            <w:r>
              <w:rPr>
                <w:rFonts w:ascii="Arial Narrow" w:hAnsi="Arial Narrow" w:cs="Arial Narrow"/>
                <w:b/>
                <w:bCs/>
                <w:sz w:val="20"/>
              </w:rPr>
              <w:t>tandard</w:t>
            </w:r>
          </w:p>
        </w:tc>
        <w:tc>
          <w:tcPr>
            <w:tcW w:w="7796" w:type="dxa"/>
          </w:tcPr>
          <w:p w14:paraId="618FE948" w14:textId="77777777" w:rsidR="007E4701" w:rsidRPr="0026348D" w:rsidRDefault="007E4701" w:rsidP="005A30D7">
            <w:pPr>
              <w:pStyle w:val="Tabletext1"/>
            </w:pPr>
            <w:r w:rsidRPr="00DA139E">
              <w:t>AFC ultrasound if post-pubertal</w:t>
            </w:r>
          </w:p>
        </w:tc>
      </w:tr>
      <w:tr w:rsidR="007E4701" w:rsidRPr="006D6DA4" w14:paraId="5971C375" w14:textId="77777777" w:rsidTr="004D6D0A">
        <w:tc>
          <w:tcPr>
            <w:tcW w:w="1985" w:type="dxa"/>
          </w:tcPr>
          <w:p w14:paraId="26EC9A11"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Outcomes</w:t>
            </w:r>
          </w:p>
        </w:tc>
        <w:tc>
          <w:tcPr>
            <w:tcW w:w="7796" w:type="dxa"/>
          </w:tcPr>
          <w:p w14:paraId="5DDF4548" w14:textId="77777777" w:rsidR="007E4701" w:rsidRPr="0001587B" w:rsidRDefault="007E4701" w:rsidP="005A30D7">
            <w:pPr>
              <w:pStyle w:val="Tabletext1"/>
            </w:pPr>
            <w:r>
              <w:t>C</w:t>
            </w:r>
            <w:r w:rsidRPr="0001587B">
              <w:t>oncordance (per cent positive agreement), unsatisfactory or uninterpretable test results</w:t>
            </w:r>
            <w:r>
              <w:t>, reliability (intra-observer or intra-instrument variability/agreement)</w:t>
            </w:r>
          </w:p>
        </w:tc>
      </w:tr>
      <w:tr w:rsidR="007E4701" w:rsidRPr="006D6DA4" w14:paraId="098273DE" w14:textId="77777777" w:rsidTr="004D6D0A">
        <w:tc>
          <w:tcPr>
            <w:tcW w:w="1985" w:type="dxa"/>
          </w:tcPr>
          <w:p w14:paraId="7C643358"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Search period</w:t>
            </w:r>
          </w:p>
        </w:tc>
        <w:tc>
          <w:tcPr>
            <w:tcW w:w="7796" w:type="dxa"/>
          </w:tcPr>
          <w:p w14:paraId="2B12C0FD" w14:textId="4A799719" w:rsidR="007E4701" w:rsidRPr="0001587B" w:rsidRDefault="007E4701" w:rsidP="005A30D7">
            <w:pPr>
              <w:pStyle w:val="Tabletext1"/>
            </w:pPr>
            <w:r w:rsidRPr="0001587B">
              <w:t>1990</w:t>
            </w:r>
            <w:r w:rsidR="00B50CCE">
              <w:t>–</w:t>
            </w:r>
            <w:r>
              <w:t>June 2017</w:t>
            </w:r>
          </w:p>
        </w:tc>
      </w:tr>
      <w:tr w:rsidR="007E4701" w:rsidRPr="006D6DA4" w14:paraId="58B56370" w14:textId="77777777" w:rsidTr="004D6D0A">
        <w:tc>
          <w:tcPr>
            <w:tcW w:w="1985" w:type="dxa"/>
          </w:tcPr>
          <w:p w14:paraId="6CA3C9D6"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Language</w:t>
            </w:r>
          </w:p>
        </w:tc>
        <w:tc>
          <w:tcPr>
            <w:tcW w:w="7796" w:type="dxa"/>
          </w:tcPr>
          <w:p w14:paraId="62830DCD" w14:textId="67FF994B" w:rsidR="007E4701" w:rsidRPr="0001587B" w:rsidRDefault="007E4701" w:rsidP="005A30D7">
            <w:pPr>
              <w:pStyle w:val="Tabletext1"/>
            </w:pPr>
            <w:r w:rsidRPr="0001587B">
              <w:t>Studies in languages other than English will only be translated if they represent a higher level of evidence than that available in the English language evidence</w:t>
            </w:r>
            <w:r w:rsidR="00DE6DD5">
              <w:t xml:space="preserve"> </w:t>
            </w:r>
            <w:r w:rsidRPr="0001587B">
              <w:t>base</w:t>
            </w:r>
          </w:p>
        </w:tc>
      </w:tr>
      <w:tr w:rsidR="007E4701" w:rsidRPr="006D6DA4" w14:paraId="65F2DFD3" w14:textId="77777777" w:rsidTr="004D6D0A">
        <w:tc>
          <w:tcPr>
            <w:tcW w:w="9781" w:type="dxa"/>
            <w:gridSpan w:val="2"/>
          </w:tcPr>
          <w:p w14:paraId="41B4A417" w14:textId="6A159EE7" w:rsidR="007E4701" w:rsidRDefault="007E4701" w:rsidP="00123D7B">
            <w:pPr>
              <w:spacing w:after="40"/>
              <w:jc w:val="both"/>
              <w:rPr>
                <w:rFonts w:ascii="Arial Narrow" w:hAnsi="Arial Narrow"/>
                <w:b/>
                <w:sz w:val="20"/>
              </w:rPr>
            </w:pPr>
            <w:r w:rsidRPr="00DA139E">
              <w:rPr>
                <w:rFonts w:ascii="Arial Narrow" w:hAnsi="Arial Narrow"/>
                <w:b/>
                <w:sz w:val="20"/>
              </w:rPr>
              <w:t xml:space="preserve">What </w:t>
            </w:r>
            <w:r>
              <w:rPr>
                <w:rFonts w:ascii="Arial Narrow" w:hAnsi="Arial Narrow"/>
                <w:b/>
                <w:sz w:val="20"/>
              </w:rPr>
              <w:t>is the</w:t>
            </w:r>
            <w:r w:rsidRPr="00DA139E">
              <w:rPr>
                <w:rFonts w:ascii="Arial Narrow" w:hAnsi="Arial Narrow"/>
                <w:b/>
                <w:sz w:val="20"/>
              </w:rPr>
              <w:t xml:space="preserve"> concordance of </w:t>
            </w:r>
            <w:r>
              <w:rPr>
                <w:rFonts w:ascii="Arial Narrow" w:hAnsi="Arial Narrow"/>
                <w:b/>
                <w:sz w:val="20"/>
              </w:rPr>
              <w:t>AMH</w:t>
            </w:r>
            <w:r w:rsidRPr="00DA139E">
              <w:rPr>
                <w:rFonts w:ascii="Arial Narrow" w:hAnsi="Arial Narrow"/>
                <w:b/>
                <w:sz w:val="20"/>
              </w:rPr>
              <w:t xml:space="preserve">, </w:t>
            </w:r>
            <w:r>
              <w:rPr>
                <w:rFonts w:ascii="Arial Narrow" w:hAnsi="Arial Narrow"/>
                <w:b/>
                <w:sz w:val="20"/>
              </w:rPr>
              <w:t xml:space="preserve">FSH and </w:t>
            </w:r>
            <w:r w:rsidR="00486362">
              <w:rPr>
                <w:rFonts w:ascii="Arial Narrow" w:hAnsi="Arial Narrow"/>
                <w:b/>
                <w:sz w:val="20"/>
              </w:rPr>
              <w:t>E2</w:t>
            </w:r>
            <w:r w:rsidRPr="00DA139E">
              <w:rPr>
                <w:rFonts w:ascii="Arial Narrow" w:hAnsi="Arial Narrow"/>
                <w:b/>
                <w:sz w:val="20"/>
              </w:rPr>
              <w:t xml:space="preserve"> in </w:t>
            </w:r>
            <w:r w:rsidRPr="000C5B97">
              <w:rPr>
                <w:rFonts w:ascii="Arial Narrow" w:hAnsi="Arial Narrow"/>
                <w:b/>
                <w:sz w:val="20"/>
              </w:rPr>
              <w:t>female</w:t>
            </w:r>
            <w:r>
              <w:rPr>
                <w:rFonts w:ascii="Arial Narrow" w:hAnsi="Arial Narrow"/>
                <w:b/>
                <w:sz w:val="20"/>
              </w:rPr>
              <w:t xml:space="preserve"> </w:t>
            </w:r>
            <w:r w:rsidRPr="00DA139E">
              <w:rPr>
                <w:rFonts w:ascii="Arial Narrow" w:hAnsi="Arial Narrow"/>
                <w:b/>
                <w:sz w:val="20"/>
              </w:rPr>
              <w:t>patients prior to receiving gonadotoxic treatment?</w:t>
            </w:r>
          </w:p>
          <w:p w14:paraId="4A07EF7B" w14:textId="5AAB0C88" w:rsidR="007E4701" w:rsidRDefault="007E4701" w:rsidP="00123D7B">
            <w:pPr>
              <w:spacing w:after="40"/>
              <w:jc w:val="both"/>
              <w:rPr>
                <w:rFonts w:ascii="Arial Narrow" w:hAnsi="Arial Narrow"/>
                <w:b/>
                <w:sz w:val="20"/>
              </w:rPr>
            </w:pPr>
            <w:r>
              <w:rPr>
                <w:rFonts w:ascii="Arial Narrow" w:hAnsi="Arial Narrow"/>
                <w:b/>
                <w:sz w:val="20"/>
              </w:rPr>
              <w:t xml:space="preserve">What is the concordance between AMH and AFC ultrasound, compared to FSH and </w:t>
            </w:r>
            <w:r w:rsidR="002A15DA">
              <w:rPr>
                <w:rFonts w:ascii="Arial Narrow" w:hAnsi="Arial Narrow"/>
                <w:b/>
                <w:sz w:val="20"/>
              </w:rPr>
              <w:t>E2</w:t>
            </w:r>
            <w:r>
              <w:rPr>
                <w:rFonts w:ascii="Arial Narrow" w:hAnsi="Arial Narrow"/>
                <w:b/>
                <w:sz w:val="20"/>
              </w:rPr>
              <w:t xml:space="preserve"> </w:t>
            </w:r>
            <w:r w:rsidRPr="00DA139E">
              <w:rPr>
                <w:rFonts w:ascii="Arial Narrow" w:hAnsi="Arial Narrow"/>
                <w:b/>
                <w:sz w:val="20"/>
              </w:rPr>
              <w:t xml:space="preserve">in </w:t>
            </w:r>
            <w:r w:rsidRPr="00EC358C">
              <w:rPr>
                <w:rFonts w:ascii="Arial Narrow" w:hAnsi="Arial Narrow"/>
                <w:b/>
                <w:sz w:val="20"/>
              </w:rPr>
              <w:t>female</w:t>
            </w:r>
            <w:r>
              <w:rPr>
                <w:rFonts w:ascii="Arial Narrow" w:hAnsi="Arial Narrow"/>
                <w:b/>
                <w:sz w:val="20"/>
              </w:rPr>
              <w:t xml:space="preserve"> </w:t>
            </w:r>
            <w:r w:rsidRPr="00DA139E">
              <w:rPr>
                <w:rFonts w:ascii="Arial Narrow" w:hAnsi="Arial Narrow"/>
                <w:b/>
                <w:sz w:val="20"/>
              </w:rPr>
              <w:t>patients prior to receiving gonadotoxic treatment?</w:t>
            </w:r>
          </w:p>
          <w:p w14:paraId="2D7B1574" w14:textId="338661C9" w:rsidR="007E4701" w:rsidRPr="00DA139E" w:rsidRDefault="007E4701" w:rsidP="002A15DA">
            <w:pPr>
              <w:spacing w:after="40"/>
              <w:jc w:val="both"/>
              <w:rPr>
                <w:rFonts w:ascii="Arial Narrow" w:hAnsi="Arial Narrow"/>
                <w:b/>
                <w:sz w:val="20"/>
              </w:rPr>
            </w:pPr>
            <w:r>
              <w:rPr>
                <w:rFonts w:ascii="Arial Narrow" w:hAnsi="Arial Narrow"/>
                <w:b/>
                <w:sz w:val="20"/>
              </w:rPr>
              <w:t xml:space="preserve">What is the reliability of AMH testing, compared to FSH and </w:t>
            </w:r>
            <w:r w:rsidR="002A15DA">
              <w:rPr>
                <w:rFonts w:ascii="Arial Narrow" w:hAnsi="Arial Narrow"/>
                <w:b/>
                <w:sz w:val="20"/>
              </w:rPr>
              <w:t>E2</w:t>
            </w:r>
            <w:r>
              <w:rPr>
                <w:rFonts w:ascii="Arial Narrow" w:hAnsi="Arial Narrow"/>
                <w:b/>
                <w:sz w:val="20"/>
              </w:rPr>
              <w:t xml:space="preserve"> </w:t>
            </w:r>
            <w:r w:rsidRPr="00DA139E">
              <w:rPr>
                <w:rFonts w:ascii="Arial Narrow" w:hAnsi="Arial Narrow"/>
                <w:b/>
                <w:sz w:val="20"/>
              </w:rPr>
              <w:t xml:space="preserve">in </w:t>
            </w:r>
            <w:r w:rsidRPr="00EC358C">
              <w:rPr>
                <w:rFonts w:ascii="Arial Narrow" w:hAnsi="Arial Narrow"/>
                <w:b/>
                <w:sz w:val="20"/>
              </w:rPr>
              <w:t>female</w:t>
            </w:r>
            <w:r>
              <w:rPr>
                <w:rFonts w:ascii="Arial Narrow" w:hAnsi="Arial Narrow"/>
                <w:b/>
                <w:sz w:val="20"/>
              </w:rPr>
              <w:t xml:space="preserve"> </w:t>
            </w:r>
            <w:r w:rsidRPr="00DA139E">
              <w:rPr>
                <w:rFonts w:ascii="Arial Narrow" w:hAnsi="Arial Narrow"/>
                <w:b/>
                <w:sz w:val="20"/>
              </w:rPr>
              <w:t>patients prior to receiving gonadotoxic treatment?</w:t>
            </w:r>
          </w:p>
        </w:tc>
      </w:tr>
    </w:tbl>
    <w:p w14:paraId="318195F1" w14:textId="51259375" w:rsidR="007E4701" w:rsidRPr="009B416A" w:rsidRDefault="007E4701" w:rsidP="007E4701">
      <w:pPr>
        <w:pStyle w:val="TableNotes1"/>
        <w:rPr>
          <w:sz w:val="18"/>
          <w:szCs w:val="18"/>
        </w:rPr>
      </w:pPr>
      <w:r w:rsidRPr="00154082">
        <w:rPr>
          <w:sz w:val="18"/>
          <w:szCs w:val="18"/>
        </w:rPr>
        <w:t xml:space="preserve">AFC = antral follicle count; AMH = anti-Müllerian hormone; </w:t>
      </w:r>
      <w:r w:rsidR="00F92E88" w:rsidRPr="00154082">
        <w:rPr>
          <w:sz w:val="18"/>
          <w:szCs w:val="18"/>
        </w:rPr>
        <w:t xml:space="preserve">E2 = estradiol; </w:t>
      </w:r>
      <w:r w:rsidRPr="00154082">
        <w:rPr>
          <w:sz w:val="18"/>
          <w:szCs w:val="18"/>
        </w:rPr>
        <w:t>FSH = follicular stimulating hormone; SROC = summary receiving operating characteristic</w:t>
      </w:r>
    </w:p>
    <w:p w14:paraId="6643DFB0" w14:textId="3DA254C6" w:rsidR="007E4701" w:rsidRDefault="007E4701" w:rsidP="007E4701">
      <w:pPr>
        <w:pStyle w:val="TableHeading"/>
      </w:pPr>
      <w:bookmarkStart w:id="161" w:name="_Ref494789245"/>
      <w:bookmarkStart w:id="162" w:name="_Toc452029023"/>
      <w:bookmarkStart w:id="163" w:name="_Toc491849013"/>
      <w:bookmarkStart w:id="164" w:name="_Toc502833034"/>
      <w:r w:rsidRPr="009B416A">
        <w:t xml:space="preserve">Table </w:t>
      </w:r>
      <w:r w:rsidR="00AC4BE5">
        <w:fldChar w:fldCharType="begin"/>
      </w:r>
      <w:r w:rsidR="00AC4BE5">
        <w:instrText xml:space="preserve"> SEQ Table \* ARABIC </w:instrText>
      </w:r>
      <w:r w:rsidR="00AC4BE5">
        <w:fldChar w:fldCharType="separate"/>
      </w:r>
      <w:r w:rsidR="00AC4BE5">
        <w:rPr>
          <w:noProof/>
        </w:rPr>
        <w:t>16</w:t>
      </w:r>
      <w:r w:rsidR="00AC4BE5">
        <w:rPr>
          <w:noProof/>
        </w:rPr>
        <w:fldChar w:fldCharType="end"/>
      </w:r>
      <w:bookmarkEnd w:id="161"/>
      <w:r w:rsidRPr="009B416A">
        <w:tab/>
        <w:t xml:space="preserve">PICO criteria and research question for determining </w:t>
      </w:r>
      <w:r w:rsidR="009B416A" w:rsidRPr="009B416A">
        <w:t xml:space="preserve">prognostic value of AMH in </w:t>
      </w:r>
      <w:r w:rsidRPr="009B416A">
        <w:t>population 1, 2</w:t>
      </w:r>
      <w:bookmarkEnd w:id="162"/>
      <w:r w:rsidRPr="009B416A">
        <w:t xml:space="preserve"> and 3</w:t>
      </w:r>
      <w:bookmarkEnd w:id="163"/>
      <w:bookmarkEnd w:id="164"/>
    </w:p>
    <w:tbl>
      <w:tblPr>
        <w:tblStyle w:val="TableGrid1"/>
        <w:tblW w:w="0" w:type="auto"/>
        <w:tblLook w:val="04A0" w:firstRow="1" w:lastRow="0" w:firstColumn="1" w:lastColumn="0" w:noHBand="0" w:noVBand="1"/>
        <w:tblDescription w:val="PICO criteria and research question for determining prognostic value of AMH in population 1, 2 and 3"/>
      </w:tblPr>
      <w:tblGrid>
        <w:gridCol w:w="1923"/>
        <w:gridCol w:w="7319"/>
      </w:tblGrid>
      <w:tr w:rsidR="007E4701" w14:paraId="59113F78"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1985" w:type="dxa"/>
          </w:tcPr>
          <w:p w14:paraId="54E94252"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Population</w:t>
            </w:r>
          </w:p>
        </w:tc>
        <w:tc>
          <w:tcPr>
            <w:tcW w:w="7796" w:type="dxa"/>
          </w:tcPr>
          <w:p w14:paraId="13A22666" w14:textId="77777777" w:rsidR="007E4701" w:rsidRDefault="007E4701" w:rsidP="00B7183E">
            <w:pPr>
              <w:pStyle w:val="ListParagraph"/>
              <w:numPr>
                <w:ilvl w:val="0"/>
                <w:numId w:val="29"/>
              </w:numPr>
              <w:spacing w:after="40" w:line="240" w:lineRule="auto"/>
              <w:ind w:left="459" w:hanging="425"/>
              <w:contextualSpacing/>
              <w:rPr>
                <w:rFonts w:ascii="Arial Narrow" w:hAnsi="Arial Narrow" w:cs="Arial Narrow"/>
                <w:bCs/>
                <w:sz w:val="20"/>
              </w:rPr>
            </w:pPr>
            <w:r w:rsidRPr="00ED493D">
              <w:rPr>
                <w:rFonts w:ascii="Arial Narrow" w:hAnsi="Arial Narrow" w:cs="Arial Narrow"/>
                <w:bCs/>
                <w:sz w:val="20"/>
              </w:rPr>
              <w:t>Paediatric</w:t>
            </w:r>
            <w:r>
              <w:rPr>
                <w:rFonts w:ascii="Arial Narrow" w:hAnsi="Arial Narrow" w:cs="Arial Narrow"/>
                <w:bCs/>
                <w:sz w:val="20"/>
              </w:rPr>
              <w:t xml:space="preserve"> female</w:t>
            </w:r>
            <w:r w:rsidRPr="00ED493D">
              <w:rPr>
                <w:rFonts w:ascii="Arial Narrow" w:hAnsi="Arial Narrow" w:cs="Arial Narrow"/>
                <w:bCs/>
                <w:sz w:val="20"/>
              </w:rPr>
              <w:t xml:space="preserve"> patients aged 0</w:t>
            </w:r>
            <w:r>
              <w:rPr>
                <w:rFonts w:ascii="Arial Narrow" w:hAnsi="Arial Narrow" w:cs="Arial Narrow"/>
                <w:bCs/>
                <w:sz w:val="20"/>
              </w:rPr>
              <w:t>–</w:t>
            </w:r>
            <w:r w:rsidRPr="00ED493D">
              <w:rPr>
                <w:rFonts w:ascii="Arial Narrow" w:hAnsi="Arial Narrow" w:cs="Arial Narrow"/>
                <w:bCs/>
                <w:sz w:val="20"/>
              </w:rPr>
              <w:t xml:space="preserve">14 years </w:t>
            </w:r>
            <w:r>
              <w:rPr>
                <w:rFonts w:ascii="Arial Narrow" w:hAnsi="Arial Narrow" w:cs="Arial Narrow"/>
                <w:bCs/>
                <w:sz w:val="20"/>
              </w:rPr>
              <w:t xml:space="preserve">prior to receiving </w:t>
            </w:r>
            <w:r w:rsidRPr="00D86397">
              <w:rPr>
                <w:rFonts w:ascii="Arial Narrow" w:hAnsi="Arial Narrow" w:cs="Arial Narrow"/>
                <w:bCs/>
                <w:sz w:val="20"/>
              </w:rPr>
              <w:t>gonadotoxic</w:t>
            </w:r>
            <w:r>
              <w:rPr>
                <w:rFonts w:ascii="Arial Narrow" w:hAnsi="Arial Narrow" w:cs="Arial Narrow"/>
                <w:bCs/>
                <w:sz w:val="20"/>
              </w:rPr>
              <w:t xml:space="preserve"> treatment</w:t>
            </w:r>
          </w:p>
          <w:p w14:paraId="4EA7CC07" w14:textId="77777777" w:rsidR="007E4701" w:rsidRPr="005F040A" w:rsidRDefault="007E4701" w:rsidP="00B7183E">
            <w:pPr>
              <w:pStyle w:val="ListParagraph"/>
              <w:numPr>
                <w:ilvl w:val="0"/>
                <w:numId w:val="29"/>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Adolescent/young adult</w:t>
            </w:r>
            <w:r>
              <w:rPr>
                <w:rFonts w:ascii="Arial Narrow" w:hAnsi="Arial Narrow" w:cs="Arial Narrow"/>
                <w:bCs/>
                <w:sz w:val="20"/>
              </w:rPr>
              <w:t xml:space="preserve"> female</w:t>
            </w:r>
            <w:r w:rsidRPr="005F040A">
              <w:rPr>
                <w:rFonts w:ascii="Arial Narrow" w:hAnsi="Arial Narrow" w:cs="Arial Narrow"/>
                <w:bCs/>
                <w:sz w:val="20"/>
              </w:rPr>
              <w:t xml:space="preserve"> patients aged 15–25 years prior to receiving gonadotoxic treatment</w:t>
            </w:r>
          </w:p>
          <w:p w14:paraId="164B127F" w14:textId="77777777" w:rsidR="007E4701" w:rsidRPr="00D86397" w:rsidRDefault="007E4701" w:rsidP="00B7183E">
            <w:pPr>
              <w:pStyle w:val="ListParagraph"/>
              <w:numPr>
                <w:ilvl w:val="0"/>
                <w:numId w:val="29"/>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Adult</w:t>
            </w:r>
            <w:r>
              <w:rPr>
                <w:rFonts w:ascii="Arial Narrow" w:hAnsi="Arial Narrow" w:cs="Arial Narrow"/>
                <w:bCs/>
                <w:sz w:val="20"/>
              </w:rPr>
              <w:t xml:space="preserve"> female</w:t>
            </w:r>
            <w:r w:rsidRPr="005F040A">
              <w:rPr>
                <w:rFonts w:ascii="Arial Narrow" w:hAnsi="Arial Narrow" w:cs="Arial Narrow"/>
                <w:bCs/>
                <w:sz w:val="20"/>
              </w:rPr>
              <w:t xml:space="preserve"> patients aged 26–45 years prior to receiving gonadotoxic treatment</w:t>
            </w:r>
          </w:p>
        </w:tc>
      </w:tr>
      <w:tr w:rsidR="007E4701" w14:paraId="3FDB8F0A" w14:textId="77777777" w:rsidTr="004D6D0A">
        <w:tc>
          <w:tcPr>
            <w:tcW w:w="1985" w:type="dxa"/>
          </w:tcPr>
          <w:p w14:paraId="05BCB451"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Intervention</w:t>
            </w:r>
          </w:p>
        </w:tc>
        <w:tc>
          <w:tcPr>
            <w:tcW w:w="7796" w:type="dxa"/>
          </w:tcPr>
          <w:p w14:paraId="335E331C" w14:textId="1EEF1681" w:rsidR="007E4701" w:rsidRPr="00D86397" w:rsidRDefault="007E4701" w:rsidP="00123D7B">
            <w:pPr>
              <w:autoSpaceDE w:val="0"/>
              <w:autoSpaceDN w:val="0"/>
              <w:adjustRightInd w:val="0"/>
              <w:spacing w:after="40"/>
              <w:ind w:left="459" w:hanging="459"/>
              <w:rPr>
                <w:rFonts w:ascii="Arial Narrow" w:hAnsi="Arial Narrow" w:cs="Arial Narrow"/>
                <w:bCs/>
                <w:sz w:val="20"/>
              </w:rPr>
            </w:pPr>
            <w:r w:rsidRPr="00C85249">
              <w:rPr>
                <w:rFonts w:ascii="Arial Narrow" w:hAnsi="Arial Narrow" w:cs="Arial Narrow"/>
                <w:bCs/>
                <w:sz w:val="20"/>
              </w:rPr>
              <w:t>AMH</w:t>
            </w:r>
            <w:r>
              <w:rPr>
                <w:rFonts w:ascii="Arial Narrow" w:hAnsi="Arial Narrow" w:cs="Arial Narrow"/>
                <w:bCs/>
                <w:sz w:val="20"/>
              </w:rPr>
              <w:t xml:space="preserve"> test in addition to other standard tests, to </w:t>
            </w:r>
            <w:r w:rsidR="003C3B7E">
              <w:rPr>
                <w:rFonts w:ascii="Arial Narrow" w:hAnsi="Arial Narrow" w:cs="Arial Narrow"/>
                <w:bCs/>
                <w:sz w:val="20"/>
              </w:rPr>
              <w:t>measure ovarian reserve</w:t>
            </w:r>
          </w:p>
        </w:tc>
      </w:tr>
      <w:tr w:rsidR="007E4701" w14:paraId="40FDD7EA" w14:textId="77777777" w:rsidTr="004D6D0A">
        <w:tc>
          <w:tcPr>
            <w:tcW w:w="1985" w:type="dxa"/>
          </w:tcPr>
          <w:p w14:paraId="650B529D"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Comparators</w:t>
            </w:r>
          </w:p>
        </w:tc>
        <w:tc>
          <w:tcPr>
            <w:tcW w:w="7796" w:type="dxa"/>
          </w:tcPr>
          <w:p w14:paraId="7E6D4505" w14:textId="5CDD7528" w:rsidR="007E4701" w:rsidRPr="002E192E" w:rsidRDefault="007E4701" w:rsidP="000828FE">
            <w:pPr>
              <w:pStyle w:val="ListParagraph"/>
              <w:autoSpaceDE w:val="0"/>
              <w:autoSpaceDN w:val="0"/>
              <w:adjustRightInd w:val="0"/>
              <w:spacing w:after="40"/>
              <w:contextualSpacing/>
              <w:rPr>
                <w:rFonts w:ascii="Arial Narrow" w:hAnsi="Arial Narrow" w:cs="Arial Narrow"/>
                <w:bCs/>
                <w:sz w:val="20"/>
              </w:rPr>
            </w:pPr>
            <w:r>
              <w:rPr>
                <w:rFonts w:ascii="Arial Narrow" w:hAnsi="Arial Narrow" w:cs="Arial Narrow"/>
                <w:bCs/>
                <w:sz w:val="20"/>
                <w:szCs w:val="20"/>
              </w:rPr>
              <w:t xml:space="preserve">Other standard tests (FSH, </w:t>
            </w:r>
            <w:r w:rsidR="000828FE">
              <w:rPr>
                <w:rFonts w:ascii="Arial Narrow" w:hAnsi="Arial Narrow" w:cs="Arial Narrow"/>
                <w:bCs/>
                <w:sz w:val="20"/>
                <w:szCs w:val="20"/>
              </w:rPr>
              <w:t>E2</w:t>
            </w:r>
            <w:r>
              <w:rPr>
                <w:rFonts w:ascii="Arial Narrow" w:hAnsi="Arial Narrow" w:cs="Arial Narrow"/>
                <w:bCs/>
                <w:sz w:val="20"/>
                <w:szCs w:val="20"/>
              </w:rPr>
              <w:t>,</w:t>
            </w:r>
            <w:r w:rsidRPr="002E192E">
              <w:rPr>
                <w:rFonts w:ascii="Arial Narrow" w:hAnsi="Arial Narrow" w:cs="Arial Narrow"/>
                <w:bCs/>
                <w:sz w:val="20"/>
                <w:szCs w:val="20"/>
              </w:rPr>
              <w:t xml:space="preserve"> AFC ultrasound if post-pubertal</w:t>
            </w:r>
            <w:r>
              <w:rPr>
                <w:rFonts w:ascii="Arial Narrow" w:hAnsi="Arial Narrow" w:cs="Arial Narrow"/>
                <w:bCs/>
                <w:sz w:val="20"/>
                <w:szCs w:val="20"/>
              </w:rPr>
              <w:t>), to measure ovarian reserve</w:t>
            </w:r>
          </w:p>
        </w:tc>
      </w:tr>
      <w:tr w:rsidR="007E4701" w14:paraId="0740753F" w14:textId="77777777" w:rsidTr="004D6D0A">
        <w:tc>
          <w:tcPr>
            <w:tcW w:w="1985" w:type="dxa"/>
          </w:tcPr>
          <w:p w14:paraId="6550F2AA"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Outcomes</w:t>
            </w:r>
          </w:p>
        </w:tc>
        <w:tc>
          <w:tcPr>
            <w:tcW w:w="7796" w:type="dxa"/>
          </w:tcPr>
          <w:p w14:paraId="6D7A489C" w14:textId="77777777" w:rsidR="007E4701" w:rsidRPr="005C4A4C" w:rsidRDefault="007E4701" w:rsidP="00123D7B">
            <w:pPr>
              <w:pStyle w:val="ListParagraph"/>
              <w:autoSpaceDE w:val="0"/>
              <w:autoSpaceDN w:val="0"/>
              <w:adjustRightInd w:val="0"/>
              <w:spacing w:after="40"/>
              <w:contextualSpacing/>
              <w:rPr>
                <w:rFonts w:ascii="Arial Narrow" w:hAnsi="Arial Narrow" w:cs="Arial Narrow"/>
                <w:bCs/>
                <w:sz w:val="20"/>
                <w:szCs w:val="20"/>
              </w:rPr>
            </w:pPr>
            <w:r w:rsidRPr="002754A9">
              <w:rPr>
                <w:rFonts w:ascii="Arial Narrow" w:hAnsi="Arial Narrow" w:cs="Arial Narrow"/>
                <w:bCs/>
                <w:sz w:val="20"/>
                <w:szCs w:val="20"/>
              </w:rPr>
              <w:t xml:space="preserve">Rate of pregnancy </w:t>
            </w:r>
            <w:r>
              <w:rPr>
                <w:rFonts w:ascii="Arial Narrow" w:hAnsi="Arial Narrow" w:cs="Arial Narrow"/>
                <w:bCs/>
                <w:sz w:val="20"/>
                <w:szCs w:val="20"/>
              </w:rPr>
              <w:t>achieved naturally, rate of pregnancy achieved through ART (</w:t>
            </w:r>
            <w:r w:rsidRPr="002754A9">
              <w:rPr>
                <w:rFonts w:ascii="Arial Narrow" w:hAnsi="Arial Narrow" w:cs="Arial Narrow"/>
                <w:bCs/>
                <w:sz w:val="20"/>
                <w:szCs w:val="20"/>
              </w:rPr>
              <w:t>with biological offspring</w:t>
            </w:r>
            <w:r>
              <w:rPr>
                <w:rFonts w:ascii="Arial Narrow" w:hAnsi="Arial Narrow" w:cs="Arial Narrow"/>
                <w:bCs/>
                <w:sz w:val="20"/>
                <w:szCs w:val="20"/>
              </w:rPr>
              <w:t xml:space="preserve">), rate of childlessness, </w:t>
            </w:r>
            <w:r w:rsidRPr="00523A03">
              <w:rPr>
                <w:rFonts w:ascii="Arial Narrow" w:hAnsi="Arial Narrow" w:cs="Arial Narrow"/>
                <w:bCs/>
                <w:sz w:val="20"/>
                <w:szCs w:val="20"/>
              </w:rPr>
              <w:t>quality of life/family life</w:t>
            </w:r>
          </w:p>
        </w:tc>
      </w:tr>
      <w:tr w:rsidR="007E4701" w14:paraId="442B3CBE" w14:textId="77777777" w:rsidTr="004D6D0A">
        <w:tc>
          <w:tcPr>
            <w:tcW w:w="1985" w:type="dxa"/>
          </w:tcPr>
          <w:p w14:paraId="4EDEAD01"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Study design</w:t>
            </w:r>
          </w:p>
        </w:tc>
        <w:tc>
          <w:tcPr>
            <w:tcW w:w="7796" w:type="dxa"/>
          </w:tcPr>
          <w:p w14:paraId="4F9FE544" w14:textId="0DC63061" w:rsidR="007E4701" w:rsidRPr="005C4A4C" w:rsidRDefault="007E4701" w:rsidP="00123D7B">
            <w:pPr>
              <w:autoSpaceDE w:val="0"/>
              <w:autoSpaceDN w:val="0"/>
              <w:adjustRightInd w:val="0"/>
              <w:spacing w:after="40"/>
              <w:rPr>
                <w:rFonts w:ascii="Arial Narrow" w:hAnsi="Arial Narrow" w:cs="Arial Narrow"/>
                <w:bCs/>
                <w:sz w:val="20"/>
              </w:rPr>
            </w:pPr>
            <w:r w:rsidRPr="005C4A4C">
              <w:rPr>
                <w:rFonts w:ascii="Arial Narrow" w:hAnsi="Arial Narrow" w:cs="Arial Narrow"/>
                <w:bCs/>
                <w:sz w:val="20"/>
              </w:rPr>
              <w:t xml:space="preserve">Prospective cohort study, all or none, analysis of prognostic factors </w:t>
            </w:r>
            <w:r w:rsidR="00415491">
              <w:rPr>
                <w:rFonts w:ascii="Arial Narrow" w:hAnsi="Arial Narrow" w:cs="Arial Narrow"/>
                <w:bCs/>
                <w:sz w:val="20"/>
              </w:rPr>
              <w:t>among</w:t>
            </w:r>
            <w:r w:rsidRPr="005C4A4C">
              <w:rPr>
                <w:rFonts w:ascii="Arial Narrow" w:hAnsi="Arial Narrow" w:cs="Arial Narrow"/>
                <w:bCs/>
                <w:sz w:val="20"/>
              </w:rPr>
              <w:t xml:space="preserve"> persons in a single </w:t>
            </w:r>
            <w:r w:rsidRPr="005C4A4C">
              <w:rPr>
                <w:rFonts w:ascii="Arial Narrow" w:hAnsi="Arial Narrow" w:cs="Arial Narrow"/>
                <w:bCs/>
                <w:sz w:val="20"/>
              </w:rPr>
              <w:lastRenderedPageBreak/>
              <w:t>arm of a randomised controlled trial, retrospective cohort study, case series, or systematic reviews of these study designs</w:t>
            </w:r>
          </w:p>
        </w:tc>
      </w:tr>
      <w:tr w:rsidR="007E4701" w14:paraId="3DE0008F" w14:textId="77777777" w:rsidTr="004D6D0A">
        <w:tc>
          <w:tcPr>
            <w:tcW w:w="1985" w:type="dxa"/>
          </w:tcPr>
          <w:p w14:paraId="49C61319"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lastRenderedPageBreak/>
              <w:t>Search period</w:t>
            </w:r>
          </w:p>
        </w:tc>
        <w:tc>
          <w:tcPr>
            <w:tcW w:w="7796" w:type="dxa"/>
          </w:tcPr>
          <w:p w14:paraId="4ED78A43" w14:textId="4B5891D3" w:rsidR="007E4701" w:rsidRPr="005C4A4C" w:rsidRDefault="007E4701" w:rsidP="00123D7B">
            <w:pPr>
              <w:autoSpaceDE w:val="0"/>
              <w:autoSpaceDN w:val="0"/>
              <w:adjustRightInd w:val="0"/>
              <w:spacing w:after="40"/>
              <w:rPr>
                <w:rFonts w:ascii="Arial Narrow" w:hAnsi="Arial Narrow" w:cs="Arial Narrow"/>
                <w:bCs/>
                <w:sz w:val="20"/>
              </w:rPr>
            </w:pPr>
            <w:r w:rsidRPr="005C4A4C">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 2017</w:t>
            </w:r>
          </w:p>
        </w:tc>
      </w:tr>
      <w:tr w:rsidR="007E4701" w14:paraId="58EFCB4A" w14:textId="77777777" w:rsidTr="004D6D0A">
        <w:tc>
          <w:tcPr>
            <w:tcW w:w="1985" w:type="dxa"/>
          </w:tcPr>
          <w:p w14:paraId="55824E15"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Language</w:t>
            </w:r>
          </w:p>
        </w:tc>
        <w:tc>
          <w:tcPr>
            <w:tcW w:w="7796" w:type="dxa"/>
          </w:tcPr>
          <w:p w14:paraId="02FA5732" w14:textId="59F3372A" w:rsidR="007E4701" w:rsidRPr="005C4A4C" w:rsidRDefault="007E4701" w:rsidP="00123D7B">
            <w:pPr>
              <w:autoSpaceDE w:val="0"/>
              <w:autoSpaceDN w:val="0"/>
              <w:adjustRightInd w:val="0"/>
              <w:spacing w:after="40"/>
              <w:rPr>
                <w:rFonts w:ascii="Arial Narrow" w:hAnsi="Arial Narrow" w:cs="Arial Narrow"/>
                <w:bCs/>
                <w:sz w:val="20"/>
              </w:rPr>
            </w:pPr>
            <w:r w:rsidRPr="005C4A4C">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5C4A4C">
              <w:rPr>
                <w:rFonts w:ascii="Arial Narrow" w:hAnsi="Arial Narrow" w:cs="Arial Narrow"/>
                <w:bCs/>
                <w:sz w:val="20"/>
              </w:rPr>
              <w:t>base</w:t>
            </w:r>
          </w:p>
        </w:tc>
      </w:tr>
      <w:tr w:rsidR="007E4701" w14:paraId="5599F29C" w14:textId="77777777" w:rsidTr="004D6D0A">
        <w:tc>
          <w:tcPr>
            <w:tcW w:w="9781" w:type="dxa"/>
            <w:gridSpan w:val="2"/>
          </w:tcPr>
          <w:p w14:paraId="0256C396" w14:textId="4041E7FD" w:rsidR="007E4701" w:rsidRPr="005C4A4C" w:rsidRDefault="007E4701" w:rsidP="000828FE">
            <w:pPr>
              <w:spacing w:after="40"/>
              <w:rPr>
                <w:rFonts w:ascii="Arial Narrow" w:hAnsi="Arial Narrow"/>
              </w:rPr>
            </w:pPr>
            <w:r w:rsidRPr="00B939AE">
              <w:rPr>
                <w:rFonts w:ascii="Arial Narrow" w:hAnsi="Arial Narrow"/>
                <w:b/>
                <w:sz w:val="20"/>
              </w:rPr>
              <w:t xml:space="preserve">Will the extra information generated as a result of </w:t>
            </w:r>
            <w:r>
              <w:rPr>
                <w:rFonts w:ascii="Arial Narrow" w:hAnsi="Arial Narrow"/>
                <w:b/>
                <w:sz w:val="20"/>
              </w:rPr>
              <w:t>the AMH test</w:t>
            </w:r>
            <w:r w:rsidRPr="00B939AE">
              <w:rPr>
                <w:rFonts w:ascii="Arial Narrow" w:hAnsi="Arial Narrow"/>
                <w:b/>
                <w:sz w:val="20"/>
              </w:rPr>
              <w:t xml:space="preserve"> be of additional prognostic value in</w:t>
            </w:r>
            <w:r>
              <w:rPr>
                <w:rFonts w:ascii="Arial Narrow" w:hAnsi="Arial Narrow"/>
                <w:b/>
                <w:sz w:val="20"/>
              </w:rPr>
              <w:t xml:space="preserve"> </w:t>
            </w:r>
            <w:r w:rsidRPr="003E1731">
              <w:rPr>
                <w:rFonts w:ascii="Arial Narrow" w:hAnsi="Arial Narrow"/>
                <w:b/>
                <w:sz w:val="20"/>
              </w:rPr>
              <w:t>female</w:t>
            </w:r>
            <w:r w:rsidRPr="00B939AE">
              <w:rPr>
                <w:rFonts w:ascii="Arial Narrow" w:hAnsi="Arial Narrow"/>
                <w:b/>
                <w:sz w:val="20"/>
              </w:rPr>
              <w:t xml:space="preserve"> patients</w:t>
            </w:r>
            <w:r>
              <w:rPr>
                <w:rFonts w:ascii="Arial Narrow" w:hAnsi="Arial Narrow"/>
                <w:b/>
                <w:sz w:val="20"/>
              </w:rPr>
              <w:t xml:space="preserve"> prior to receiving gonadotoxic treatment</w:t>
            </w:r>
            <w:r w:rsidRPr="00B939AE">
              <w:rPr>
                <w:rFonts w:ascii="Arial Narrow" w:hAnsi="Arial Narrow"/>
                <w:b/>
                <w:sz w:val="20"/>
              </w:rPr>
              <w:t xml:space="preserve">, compared to </w:t>
            </w:r>
            <w:r w:rsidRPr="002754A9">
              <w:rPr>
                <w:rFonts w:ascii="Arial Narrow" w:hAnsi="Arial Narrow"/>
                <w:b/>
                <w:sz w:val="20"/>
              </w:rPr>
              <w:t xml:space="preserve">FSH, </w:t>
            </w:r>
            <w:r w:rsidR="000828FE">
              <w:rPr>
                <w:rFonts w:ascii="Arial Narrow" w:hAnsi="Arial Narrow"/>
                <w:b/>
                <w:sz w:val="20"/>
              </w:rPr>
              <w:t>E2</w:t>
            </w:r>
            <w:r w:rsidRPr="002754A9">
              <w:rPr>
                <w:rFonts w:ascii="Arial Narrow" w:hAnsi="Arial Narrow"/>
                <w:b/>
                <w:sz w:val="20"/>
              </w:rPr>
              <w:t xml:space="preserve"> </w:t>
            </w:r>
            <w:r>
              <w:rPr>
                <w:rFonts w:ascii="Arial Narrow" w:hAnsi="Arial Narrow"/>
                <w:b/>
                <w:sz w:val="20"/>
              </w:rPr>
              <w:t xml:space="preserve">and/or </w:t>
            </w:r>
            <w:r w:rsidRPr="002754A9">
              <w:rPr>
                <w:rFonts w:ascii="Arial Narrow" w:hAnsi="Arial Narrow"/>
                <w:b/>
                <w:sz w:val="20"/>
              </w:rPr>
              <w:t xml:space="preserve">AFC ultrasound </w:t>
            </w:r>
            <w:r>
              <w:rPr>
                <w:rFonts w:ascii="Arial Narrow" w:hAnsi="Arial Narrow"/>
                <w:b/>
                <w:sz w:val="20"/>
              </w:rPr>
              <w:t>alone</w:t>
            </w:r>
            <w:r w:rsidRPr="00B939AE">
              <w:rPr>
                <w:rFonts w:ascii="Arial Narrow" w:hAnsi="Arial Narrow"/>
                <w:b/>
                <w:sz w:val="20"/>
              </w:rPr>
              <w:t>?</w:t>
            </w:r>
          </w:p>
        </w:tc>
      </w:tr>
    </w:tbl>
    <w:p w14:paraId="0DFD2F75" w14:textId="36E4557A" w:rsidR="007E4701" w:rsidRPr="009B416A" w:rsidRDefault="007E4701" w:rsidP="007E4701">
      <w:pPr>
        <w:pStyle w:val="TableNotes1"/>
        <w:rPr>
          <w:sz w:val="18"/>
          <w:szCs w:val="18"/>
        </w:rPr>
      </w:pPr>
      <w:r w:rsidRPr="009B416A">
        <w:rPr>
          <w:sz w:val="18"/>
          <w:szCs w:val="18"/>
        </w:rPr>
        <w:t xml:space="preserve">AFC = antral </w:t>
      </w:r>
      <w:r w:rsidR="00FC7C3B" w:rsidRPr="009B416A">
        <w:rPr>
          <w:sz w:val="18"/>
          <w:szCs w:val="18"/>
        </w:rPr>
        <w:t>follicle count; ART = assisted reproductive technology</w:t>
      </w:r>
      <w:r w:rsidRPr="009B416A">
        <w:rPr>
          <w:sz w:val="18"/>
          <w:szCs w:val="18"/>
        </w:rPr>
        <w:t xml:space="preserve">; AMH = anti-Müllerian hormone; </w:t>
      </w:r>
      <w:r w:rsidR="000828FE" w:rsidRPr="009B416A">
        <w:rPr>
          <w:sz w:val="18"/>
          <w:szCs w:val="18"/>
        </w:rPr>
        <w:t xml:space="preserve">E2 = estradiol; </w:t>
      </w:r>
      <w:r w:rsidRPr="009B416A">
        <w:rPr>
          <w:sz w:val="18"/>
          <w:szCs w:val="18"/>
        </w:rPr>
        <w:t>FSH = follicular stimulating hormone</w:t>
      </w:r>
    </w:p>
    <w:p w14:paraId="6B89641A" w14:textId="01AD1F6A" w:rsidR="007E4701" w:rsidRDefault="007E4701" w:rsidP="009B416A">
      <w:pPr>
        <w:pStyle w:val="TableHeading"/>
        <w:ind w:left="993" w:hanging="993"/>
      </w:pPr>
      <w:bookmarkStart w:id="165" w:name="_Ref494789249"/>
      <w:bookmarkStart w:id="166" w:name="_Toc491849014"/>
      <w:bookmarkStart w:id="167" w:name="_Toc502833035"/>
      <w:r w:rsidRPr="009B416A">
        <w:t xml:space="preserve">Table </w:t>
      </w:r>
      <w:r w:rsidR="00AC4BE5">
        <w:fldChar w:fldCharType="begin"/>
      </w:r>
      <w:r w:rsidR="00AC4BE5">
        <w:instrText xml:space="preserve"> SEQ Table \* ARABIC </w:instrText>
      </w:r>
      <w:r w:rsidR="00AC4BE5">
        <w:fldChar w:fldCharType="separate"/>
      </w:r>
      <w:r w:rsidR="00AC4BE5">
        <w:rPr>
          <w:noProof/>
        </w:rPr>
        <w:t>17</w:t>
      </w:r>
      <w:r w:rsidR="00AC4BE5">
        <w:rPr>
          <w:noProof/>
        </w:rPr>
        <w:fldChar w:fldCharType="end"/>
      </w:r>
      <w:bookmarkEnd w:id="165"/>
      <w:r w:rsidRPr="009B416A">
        <w:tab/>
        <w:t>PICO criteria and research question for determining predictiv</w:t>
      </w:r>
      <w:r w:rsidR="009B416A">
        <w:t>e value of AMH in population 1</w:t>
      </w:r>
      <w:r w:rsidRPr="009B416A">
        <w:t>, 2 and 3</w:t>
      </w:r>
      <w:bookmarkEnd w:id="166"/>
      <w:bookmarkEnd w:id="167"/>
    </w:p>
    <w:tbl>
      <w:tblPr>
        <w:tblStyle w:val="TableGrid1"/>
        <w:tblW w:w="0" w:type="auto"/>
        <w:tblLook w:val="04A0" w:firstRow="1" w:lastRow="0" w:firstColumn="1" w:lastColumn="0" w:noHBand="0" w:noVBand="1"/>
        <w:tblDescription w:val="PICO criteria and research question for determining predictive value of AMH in population 1, 2 and 3"/>
      </w:tblPr>
      <w:tblGrid>
        <w:gridCol w:w="1923"/>
        <w:gridCol w:w="7319"/>
      </w:tblGrid>
      <w:tr w:rsidR="007E4701" w14:paraId="20BD8B53"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1985" w:type="dxa"/>
          </w:tcPr>
          <w:p w14:paraId="10D21FCD"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Population</w:t>
            </w:r>
          </w:p>
        </w:tc>
        <w:tc>
          <w:tcPr>
            <w:tcW w:w="7796" w:type="dxa"/>
          </w:tcPr>
          <w:p w14:paraId="681AB3BE" w14:textId="77777777" w:rsidR="007E4701" w:rsidRDefault="007E4701" w:rsidP="00B7183E">
            <w:pPr>
              <w:pStyle w:val="ListParagraph"/>
              <w:keepNext/>
              <w:numPr>
                <w:ilvl w:val="0"/>
                <w:numId w:val="30"/>
              </w:numPr>
              <w:spacing w:after="40" w:line="240" w:lineRule="auto"/>
              <w:ind w:left="459" w:hanging="425"/>
              <w:contextualSpacing/>
              <w:rPr>
                <w:rFonts w:ascii="Arial Narrow" w:hAnsi="Arial Narrow" w:cs="Arial Narrow"/>
                <w:bCs/>
                <w:sz w:val="20"/>
              </w:rPr>
            </w:pPr>
            <w:r w:rsidRPr="00ED493D">
              <w:rPr>
                <w:rFonts w:ascii="Arial Narrow" w:hAnsi="Arial Narrow" w:cs="Arial Narrow"/>
                <w:bCs/>
                <w:sz w:val="20"/>
              </w:rPr>
              <w:t>Paediatric</w:t>
            </w:r>
            <w:r>
              <w:rPr>
                <w:rFonts w:ascii="Arial Narrow" w:hAnsi="Arial Narrow" w:cs="Arial Narrow"/>
                <w:bCs/>
                <w:sz w:val="20"/>
              </w:rPr>
              <w:t xml:space="preserve"> female</w:t>
            </w:r>
            <w:r w:rsidRPr="00ED493D">
              <w:rPr>
                <w:rFonts w:ascii="Arial Narrow" w:hAnsi="Arial Narrow" w:cs="Arial Narrow"/>
                <w:bCs/>
                <w:sz w:val="20"/>
              </w:rPr>
              <w:t xml:space="preserve"> patients aged </w:t>
            </w:r>
            <w:r>
              <w:rPr>
                <w:rFonts w:ascii="Arial Narrow" w:hAnsi="Arial Narrow" w:cs="Arial Narrow"/>
                <w:bCs/>
                <w:sz w:val="20"/>
              </w:rPr>
              <w:t xml:space="preserve">under </w:t>
            </w:r>
            <w:r w:rsidRPr="00ED493D">
              <w:rPr>
                <w:rFonts w:ascii="Arial Narrow" w:hAnsi="Arial Narrow" w:cs="Arial Narrow"/>
                <w:bCs/>
                <w:sz w:val="20"/>
              </w:rPr>
              <w:t xml:space="preserve">14 years </w:t>
            </w:r>
            <w:r>
              <w:rPr>
                <w:rFonts w:ascii="Arial Narrow" w:hAnsi="Arial Narrow" w:cs="Arial Narrow"/>
                <w:bCs/>
                <w:sz w:val="20"/>
              </w:rPr>
              <w:t xml:space="preserve">(if post-pubertal) prior to receiving </w:t>
            </w:r>
            <w:r w:rsidRPr="00D86397">
              <w:rPr>
                <w:rFonts w:ascii="Arial Narrow" w:hAnsi="Arial Narrow" w:cs="Arial Narrow"/>
                <w:bCs/>
                <w:sz w:val="20"/>
              </w:rPr>
              <w:t>gonadotoxic</w:t>
            </w:r>
            <w:r>
              <w:rPr>
                <w:rFonts w:ascii="Arial Narrow" w:hAnsi="Arial Narrow" w:cs="Arial Narrow"/>
                <w:bCs/>
                <w:sz w:val="20"/>
              </w:rPr>
              <w:t xml:space="preserve"> treatment</w:t>
            </w:r>
          </w:p>
          <w:p w14:paraId="636E69AC" w14:textId="77777777" w:rsidR="007E4701" w:rsidRPr="005F040A" w:rsidRDefault="007E4701" w:rsidP="00B7183E">
            <w:pPr>
              <w:pStyle w:val="ListParagraph"/>
              <w:keepNext/>
              <w:numPr>
                <w:ilvl w:val="0"/>
                <w:numId w:val="30"/>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Adolescent/young adult</w:t>
            </w:r>
            <w:r>
              <w:rPr>
                <w:rFonts w:ascii="Arial Narrow" w:hAnsi="Arial Narrow" w:cs="Arial Narrow"/>
                <w:bCs/>
                <w:sz w:val="20"/>
              </w:rPr>
              <w:t xml:space="preserve"> female</w:t>
            </w:r>
            <w:r w:rsidRPr="005F040A">
              <w:rPr>
                <w:rFonts w:ascii="Arial Narrow" w:hAnsi="Arial Narrow" w:cs="Arial Narrow"/>
                <w:bCs/>
                <w:sz w:val="20"/>
              </w:rPr>
              <w:t xml:space="preserve"> patients aged 15–25 years prior to receiving gonadotoxic treatment</w:t>
            </w:r>
          </w:p>
          <w:p w14:paraId="1DD8C9AC" w14:textId="77777777" w:rsidR="007E4701" w:rsidRPr="00D86397" w:rsidRDefault="007E4701" w:rsidP="00B7183E">
            <w:pPr>
              <w:pStyle w:val="ListParagraph"/>
              <w:keepNext/>
              <w:numPr>
                <w:ilvl w:val="0"/>
                <w:numId w:val="30"/>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Adult</w:t>
            </w:r>
            <w:r>
              <w:rPr>
                <w:rFonts w:ascii="Arial Narrow" w:hAnsi="Arial Narrow" w:cs="Arial Narrow"/>
                <w:bCs/>
                <w:sz w:val="20"/>
              </w:rPr>
              <w:t xml:space="preserve"> female</w:t>
            </w:r>
            <w:r w:rsidRPr="005F040A">
              <w:rPr>
                <w:rFonts w:ascii="Arial Narrow" w:hAnsi="Arial Narrow" w:cs="Arial Narrow"/>
                <w:bCs/>
                <w:sz w:val="20"/>
              </w:rPr>
              <w:t xml:space="preserve"> patients aged 26–45 years prior to receiving gonadotoxic treatment</w:t>
            </w:r>
          </w:p>
        </w:tc>
      </w:tr>
      <w:tr w:rsidR="007E4701" w14:paraId="520297DC" w14:textId="77777777" w:rsidTr="004D6D0A">
        <w:tc>
          <w:tcPr>
            <w:tcW w:w="1985" w:type="dxa"/>
          </w:tcPr>
          <w:p w14:paraId="2296BFB4"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Intervention</w:t>
            </w:r>
          </w:p>
        </w:tc>
        <w:tc>
          <w:tcPr>
            <w:tcW w:w="7796" w:type="dxa"/>
          </w:tcPr>
          <w:p w14:paraId="0C4519FC" w14:textId="77777777" w:rsidR="007E4701" w:rsidRPr="00D86397" w:rsidRDefault="007E4701" w:rsidP="00123D7B">
            <w:pPr>
              <w:keepNext/>
              <w:autoSpaceDE w:val="0"/>
              <w:autoSpaceDN w:val="0"/>
              <w:adjustRightInd w:val="0"/>
              <w:spacing w:after="40"/>
              <w:ind w:left="459" w:hanging="459"/>
              <w:rPr>
                <w:rFonts w:ascii="Arial Narrow" w:hAnsi="Arial Narrow" w:cs="Arial Narrow"/>
                <w:bCs/>
                <w:sz w:val="20"/>
              </w:rPr>
            </w:pPr>
            <w:r w:rsidRPr="004A5786">
              <w:rPr>
                <w:rFonts w:ascii="Arial Narrow" w:hAnsi="Arial Narrow" w:cs="Arial Narrow"/>
                <w:bCs/>
                <w:sz w:val="20"/>
              </w:rPr>
              <w:t>AMH</w:t>
            </w:r>
            <w:r>
              <w:rPr>
                <w:rFonts w:ascii="Arial Narrow" w:hAnsi="Arial Narrow" w:cs="Arial Narrow"/>
                <w:bCs/>
                <w:sz w:val="20"/>
              </w:rPr>
              <w:t xml:space="preserve"> test in addition to other standard tests, to predict response to superovulation</w:t>
            </w:r>
            <w:r w:rsidRPr="007A0751">
              <w:rPr>
                <w:rFonts w:ascii="Arial Narrow" w:hAnsi="Arial Narrow" w:cs="Arial Narrow"/>
                <w:bCs/>
                <w:sz w:val="20"/>
              </w:rPr>
              <w:t xml:space="preserve"> </w:t>
            </w:r>
          </w:p>
        </w:tc>
      </w:tr>
      <w:tr w:rsidR="007E4701" w14:paraId="27AA27C2" w14:textId="77777777" w:rsidTr="004D6D0A">
        <w:tc>
          <w:tcPr>
            <w:tcW w:w="1985" w:type="dxa"/>
          </w:tcPr>
          <w:p w14:paraId="4888BF6B"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Comparators</w:t>
            </w:r>
          </w:p>
        </w:tc>
        <w:tc>
          <w:tcPr>
            <w:tcW w:w="7796" w:type="dxa"/>
          </w:tcPr>
          <w:p w14:paraId="4124464F" w14:textId="777748B5" w:rsidR="007E4701" w:rsidRPr="002E192E" w:rsidRDefault="007E4701" w:rsidP="000828FE">
            <w:pPr>
              <w:pStyle w:val="ListParagraph"/>
              <w:keepNext/>
              <w:autoSpaceDE w:val="0"/>
              <w:autoSpaceDN w:val="0"/>
              <w:adjustRightInd w:val="0"/>
              <w:spacing w:after="40"/>
              <w:contextualSpacing/>
              <w:rPr>
                <w:rFonts w:ascii="Arial Narrow" w:hAnsi="Arial Narrow" w:cs="Arial Narrow"/>
                <w:bCs/>
                <w:sz w:val="20"/>
              </w:rPr>
            </w:pPr>
            <w:r>
              <w:rPr>
                <w:rFonts w:ascii="Arial Narrow" w:hAnsi="Arial Narrow" w:cs="Arial Narrow"/>
                <w:bCs/>
                <w:sz w:val="20"/>
                <w:szCs w:val="20"/>
              </w:rPr>
              <w:t xml:space="preserve">Other standard tests (FSH, </w:t>
            </w:r>
            <w:r w:rsidR="000828FE">
              <w:rPr>
                <w:rFonts w:ascii="Arial Narrow" w:hAnsi="Arial Narrow" w:cs="Arial Narrow"/>
                <w:bCs/>
                <w:sz w:val="20"/>
                <w:szCs w:val="20"/>
              </w:rPr>
              <w:t>E2</w:t>
            </w:r>
            <w:r>
              <w:rPr>
                <w:rFonts w:ascii="Arial Narrow" w:hAnsi="Arial Narrow" w:cs="Arial Narrow"/>
                <w:bCs/>
                <w:sz w:val="20"/>
                <w:szCs w:val="20"/>
              </w:rPr>
              <w:t>,</w:t>
            </w:r>
            <w:r w:rsidRPr="002E192E">
              <w:rPr>
                <w:rFonts w:ascii="Arial Narrow" w:hAnsi="Arial Narrow" w:cs="Arial Narrow"/>
                <w:bCs/>
                <w:sz w:val="20"/>
                <w:szCs w:val="20"/>
              </w:rPr>
              <w:t xml:space="preserve"> AFC ultrasound if post-pubertal</w:t>
            </w:r>
            <w:r>
              <w:rPr>
                <w:rFonts w:ascii="Arial Narrow" w:hAnsi="Arial Narrow" w:cs="Arial Narrow"/>
                <w:bCs/>
                <w:sz w:val="20"/>
                <w:szCs w:val="20"/>
              </w:rPr>
              <w:t>), to predict response to superovulation</w:t>
            </w:r>
          </w:p>
        </w:tc>
      </w:tr>
      <w:tr w:rsidR="007E4701" w14:paraId="3DC42D3C" w14:textId="77777777" w:rsidTr="004D6D0A">
        <w:tc>
          <w:tcPr>
            <w:tcW w:w="1985" w:type="dxa"/>
          </w:tcPr>
          <w:p w14:paraId="45C3F5E6"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Outcomes</w:t>
            </w:r>
          </w:p>
        </w:tc>
        <w:tc>
          <w:tcPr>
            <w:tcW w:w="7796" w:type="dxa"/>
          </w:tcPr>
          <w:p w14:paraId="09BD49C8" w14:textId="24FF6B48" w:rsidR="007E4701" w:rsidRPr="005C4A4C" w:rsidRDefault="007E4701" w:rsidP="000828FE">
            <w:pPr>
              <w:keepNext/>
              <w:tabs>
                <w:tab w:val="left" w:pos="1535"/>
              </w:tabs>
              <w:autoSpaceDE w:val="0"/>
              <w:autoSpaceDN w:val="0"/>
              <w:adjustRightInd w:val="0"/>
              <w:spacing w:after="0"/>
              <w:rPr>
                <w:rFonts w:ascii="Arial Narrow" w:hAnsi="Arial Narrow" w:cs="Arial Narrow"/>
                <w:bCs/>
                <w:sz w:val="20"/>
              </w:rPr>
            </w:pPr>
            <w:r>
              <w:rPr>
                <w:rFonts w:ascii="Arial Narrow" w:hAnsi="Arial Narrow" w:cs="Arial Narrow"/>
                <w:bCs/>
                <w:sz w:val="20"/>
              </w:rPr>
              <w:t xml:space="preserve">Yield of good quality oocytes, rate of </w:t>
            </w:r>
            <w:r w:rsidR="000828FE">
              <w:rPr>
                <w:rFonts w:ascii="Arial Narrow" w:hAnsi="Arial Narrow" w:cs="Arial Narrow"/>
                <w:bCs/>
                <w:sz w:val="20"/>
              </w:rPr>
              <w:t>OHSS</w:t>
            </w:r>
          </w:p>
        </w:tc>
      </w:tr>
      <w:tr w:rsidR="007E4701" w14:paraId="3CEA76B9" w14:textId="77777777" w:rsidTr="004D6D0A">
        <w:tc>
          <w:tcPr>
            <w:tcW w:w="1985" w:type="dxa"/>
          </w:tcPr>
          <w:p w14:paraId="2A083DC0"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Study design</w:t>
            </w:r>
          </w:p>
        </w:tc>
        <w:tc>
          <w:tcPr>
            <w:tcW w:w="7796" w:type="dxa"/>
          </w:tcPr>
          <w:p w14:paraId="1935B842" w14:textId="73428028" w:rsidR="007E4701" w:rsidRPr="005C4A4C" w:rsidRDefault="007E4701" w:rsidP="00123D7B">
            <w:pPr>
              <w:keepNext/>
              <w:autoSpaceDE w:val="0"/>
              <w:autoSpaceDN w:val="0"/>
              <w:adjustRightInd w:val="0"/>
              <w:spacing w:after="40"/>
              <w:rPr>
                <w:rFonts w:ascii="Arial Narrow" w:hAnsi="Arial Narrow" w:cs="Arial Narrow"/>
                <w:bCs/>
                <w:sz w:val="20"/>
              </w:rPr>
            </w:pPr>
            <w:r w:rsidRPr="005C4A4C">
              <w:rPr>
                <w:rFonts w:ascii="Arial Narrow" w:hAnsi="Arial Narrow" w:cs="Arial Narrow"/>
                <w:bCs/>
                <w:sz w:val="20"/>
              </w:rPr>
              <w:t xml:space="preserve">Prospective cohort study, all or none, analysis of prognostic factors </w:t>
            </w:r>
            <w:r w:rsidR="00415491">
              <w:rPr>
                <w:rFonts w:ascii="Arial Narrow" w:hAnsi="Arial Narrow" w:cs="Arial Narrow"/>
                <w:bCs/>
                <w:sz w:val="20"/>
              </w:rPr>
              <w:t>among</w:t>
            </w:r>
            <w:r w:rsidRPr="005C4A4C">
              <w:rPr>
                <w:rFonts w:ascii="Arial Narrow" w:hAnsi="Arial Narrow" w:cs="Arial Narrow"/>
                <w:bCs/>
                <w:sz w:val="20"/>
              </w:rPr>
              <w:t xml:space="preserve"> persons in a single arm of a randomised controlled trial, retrospective cohort study, case series, or systematic reviews of these study designs</w:t>
            </w:r>
          </w:p>
        </w:tc>
      </w:tr>
      <w:tr w:rsidR="007E4701" w14:paraId="3A5A6C89" w14:textId="77777777" w:rsidTr="004D6D0A">
        <w:tc>
          <w:tcPr>
            <w:tcW w:w="1985" w:type="dxa"/>
          </w:tcPr>
          <w:p w14:paraId="09D95A46"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Search period</w:t>
            </w:r>
          </w:p>
        </w:tc>
        <w:tc>
          <w:tcPr>
            <w:tcW w:w="7796" w:type="dxa"/>
          </w:tcPr>
          <w:p w14:paraId="7268D258" w14:textId="4D4F7439" w:rsidR="007E4701" w:rsidRPr="005C4A4C" w:rsidRDefault="007E4701" w:rsidP="00123D7B">
            <w:pPr>
              <w:keepNext/>
              <w:autoSpaceDE w:val="0"/>
              <w:autoSpaceDN w:val="0"/>
              <w:adjustRightInd w:val="0"/>
              <w:spacing w:after="40"/>
              <w:rPr>
                <w:rFonts w:ascii="Arial Narrow" w:hAnsi="Arial Narrow" w:cs="Arial Narrow"/>
                <w:bCs/>
                <w:sz w:val="20"/>
              </w:rPr>
            </w:pPr>
            <w:r w:rsidRPr="005C4A4C">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 2017</w:t>
            </w:r>
          </w:p>
        </w:tc>
      </w:tr>
      <w:tr w:rsidR="007E4701" w14:paraId="01AD6373" w14:textId="77777777" w:rsidTr="004D6D0A">
        <w:tc>
          <w:tcPr>
            <w:tcW w:w="1985" w:type="dxa"/>
          </w:tcPr>
          <w:p w14:paraId="3A029345"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Language</w:t>
            </w:r>
          </w:p>
        </w:tc>
        <w:tc>
          <w:tcPr>
            <w:tcW w:w="7796" w:type="dxa"/>
          </w:tcPr>
          <w:p w14:paraId="0FD88D32" w14:textId="6ECC8374" w:rsidR="007E4701" w:rsidRPr="005C4A4C" w:rsidRDefault="007E4701" w:rsidP="00123D7B">
            <w:pPr>
              <w:keepNext/>
              <w:autoSpaceDE w:val="0"/>
              <w:autoSpaceDN w:val="0"/>
              <w:adjustRightInd w:val="0"/>
              <w:spacing w:after="40"/>
              <w:rPr>
                <w:rFonts w:ascii="Arial Narrow" w:hAnsi="Arial Narrow" w:cs="Arial Narrow"/>
                <w:bCs/>
                <w:sz w:val="20"/>
              </w:rPr>
            </w:pPr>
            <w:r w:rsidRPr="005C4A4C">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5C4A4C">
              <w:rPr>
                <w:rFonts w:ascii="Arial Narrow" w:hAnsi="Arial Narrow" w:cs="Arial Narrow"/>
                <w:bCs/>
                <w:sz w:val="20"/>
              </w:rPr>
              <w:t>base</w:t>
            </w:r>
          </w:p>
        </w:tc>
      </w:tr>
      <w:tr w:rsidR="007E4701" w14:paraId="18ACA624" w14:textId="77777777" w:rsidTr="004D6D0A">
        <w:tc>
          <w:tcPr>
            <w:tcW w:w="9781" w:type="dxa"/>
            <w:gridSpan w:val="2"/>
          </w:tcPr>
          <w:p w14:paraId="73CCF3AA" w14:textId="77777777" w:rsidR="007E4701" w:rsidRPr="00005BE9" w:rsidRDefault="007E4701" w:rsidP="00123D7B">
            <w:pPr>
              <w:keepNext/>
              <w:spacing w:after="40"/>
              <w:rPr>
                <w:rFonts w:ascii="Arial Narrow" w:hAnsi="Arial Narrow"/>
                <w:b/>
                <w:sz w:val="20"/>
              </w:rPr>
            </w:pPr>
            <w:r>
              <w:rPr>
                <w:rFonts w:ascii="Arial Narrow" w:hAnsi="Arial Narrow"/>
                <w:b/>
                <w:sz w:val="20"/>
              </w:rPr>
              <w:t xml:space="preserve">Does the addition of AMH testing to standard tests allow better prediction of response to superovulation than standard tests alone? </w:t>
            </w:r>
          </w:p>
        </w:tc>
      </w:tr>
    </w:tbl>
    <w:p w14:paraId="326E7458" w14:textId="362D3AB2" w:rsidR="007E4701" w:rsidRPr="009B416A" w:rsidRDefault="007E4701" w:rsidP="007E4701">
      <w:pPr>
        <w:pStyle w:val="TableNotes1"/>
        <w:rPr>
          <w:sz w:val="18"/>
          <w:szCs w:val="18"/>
        </w:rPr>
      </w:pPr>
      <w:r w:rsidRPr="009B416A">
        <w:rPr>
          <w:sz w:val="18"/>
          <w:szCs w:val="18"/>
        </w:rPr>
        <w:t xml:space="preserve">AFC = antral follicle count; AMH = anti-Müllerian hormone; </w:t>
      </w:r>
      <w:r w:rsidR="000828FE" w:rsidRPr="009B416A">
        <w:rPr>
          <w:sz w:val="18"/>
          <w:szCs w:val="18"/>
        </w:rPr>
        <w:t xml:space="preserve">E2 = estradiol; </w:t>
      </w:r>
      <w:r w:rsidRPr="009B416A">
        <w:rPr>
          <w:sz w:val="18"/>
          <w:szCs w:val="18"/>
        </w:rPr>
        <w:t xml:space="preserve">FSH = follicular stimulating hormone; OHSS = </w:t>
      </w:r>
      <w:r w:rsidRPr="009B416A">
        <w:rPr>
          <w:rFonts w:cs="Arial Narrow"/>
          <w:bCs/>
          <w:sz w:val="18"/>
          <w:szCs w:val="18"/>
        </w:rPr>
        <w:t>ovarian hyper stimulation syndrome</w:t>
      </w:r>
    </w:p>
    <w:p w14:paraId="5179A50C" w14:textId="176064A1" w:rsidR="007E4701" w:rsidRDefault="007E4701" w:rsidP="009B416A">
      <w:pPr>
        <w:pStyle w:val="TableHeading"/>
        <w:ind w:left="993" w:hanging="993"/>
      </w:pPr>
      <w:bookmarkStart w:id="168" w:name="_Toc491849015"/>
      <w:bookmarkStart w:id="169" w:name="_Toc502833036"/>
      <w:r w:rsidRPr="009B416A">
        <w:t xml:space="preserve">Table </w:t>
      </w:r>
      <w:r w:rsidR="00AC4BE5">
        <w:fldChar w:fldCharType="begin"/>
      </w:r>
      <w:r w:rsidR="00AC4BE5">
        <w:instrText xml:space="preserve"> SEQ Table \* ARABIC </w:instrText>
      </w:r>
      <w:r w:rsidR="00AC4BE5">
        <w:fldChar w:fldCharType="separate"/>
      </w:r>
      <w:r w:rsidR="00AC4BE5">
        <w:rPr>
          <w:noProof/>
        </w:rPr>
        <w:t>18</w:t>
      </w:r>
      <w:r w:rsidR="00AC4BE5">
        <w:rPr>
          <w:noProof/>
        </w:rPr>
        <w:fldChar w:fldCharType="end"/>
      </w:r>
      <w:r w:rsidRPr="009B416A">
        <w:tab/>
        <w:t>PICO criteria and research question to determine the impac</w:t>
      </w:r>
      <w:r w:rsidR="009B416A">
        <w:t xml:space="preserve">t of the AMH test on patient </w:t>
      </w:r>
      <w:r w:rsidRPr="009B416A">
        <w:t>management in population 1, 2 and 3</w:t>
      </w:r>
      <w:bookmarkEnd w:id="168"/>
      <w:bookmarkEnd w:id="169"/>
    </w:p>
    <w:tbl>
      <w:tblPr>
        <w:tblStyle w:val="TableGrid1"/>
        <w:tblW w:w="0" w:type="auto"/>
        <w:tblLook w:val="04A0" w:firstRow="1" w:lastRow="0" w:firstColumn="1" w:lastColumn="0" w:noHBand="0" w:noVBand="1"/>
        <w:tblDescription w:val="PICO criteria and research question to determine the impact of the AMH test on patient management in population 1, 2 and 3"/>
      </w:tblPr>
      <w:tblGrid>
        <w:gridCol w:w="1923"/>
        <w:gridCol w:w="7319"/>
      </w:tblGrid>
      <w:tr w:rsidR="007E4701" w14:paraId="599BCF33" w14:textId="77777777" w:rsidTr="004D6D0A">
        <w:trPr>
          <w:cnfStyle w:val="100000000000" w:firstRow="1" w:lastRow="0" w:firstColumn="0" w:lastColumn="0" w:oddVBand="0" w:evenVBand="0" w:oddHBand="0" w:evenHBand="0" w:firstRowFirstColumn="0" w:firstRowLastColumn="0" w:lastRowFirstColumn="0" w:lastRowLastColumn="0"/>
          <w:tblHeader/>
        </w:trPr>
        <w:tc>
          <w:tcPr>
            <w:tcW w:w="1985" w:type="dxa"/>
          </w:tcPr>
          <w:p w14:paraId="42BD9D7E"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Population</w:t>
            </w:r>
          </w:p>
        </w:tc>
        <w:tc>
          <w:tcPr>
            <w:tcW w:w="7796" w:type="dxa"/>
          </w:tcPr>
          <w:p w14:paraId="7F4FC655" w14:textId="77777777" w:rsidR="007E4701" w:rsidRDefault="007E4701" w:rsidP="00B7183E">
            <w:pPr>
              <w:pStyle w:val="ListParagraph"/>
              <w:numPr>
                <w:ilvl w:val="0"/>
                <w:numId w:val="31"/>
              </w:numPr>
              <w:spacing w:after="40" w:line="240" w:lineRule="auto"/>
              <w:ind w:left="459" w:hanging="425"/>
              <w:contextualSpacing/>
              <w:rPr>
                <w:rFonts w:ascii="Arial Narrow" w:hAnsi="Arial Narrow" w:cs="Arial Narrow"/>
                <w:bCs/>
                <w:sz w:val="20"/>
              </w:rPr>
            </w:pPr>
            <w:r w:rsidRPr="00ED493D">
              <w:rPr>
                <w:rFonts w:ascii="Arial Narrow" w:hAnsi="Arial Narrow" w:cs="Arial Narrow"/>
                <w:bCs/>
                <w:sz w:val="20"/>
              </w:rPr>
              <w:t>Paediatric</w:t>
            </w:r>
            <w:r>
              <w:rPr>
                <w:rFonts w:ascii="Arial Narrow" w:hAnsi="Arial Narrow" w:cs="Arial Narrow"/>
                <w:bCs/>
                <w:sz w:val="20"/>
              </w:rPr>
              <w:t xml:space="preserve"> female</w:t>
            </w:r>
            <w:r w:rsidRPr="00ED493D">
              <w:rPr>
                <w:rFonts w:ascii="Arial Narrow" w:hAnsi="Arial Narrow" w:cs="Arial Narrow"/>
                <w:bCs/>
                <w:sz w:val="20"/>
              </w:rPr>
              <w:t xml:space="preserve"> patients aged 0</w:t>
            </w:r>
            <w:r>
              <w:rPr>
                <w:rFonts w:ascii="Arial Narrow" w:hAnsi="Arial Narrow" w:cs="Arial Narrow"/>
                <w:bCs/>
                <w:sz w:val="20"/>
              </w:rPr>
              <w:t>–</w:t>
            </w:r>
            <w:r w:rsidRPr="00ED493D">
              <w:rPr>
                <w:rFonts w:ascii="Arial Narrow" w:hAnsi="Arial Narrow" w:cs="Arial Narrow"/>
                <w:bCs/>
                <w:sz w:val="20"/>
              </w:rPr>
              <w:t xml:space="preserve">14 years </w:t>
            </w:r>
            <w:r>
              <w:rPr>
                <w:rFonts w:ascii="Arial Narrow" w:hAnsi="Arial Narrow" w:cs="Arial Narrow"/>
                <w:bCs/>
                <w:sz w:val="20"/>
              </w:rPr>
              <w:t xml:space="preserve">prior to receiving </w:t>
            </w:r>
            <w:r w:rsidRPr="00D86397">
              <w:rPr>
                <w:rFonts w:ascii="Arial Narrow" w:hAnsi="Arial Narrow" w:cs="Arial Narrow"/>
                <w:bCs/>
                <w:sz w:val="20"/>
              </w:rPr>
              <w:t>gonadotoxic</w:t>
            </w:r>
            <w:r>
              <w:rPr>
                <w:rFonts w:ascii="Arial Narrow" w:hAnsi="Arial Narrow" w:cs="Arial Narrow"/>
                <w:bCs/>
                <w:sz w:val="20"/>
              </w:rPr>
              <w:t xml:space="preserve"> treatment</w:t>
            </w:r>
          </w:p>
          <w:p w14:paraId="3278A9BC" w14:textId="77777777" w:rsidR="007E4701" w:rsidRPr="005F040A" w:rsidRDefault="007E4701" w:rsidP="00B7183E">
            <w:pPr>
              <w:pStyle w:val="ListParagraph"/>
              <w:numPr>
                <w:ilvl w:val="0"/>
                <w:numId w:val="31"/>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 xml:space="preserve">Adolescent/young adult </w:t>
            </w:r>
            <w:r>
              <w:rPr>
                <w:rFonts w:ascii="Arial Narrow" w:hAnsi="Arial Narrow" w:cs="Arial Narrow"/>
                <w:bCs/>
                <w:sz w:val="20"/>
              </w:rPr>
              <w:t>female</w:t>
            </w:r>
            <w:r w:rsidRPr="005F040A">
              <w:rPr>
                <w:rFonts w:ascii="Arial Narrow" w:hAnsi="Arial Narrow" w:cs="Arial Narrow"/>
                <w:bCs/>
                <w:sz w:val="20"/>
              </w:rPr>
              <w:t xml:space="preserve"> patients aged 15–25 years prior to receiving gonadotoxic treatment</w:t>
            </w:r>
          </w:p>
          <w:p w14:paraId="5A1458B4" w14:textId="77777777" w:rsidR="007E4701" w:rsidRPr="00D86397" w:rsidRDefault="007E4701" w:rsidP="00B7183E">
            <w:pPr>
              <w:pStyle w:val="ListParagraph"/>
              <w:numPr>
                <w:ilvl w:val="0"/>
                <w:numId w:val="31"/>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Adult</w:t>
            </w:r>
            <w:r>
              <w:rPr>
                <w:rFonts w:ascii="Arial Narrow" w:hAnsi="Arial Narrow" w:cs="Arial Narrow"/>
                <w:bCs/>
                <w:sz w:val="20"/>
              </w:rPr>
              <w:t xml:space="preserve"> female</w:t>
            </w:r>
            <w:r w:rsidRPr="005F040A">
              <w:rPr>
                <w:rFonts w:ascii="Arial Narrow" w:hAnsi="Arial Narrow" w:cs="Arial Narrow"/>
                <w:bCs/>
                <w:sz w:val="20"/>
              </w:rPr>
              <w:t xml:space="preserve"> patients aged 26–45 years prior to receiving gonadotoxic treatment</w:t>
            </w:r>
          </w:p>
        </w:tc>
      </w:tr>
      <w:tr w:rsidR="007E4701" w14:paraId="63768D6C" w14:textId="77777777" w:rsidTr="004D6D0A">
        <w:tc>
          <w:tcPr>
            <w:tcW w:w="1985" w:type="dxa"/>
          </w:tcPr>
          <w:p w14:paraId="4968C140"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Intervention</w:t>
            </w:r>
          </w:p>
        </w:tc>
        <w:tc>
          <w:tcPr>
            <w:tcW w:w="7796" w:type="dxa"/>
          </w:tcPr>
          <w:p w14:paraId="52CA9967" w14:textId="77777777" w:rsidR="007E4701" w:rsidRPr="001B2A30" w:rsidRDefault="007E4701" w:rsidP="00B7183E">
            <w:pPr>
              <w:pStyle w:val="ListParagraph"/>
              <w:numPr>
                <w:ilvl w:val="0"/>
                <w:numId w:val="46"/>
              </w:numPr>
              <w:spacing w:after="40" w:line="240" w:lineRule="auto"/>
              <w:rPr>
                <w:rFonts w:ascii="Arial Narrow" w:hAnsi="Arial Narrow" w:cs="Arial Narrow"/>
                <w:bCs/>
                <w:sz w:val="20"/>
              </w:rPr>
            </w:pPr>
            <w:r w:rsidRPr="001B2A30">
              <w:rPr>
                <w:rFonts w:ascii="Arial Narrow" w:hAnsi="Arial Narrow" w:cs="Arial Narrow"/>
                <w:bCs/>
                <w:sz w:val="20"/>
              </w:rPr>
              <w:t>AMH test in addition to other standard tests, to measure ovarian reserve to determine if cryopreservation of ovarian tissue, oocytes or embryos for fertility preservation is required, and predict chance of success of fertility preservation</w:t>
            </w:r>
          </w:p>
          <w:p w14:paraId="416BE680" w14:textId="77777777" w:rsidR="007E4701" w:rsidRPr="001B2A30" w:rsidRDefault="007E4701" w:rsidP="00B7183E">
            <w:pPr>
              <w:pStyle w:val="ListParagraph"/>
              <w:numPr>
                <w:ilvl w:val="0"/>
                <w:numId w:val="46"/>
              </w:numPr>
              <w:spacing w:after="40" w:line="240" w:lineRule="auto"/>
              <w:rPr>
                <w:rFonts w:ascii="Arial Narrow" w:hAnsi="Arial Narrow" w:cs="Arial Narrow"/>
                <w:bCs/>
                <w:sz w:val="20"/>
              </w:rPr>
            </w:pPr>
            <w:r w:rsidRPr="001B2A30">
              <w:rPr>
                <w:rFonts w:ascii="Arial Narrow" w:hAnsi="Arial Narrow" w:cs="Arial Narrow"/>
                <w:bCs/>
                <w:sz w:val="20"/>
              </w:rPr>
              <w:t>AMH test in addition to other standard tests, to predict response to superovulation and determine the level of hormones used</w:t>
            </w:r>
          </w:p>
        </w:tc>
      </w:tr>
      <w:tr w:rsidR="007E4701" w14:paraId="143DEFD1" w14:textId="77777777" w:rsidTr="004D6D0A">
        <w:tc>
          <w:tcPr>
            <w:tcW w:w="1985" w:type="dxa"/>
          </w:tcPr>
          <w:p w14:paraId="561C48AB"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Comparators</w:t>
            </w:r>
          </w:p>
        </w:tc>
        <w:tc>
          <w:tcPr>
            <w:tcW w:w="7796" w:type="dxa"/>
          </w:tcPr>
          <w:p w14:paraId="161C9932" w14:textId="7D79C36F" w:rsidR="007E4701" w:rsidRPr="003B543C" w:rsidRDefault="007E4701" w:rsidP="00B7183E">
            <w:pPr>
              <w:numPr>
                <w:ilvl w:val="0"/>
                <w:numId w:val="47"/>
              </w:numPr>
              <w:spacing w:after="40" w:line="240" w:lineRule="auto"/>
              <w:rPr>
                <w:rFonts w:ascii="Arial Narrow" w:hAnsi="Arial Narrow" w:cs="Arial Narrow"/>
                <w:bCs/>
                <w:sz w:val="20"/>
              </w:rPr>
            </w:pPr>
            <w:r>
              <w:rPr>
                <w:rFonts w:ascii="Arial Narrow" w:hAnsi="Arial Narrow" w:cs="Arial Narrow"/>
                <w:bCs/>
                <w:sz w:val="20"/>
              </w:rPr>
              <w:t xml:space="preserve">Other standard tests (FSH, </w:t>
            </w:r>
            <w:r w:rsidR="000828FE">
              <w:rPr>
                <w:rFonts w:ascii="Arial Narrow" w:hAnsi="Arial Narrow" w:cs="Arial Narrow"/>
                <w:bCs/>
                <w:sz w:val="20"/>
              </w:rPr>
              <w:t>E2</w:t>
            </w:r>
            <w:r>
              <w:rPr>
                <w:rFonts w:ascii="Arial Narrow" w:hAnsi="Arial Narrow" w:cs="Arial Narrow"/>
                <w:bCs/>
                <w:sz w:val="20"/>
              </w:rPr>
              <w:t>,</w:t>
            </w:r>
            <w:r w:rsidRPr="002E192E">
              <w:rPr>
                <w:rFonts w:ascii="Arial Narrow" w:hAnsi="Arial Narrow" w:cs="Arial Narrow"/>
                <w:bCs/>
                <w:sz w:val="20"/>
              </w:rPr>
              <w:t xml:space="preserve"> AFC ultrasound if post-pubertal</w:t>
            </w:r>
            <w:r>
              <w:rPr>
                <w:rFonts w:ascii="Arial Narrow" w:hAnsi="Arial Narrow" w:cs="Arial Narrow"/>
                <w:bCs/>
                <w:sz w:val="20"/>
              </w:rPr>
              <w:t xml:space="preserve">) to measure ovarian reserve </w:t>
            </w:r>
            <w:r w:rsidRPr="007A0751">
              <w:rPr>
                <w:rFonts w:ascii="Arial Narrow" w:hAnsi="Arial Narrow" w:cs="Arial Narrow"/>
                <w:bCs/>
                <w:sz w:val="20"/>
              </w:rPr>
              <w:t xml:space="preserve">to determine if </w:t>
            </w:r>
            <w:r w:rsidRPr="003C79EB">
              <w:rPr>
                <w:rFonts w:ascii="Arial Narrow" w:hAnsi="Arial Narrow" w:cs="Arial Narrow"/>
                <w:bCs/>
                <w:sz w:val="20"/>
              </w:rPr>
              <w:t>cryopreservation of</w:t>
            </w:r>
            <w:r>
              <w:rPr>
                <w:rFonts w:ascii="Arial Narrow" w:hAnsi="Arial Narrow" w:cs="Arial Narrow"/>
                <w:bCs/>
                <w:sz w:val="20"/>
              </w:rPr>
              <w:t xml:space="preserve"> ovarian</w:t>
            </w:r>
            <w:r w:rsidRPr="003C79EB">
              <w:rPr>
                <w:rFonts w:ascii="Arial Narrow" w:hAnsi="Arial Narrow" w:cs="Arial Narrow"/>
                <w:bCs/>
                <w:sz w:val="20"/>
              </w:rPr>
              <w:t xml:space="preserve"> tissue</w:t>
            </w:r>
            <w:r>
              <w:rPr>
                <w:rFonts w:ascii="Arial Narrow" w:hAnsi="Arial Narrow" w:cs="Arial Narrow"/>
                <w:bCs/>
                <w:sz w:val="20"/>
              </w:rPr>
              <w:t>, oocytes</w:t>
            </w:r>
            <w:r w:rsidRPr="003C79EB">
              <w:rPr>
                <w:rFonts w:ascii="Arial Narrow" w:hAnsi="Arial Narrow" w:cs="Arial Narrow"/>
                <w:bCs/>
                <w:sz w:val="20"/>
              </w:rPr>
              <w:t xml:space="preserve"> </w:t>
            </w:r>
            <w:r>
              <w:rPr>
                <w:rFonts w:ascii="Arial Narrow" w:hAnsi="Arial Narrow" w:cs="Arial Narrow"/>
                <w:bCs/>
                <w:sz w:val="20"/>
              </w:rPr>
              <w:t xml:space="preserve">or embryos </w:t>
            </w:r>
            <w:r w:rsidRPr="003C79EB">
              <w:rPr>
                <w:rFonts w:ascii="Arial Narrow" w:hAnsi="Arial Narrow" w:cs="Arial Narrow"/>
                <w:bCs/>
                <w:sz w:val="20"/>
              </w:rPr>
              <w:t>for</w:t>
            </w:r>
            <w:r>
              <w:rPr>
                <w:rFonts w:ascii="Arial Narrow" w:hAnsi="Arial Narrow" w:cs="Arial Narrow"/>
                <w:bCs/>
                <w:sz w:val="20"/>
              </w:rPr>
              <w:t xml:space="preserve"> fertility </w:t>
            </w:r>
            <w:r>
              <w:rPr>
                <w:rFonts w:ascii="Arial Narrow" w:hAnsi="Arial Narrow" w:cs="Arial Narrow"/>
                <w:bCs/>
                <w:sz w:val="20"/>
              </w:rPr>
              <w:lastRenderedPageBreak/>
              <w:t>preservation is required, and predict chance of success of fertility preservation</w:t>
            </w:r>
          </w:p>
          <w:p w14:paraId="622DDB2B" w14:textId="4D1C0373" w:rsidR="007E4701" w:rsidRPr="002E192E" w:rsidRDefault="007E4701" w:rsidP="00B7183E">
            <w:pPr>
              <w:numPr>
                <w:ilvl w:val="0"/>
                <w:numId w:val="47"/>
              </w:numPr>
              <w:spacing w:after="40" w:line="240" w:lineRule="auto"/>
              <w:rPr>
                <w:rFonts w:ascii="Arial Narrow" w:hAnsi="Arial Narrow" w:cs="Arial Narrow"/>
                <w:bCs/>
                <w:sz w:val="20"/>
              </w:rPr>
            </w:pPr>
            <w:r w:rsidRPr="002E192E">
              <w:rPr>
                <w:rFonts w:ascii="Arial Narrow" w:hAnsi="Arial Narrow" w:cs="Arial Narrow"/>
                <w:bCs/>
                <w:sz w:val="20"/>
              </w:rPr>
              <w:t>Other</w:t>
            </w:r>
            <w:r>
              <w:rPr>
                <w:rFonts w:ascii="Arial Narrow" w:hAnsi="Arial Narrow" w:cs="Arial Narrow"/>
                <w:bCs/>
                <w:sz w:val="20"/>
              </w:rPr>
              <w:t xml:space="preserve"> standard</w:t>
            </w:r>
            <w:r w:rsidRPr="002E192E">
              <w:rPr>
                <w:rFonts w:ascii="Arial Narrow" w:hAnsi="Arial Narrow" w:cs="Arial Narrow"/>
                <w:bCs/>
                <w:sz w:val="20"/>
              </w:rPr>
              <w:t xml:space="preserve"> tests (FSH,</w:t>
            </w:r>
            <w:r>
              <w:rPr>
                <w:rFonts w:ascii="Arial Narrow" w:hAnsi="Arial Narrow" w:cs="Arial Narrow"/>
                <w:bCs/>
                <w:sz w:val="20"/>
              </w:rPr>
              <w:t xml:space="preserve"> </w:t>
            </w:r>
            <w:r w:rsidR="000828FE">
              <w:rPr>
                <w:rFonts w:ascii="Arial Narrow" w:hAnsi="Arial Narrow" w:cs="Arial Narrow"/>
                <w:bCs/>
                <w:sz w:val="20"/>
              </w:rPr>
              <w:t>E2</w:t>
            </w:r>
            <w:r>
              <w:rPr>
                <w:rFonts w:ascii="Arial Narrow" w:hAnsi="Arial Narrow" w:cs="Arial Narrow"/>
                <w:bCs/>
                <w:sz w:val="20"/>
              </w:rPr>
              <w:t>,</w:t>
            </w:r>
            <w:r w:rsidRPr="00005BE9">
              <w:rPr>
                <w:rFonts w:ascii="Arial Narrow" w:hAnsi="Arial Narrow" w:cs="Arial Narrow"/>
                <w:bCs/>
                <w:sz w:val="20"/>
              </w:rPr>
              <w:t xml:space="preserve"> </w:t>
            </w:r>
            <w:r w:rsidRPr="00DA139E">
              <w:rPr>
                <w:rFonts w:ascii="Arial Narrow" w:hAnsi="Arial Narrow" w:cs="Arial Narrow"/>
                <w:bCs/>
                <w:sz w:val="20"/>
              </w:rPr>
              <w:t>AFC ultrasound if post-pubertal</w:t>
            </w:r>
            <w:r w:rsidRPr="002E192E">
              <w:rPr>
                <w:rFonts w:ascii="Arial Narrow" w:hAnsi="Arial Narrow" w:cs="Arial Narrow"/>
                <w:bCs/>
                <w:sz w:val="20"/>
              </w:rPr>
              <w:t xml:space="preserve">) to </w:t>
            </w:r>
            <w:r>
              <w:rPr>
                <w:rFonts w:ascii="Arial Narrow" w:hAnsi="Arial Narrow" w:cs="Arial Narrow"/>
                <w:bCs/>
                <w:sz w:val="20"/>
              </w:rPr>
              <w:t>predict response to superovulation</w:t>
            </w:r>
            <w:r w:rsidRPr="002E192E">
              <w:rPr>
                <w:rFonts w:ascii="Arial Narrow" w:hAnsi="Arial Narrow" w:cs="Arial Narrow"/>
                <w:bCs/>
                <w:sz w:val="20"/>
              </w:rPr>
              <w:t xml:space="preserve"> </w:t>
            </w:r>
            <w:r>
              <w:rPr>
                <w:rFonts w:ascii="Arial Narrow" w:hAnsi="Arial Narrow" w:cs="Arial Narrow"/>
                <w:bCs/>
                <w:sz w:val="20"/>
              </w:rPr>
              <w:t>and determine the level of hormones used</w:t>
            </w:r>
          </w:p>
        </w:tc>
      </w:tr>
      <w:tr w:rsidR="007E4701" w14:paraId="0488E747" w14:textId="77777777" w:rsidTr="004D6D0A">
        <w:tc>
          <w:tcPr>
            <w:tcW w:w="1985" w:type="dxa"/>
          </w:tcPr>
          <w:p w14:paraId="2725EDAF"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lastRenderedPageBreak/>
              <w:t>Outcomes</w:t>
            </w:r>
          </w:p>
        </w:tc>
        <w:tc>
          <w:tcPr>
            <w:tcW w:w="7796" w:type="dxa"/>
          </w:tcPr>
          <w:p w14:paraId="751C145C" w14:textId="77777777" w:rsidR="007E4701" w:rsidRDefault="007E4701" w:rsidP="00123D7B">
            <w:pPr>
              <w:pStyle w:val="ListParagraph"/>
              <w:autoSpaceDE w:val="0"/>
              <w:autoSpaceDN w:val="0"/>
              <w:adjustRightInd w:val="0"/>
              <w:spacing w:after="40"/>
              <w:contextualSpacing/>
              <w:rPr>
                <w:rFonts w:ascii="Arial Narrow" w:hAnsi="Arial Narrow" w:cs="Arial Narrow"/>
                <w:bCs/>
                <w:sz w:val="20"/>
                <w:szCs w:val="20"/>
              </w:rPr>
            </w:pPr>
            <w:r>
              <w:rPr>
                <w:rFonts w:ascii="Arial Narrow" w:hAnsi="Arial Narrow" w:cs="Arial Narrow"/>
                <w:bCs/>
                <w:sz w:val="20"/>
                <w:szCs w:val="20"/>
              </w:rPr>
              <w:t>C</w:t>
            </w:r>
            <w:r w:rsidRPr="00772440">
              <w:rPr>
                <w:rFonts w:ascii="Arial Narrow" w:hAnsi="Arial Narrow" w:cs="Arial Narrow"/>
                <w:bCs/>
                <w:sz w:val="20"/>
                <w:szCs w:val="20"/>
              </w:rPr>
              <w:t>hange in</w:t>
            </w:r>
            <w:r>
              <w:rPr>
                <w:rFonts w:ascii="Arial Narrow" w:hAnsi="Arial Narrow" w:cs="Arial Narrow"/>
                <w:bCs/>
                <w:sz w:val="20"/>
                <w:szCs w:val="20"/>
              </w:rPr>
              <w:t xml:space="preserve"> fertility preservation</w:t>
            </w:r>
            <w:r w:rsidRPr="00772440">
              <w:rPr>
                <w:rFonts w:ascii="Arial Narrow" w:hAnsi="Arial Narrow" w:cs="Arial Narrow"/>
                <w:bCs/>
                <w:sz w:val="20"/>
                <w:szCs w:val="20"/>
              </w:rPr>
              <w:t xml:space="preserve"> pathway (</w:t>
            </w:r>
            <w:r>
              <w:rPr>
                <w:rFonts w:ascii="Arial Narrow" w:hAnsi="Arial Narrow" w:cs="Arial Narrow"/>
                <w:bCs/>
                <w:sz w:val="20"/>
                <w:szCs w:val="20"/>
              </w:rPr>
              <w:t>cryopreservation of oocytes and/or ovarian tissue undertaken or avoided</w:t>
            </w:r>
            <w:r w:rsidRPr="00772440">
              <w:rPr>
                <w:rFonts w:ascii="Arial Narrow" w:hAnsi="Arial Narrow" w:cs="Arial Narrow"/>
                <w:bCs/>
                <w:sz w:val="20"/>
                <w:szCs w:val="20"/>
              </w:rPr>
              <w:t>), patient compliance, ti</w:t>
            </w:r>
            <w:r>
              <w:rPr>
                <w:rFonts w:ascii="Arial Narrow" w:hAnsi="Arial Narrow" w:cs="Arial Narrow"/>
                <w:bCs/>
                <w:sz w:val="20"/>
                <w:szCs w:val="20"/>
              </w:rPr>
              <w:t>me from testing to gonadotoxic treatment</w:t>
            </w:r>
          </w:p>
          <w:p w14:paraId="5145F9B1" w14:textId="77777777" w:rsidR="007E4701" w:rsidRPr="00772440" w:rsidRDefault="007E4701" w:rsidP="00123D7B">
            <w:pPr>
              <w:pStyle w:val="ListParagraph"/>
              <w:autoSpaceDE w:val="0"/>
              <w:autoSpaceDN w:val="0"/>
              <w:adjustRightInd w:val="0"/>
              <w:spacing w:after="40"/>
              <w:contextualSpacing/>
              <w:rPr>
                <w:rFonts w:ascii="Arial Narrow" w:hAnsi="Arial Narrow" w:cs="Arial Narrow"/>
                <w:bCs/>
                <w:sz w:val="20"/>
                <w:szCs w:val="20"/>
              </w:rPr>
            </w:pPr>
            <w:r>
              <w:rPr>
                <w:rFonts w:ascii="Arial Narrow" w:hAnsi="Arial Narrow" w:cs="Arial Narrow"/>
                <w:bCs/>
                <w:sz w:val="20"/>
                <w:szCs w:val="20"/>
              </w:rPr>
              <w:t>Levels of hormones used for superovulation</w:t>
            </w:r>
          </w:p>
        </w:tc>
      </w:tr>
      <w:tr w:rsidR="007E4701" w14:paraId="4E2D565F" w14:textId="77777777" w:rsidTr="004D6D0A">
        <w:tc>
          <w:tcPr>
            <w:tcW w:w="1985" w:type="dxa"/>
          </w:tcPr>
          <w:p w14:paraId="131D3875"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Study design</w:t>
            </w:r>
          </w:p>
        </w:tc>
        <w:tc>
          <w:tcPr>
            <w:tcW w:w="7796" w:type="dxa"/>
          </w:tcPr>
          <w:p w14:paraId="630B93AE" w14:textId="77777777" w:rsidR="007E4701" w:rsidRPr="00772440" w:rsidRDefault="007E4701" w:rsidP="00123D7B">
            <w:pPr>
              <w:autoSpaceDE w:val="0"/>
              <w:autoSpaceDN w:val="0"/>
              <w:adjustRightInd w:val="0"/>
              <w:spacing w:after="40"/>
              <w:rPr>
                <w:rFonts w:ascii="Arial Narrow" w:hAnsi="Arial Narrow" w:cs="Arial Narrow"/>
                <w:bCs/>
                <w:sz w:val="20"/>
              </w:rPr>
            </w:pPr>
            <w:r w:rsidRPr="00772440">
              <w:rPr>
                <w:rFonts w:ascii="Arial Narrow" w:hAnsi="Arial Narrow" w:cs="Arial Narrow"/>
                <w:bCs/>
                <w:sz w:val="20"/>
              </w:rPr>
              <w:t>Randomised trials, cohort studies, case series or systematic reviews of these study designs</w:t>
            </w:r>
          </w:p>
        </w:tc>
      </w:tr>
      <w:tr w:rsidR="007E4701" w14:paraId="0FAEBE25" w14:textId="77777777" w:rsidTr="004D6D0A">
        <w:tc>
          <w:tcPr>
            <w:tcW w:w="1985" w:type="dxa"/>
          </w:tcPr>
          <w:p w14:paraId="3C576463"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Search period</w:t>
            </w:r>
          </w:p>
        </w:tc>
        <w:tc>
          <w:tcPr>
            <w:tcW w:w="7796" w:type="dxa"/>
          </w:tcPr>
          <w:p w14:paraId="7FB2F6B0" w14:textId="074F2E54" w:rsidR="007E4701" w:rsidRPr="00772440" w:rsidRDefault="007E4701" w:rsidP="00123D7B">
            <w:pPr>
              <w:autoSpaceDE w:val="0"/>
              <w:autoSpaceDN w:val="0"/>
              <w:adjustRightInd w:val="0"/>
              <w:spacing w:after="40"/>
              <w:rPr>
                <w:rFonts w:ascii="Arial Narrow" w:hAnsi="Arial Narrow" w:cs="Arial Narrow"/>
                <w:bCs/>
                <w:sz w:val="20"/>
              </w:rPr>
            </w:pPr>
            <w:r w:rsidRPr="00772440">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 2017</w:t>
            </w:r>
          </w:p>
        </w:tc>
      </w:tr>
      <w:tr w:rsidR="007E4701" w14:paraId="7F157C31" w14:textId="77777777" w:rsidTr="004D6D0A">
        <w:tc>
          <w:tcPr>
            <w:tcW w:w="1985" w:type="dxa"/>
          </w:tcPr>
          <w:p w14:paraId="3DC13CD3"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Language</w:t>
            </w:r>
          </w:p>
        </w:tc>
        <w:tc>
          <w:tcPr>
            <w:tcW w:w="7796" w:type="dxa"/>
          </w:tcPr>
          <w:p w14:paraId="39474B03" w14:textId="7E473FA3" w:rsidR="007E4701" w:rsidRPr="00772440" w:rsidRDefault="007E4701" w:rsidP="00123D7B">
            <w:pPr>
              <w:autoSpaceDE w:val="0"/>
              <w:autoSpaceDN w:val="0"/>
              <w:adjustRightInd w:val="0"/>
              <w:spacing w:after="40"/>
              <w:rPr>
                <w:rFonts w:ascii="Arial Narrow" w:hAnsi="Arial Narrow" w:cs="Arial Narrow"/>
                <w:bCs/>
                <w:sz w:val="20"/>
              </w:rPr>
            </w:pPr>
            <w:r w:rsidRPr="00772440">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772440">
              <w:rPr>
                <w:rFonts w:ascii="Arial Narrow" w:hAnsi="Arial Narrow" w:cs="Arial Narrow"/>
                <w:bCs/>
                <w:sz w:val="20"/>
              </w:rPr>
              <w:t>base</w:t>
            </w:r>
          </w:p>
        </w:tc>
      </w:tr>
      <w:tr w:rsidR="007E4701" w14:paraId="1CDD43B4" w14:textId="77777777" w:rsidTr="004D6D0A">
        <w:tc>
          <w:tcPr>
            <w:tcW w:w="9781" w:type="dxa"/>
            <w:gridSpan w:val="2"/>
          </w:tcPr>
          <w:p w14:paraId="764A564A" w14:textId="7EFF0B09" w:rsidR="007E4701" w:rsidRPr="00772440" w:rsidRDefault="007E4701" w:rsidP="000828FE">
            <w:pPr>
              <w:spacing w:after="40"/>
              <w:jc w:val="both"/>
              <w:rPr>
                <w:rFonts w:ascii="Arial Narrow" w:hAnsi="Arial Narrow" w:cs="Arial Narrow"/>
                <w:b/>
                <w:bCs/>
                <w:sz w:val="20"/>
              </w:rPr>
            </w:pPr>
            <w:r>
              <w:rPr>
                <w:rFonts w:ascii="Arial Narrow" w:hAnsi="Arial Narrow" w:cs="Arial Narrow"/>
                <w:b/>
                <w:bCs/>
                <w:sz w:val="20"/>
              </w:rPr>
              <w:t>Does the addition of the AMH test lead to</w:t>
            </w:r>
            <w:r w:rsidRPr="00772440">
              <w:rPr>
                <w:rFonts w:ascii="Arial Narrow" w:hAnsi="Arial Narrow" w:cs="Arial Narrow"/>
                <w:b/>
                <w:bCs/>
                <w:sz w:val="20"/>
              </w:rPr>
              <w:t xml:space="preserve"> a change in </w:t>
            </w:r>
            <w:r w:rsidRPr="00EA0F5B">
              <w:rPr>
                <w:rFonts w:ascii="Arial Narrow" w:hAnsi="Arial Narrow" w:cs="Arial Narrow"/>
                <w:b/>
                <w:bCs/>
                <w:sz w:val="20"/>
              </w:rPr>
              <w:t>management in</w:t>
            </w:r>
            <w:r w:rsidRPr="00AD31F5">
              <w:rPr>
                <w:rFonts w:ascii="Arial Narrow" w:hAnsi="Arial Narrow" w:cs="Arial Narrow"/>
                <w:b/>
                <w:bCs/>
                <w:sz w:val="20"/>
              </w:rPr>
              <w:t xml:space="preserve"> female</w:t>
            </w:r>
            <w:r w:rsidRPr="00772440">
              <w:rPr>
                <w:rFonts w:ascii="Arial Narrow" w:hAnsi="Arial Narrow" w:cs="Arial Narrow"/>
                <w:b/>
                <w:bCs/>
                <w:sz w:val="20"/>
              </w:rPr>
              <w:t xml:space="preserve"> patients</w:t>
            </w:r>
            <w:r>
              <w:rPr>
                <w:rFonts w:ascii="Arial Narrow" w:hAnsi="Arial Narrow" w:cs="Arial Narrow"/>
                <w:b/>
                <w:bCs/>
                <w:sz w:val="20"/>
              </w:rPr>
              <w:t xml:space="preserve"> prior to receiving gonadotoxic treatment</w:t>
            </w:r>
            <w:r w:rsidRPr="00772440">
              <w:rPr>
                <w:rFonts w:ascii="Arial Narrow" w:hAnsi="Arial Narrow" w:cs="Arial Narrow"/>
                <w:b/>
                <w:bCs/>
                <w:sz w:val="20"/>
              </w:rPr>
              <w:t xml:space="preserve">, compared to </w:t>
            </w:r>
            <w:r>
              <w:rPr>
                <w:rFonts w:ascii="Arial Narrow" w:hAnsi="Arial Narrow" w:cs="Arial Narrow"/>
                <w:b/>
                <w:bCs/>
                <w:sz w:val="20"/>
              </w:rPr>
              <w:t xml:space="preserve">FSH, </w:t>
            </w:r>
            <w:r w:rsidR="000828FE">
              <w:rPr>
                <w:rFonts w:ascii="Arial Narrow" w:hAnsi="Arial Narrow" w:cs="Arial Narrow"/>
                <w:b/>
                <w:bCs/>
                <w:sz w:val="20"/>
              </w:rPr>
              <w:t>E2</w:t>
            </w:r>
            <w:r>
              <w:rPr>
                <w:rFonts w:ascii="Arial Narrow" w:hAnsi="Arial Narrow" w:cs="Arial Narrow"/>
                <w:b/>
                <w:bCs/>
                <w:sz w:val="20"/>
              </w:rPr>
              <w:t xml:space="preserve"> and/or</w:t>
            </w:r>
            <w:r w:rsidRPr="00A651F2">
              <w:rPr>
                <w:rFonts w:ascii="Arial Narrow" w:hAnsi="Arial Narrow" w:cs="Arial Narrow"/>
                <w:b/>
                <w:bCs/>
                <w:sz w:val="20"/>
              </w:rPr>
              <w:t xml:space="preserve"> AFC ultrasound</w:t>
            </w:r>
            <w:r>
              <w:rPr>
                <w:rFonts w:ascii="Arial Narrow" w:hAnsi="Arial Narrow" w:cs="Arial Narrow"/>
                <w:b/>
                <w:bCs/>
                <w:sz w:val="20"/>
              </w:rPr>
              <w:t xml:space="preserve"> alone</w:t>
            </w:r>
            <w:r w:rsidRPr="00772440">
              <w:rPr>
                <w:rFonts w:ascii="Arial Narrow" w:hAnsi="Arial Narrow" w:cs="Arial Narrow"/>
                <w:b/>
                <w:bCs/>
                <w:sz w:val="20"/>
              </w:rPr>
              <w:t>?</w:t>
            </w:r>
          </w:p>
        </w:tc>
      </w:tr>
    </w:tbl>
    <w:p w14:paraId="6F7B1CBD" w14:textId="46BD25DF" w:rsidR="007E4701" w:rsidRPr="009B416A" w:rsidRDefault="007E4701" w:rsidP="007E4701">
      <w:pPr>
        <w:pStyle w:val="TableNotes1"/>
        <w:rPr>
          <w:sz w:val="18"/>
          <w:szCs w:val="18"/>
        </w:rPr>
      </w:pPr>
      <w:r w:rsidRPr="009B416A">
        <w:rPr>
          <w:sz w:val="18"/>
          <w:szCs w:val="18"/>
        </w:rPr>
        <w:t xml:space="preserve">AFC = antral follicle count; AMH = anti-Müllerian hormone; </w:t>
      </w:r>
      <w:r w:rsidR="000828FE" w:rsidRPr="009B416A">
        <w:rPr>
          <w:sz w:val="18"/>
          <w:szCs w:val="18"/>
        </w:rPr>
        <w:t xml:space="preserve">E2 = estradiol; </w:t>
      </w:r>
      <w:r w:rsidRPr="009B416A">
        <w:rPr>
          <w:sz w:val="18"/>
          <w:szCs w:val="18"/>
        </w:rPr>
        <w:t>FSH = follicular stimulating hormone</w:t>
      </w:r>
    </w:p>
    <w:bookmarkStart w:id="170" w:name="_Ref478567779"/>
    <w:bookmarkStart w:id="171" w:name="_Toc491849016"/>
    <w:p w14:paraId="4CB1DEF3" w14:textId="041A694E" w:rsidR="000214B4" w:rsidRDefault="008C57D4" w:rsidP="000214B4">
      <w:pPr>
        <w:jc w:val="both"/>
      </w:pPr>
      <w:r>
        <w:fldChar w:fldCharType="begin"/>
      </w:r>
      <w:r>
        <w:instrText xml:space="preserve"> REF _Ref502758260 \h </w:instrText>
      </w:r>
      <w:r>
        <w:fldChar w:fldCharType="separate"/>
      </w:r>
      <w:r w:rsidR="00AC4BE5">
        <w:t xml:space="preserve">Table </w:t>
      </w:r>
      <w:r w:rsidR="00AC4BE5">
        <w:rPr>
          <w:noProof/>
        </w:rPr>
        <w:t>19</w:t>
      </w:r>
      <w:r>
        <w:fldChar w:fldCharType="end"/>
      </w:r>
      <w:r>
        <w:t xml:space="preserve"> </w:t>
      </w:r>
      <w:r w:rsidR="000214B4">
        <w:t>outlines the criteria to be used for assessing the impact of a change in fertility preservation options. Assessment of the effectiveness of cryopreservation of ovarian tissue was assessed in MSAC 1435 (Part B: females). It was stated in the research protocol that if other changes in management were identified, such as differential use of hormone treatment, then the health impact of these would be assessed.</w:t>
      </w:r>
    </w:p>
    <w:p w14:paraId="45120BE8" w14:textId="559C5A1C" w:rsidR="007E4701" w:rsidRDefault="007E4701" w:rsidP="007E4701">
      <w:pPr>
        <w:pStyle w:val="TableHeading"/>
        <w:ind w:left="1134" w:hanging="1134"/>
      </w:pPr>
      <w:bookmarkStart w:id="172" w:name="_Ref502758260"/>
      <w:bookmarkStart w:id="173" w:name="_Toc502833037"/>
      <w:r>
        <w:t xml:space="preserve">Table </w:t>
      </w:r>
      <w:r w:rsidR="00AC4BE5">
        <w:fldChar w:fldCharType="begin"/>
      </w:r>
      <w:r w:rsidR="00AC4BE5">
        <w:instrText xml:space="preserve"> SEQ Table \* ARABIC </w:instrText>
      </w:r>
      <w:r w:rsidR="00AC4BE5">
        <w:fldChar w:fldCharType="separate"/>
      </w:r>
      <w:r w:rsidR="00AC4BE5">
        <w:rPr>
          <w:noProof/>
        </w:rPr>
        <w:t>19</w:t>
      </w:r>
      <w:r w:rsidR="00AC4BE5">
        <w:rPr>
          <w:noProof/>
        </w:rPr>
        <w:fldChar w:fldCharType="end"/>
      </w:r>
      <w:bookmarkEnd w:id="170"/>
      <w:bookmarkEnd w:id="172"/>
      <w:r w:rsidR="005F1001">
        <w:tab/>
      </w:r>
      <w:r w:rsidRPr="00251003">
        <w:t xml:space="preserve">PICO criteria </w:t>
      </w:r>
      <w:r>
        <w:t>and research question</w:t>
      </w:r>
      <w:r w:rsidRPr="003D26BF">
        <w:t xml:space="preserve"> </w:t>
      </w:r>
      <w:r w:rsidRPr="00251003">
        <w:t xml:space="preserve">to determine the effectiveness of </w:t>
      </w:r>
      <w:r>
        <w:t>change in management in population 1, 2 and 3</w:t>
      </w:r>
      <w:bookmarkEnd w:id="171"/>
      <w:bookmarkEnd w:id="173"/>
    </w:p>
    <w:tbl>
      <w:tblPr>
        <w:tblStyle w:val="TableGrid1"/>
        <w:tblW w:w="0" w:type="auto"/>
        <w:tblLook w:val="04A0" w:firstRow="1" w:lastRow="0" w:firstColumn="1" w:lastColumn="0" w:noHBand="0" w:noVBand="1"/>
        <w:tblDescription w:val="PICO criteria and research question to determine the effectiveness of change in management in population 1, 2 and 3"/>
      </w:tblPr>
      <w:tblGrid>
        <w:gridCol w:w="1923"/>
        <w:gridCol w:w="7319"/>
      </w:tblGrid>
      <w:tr w:rsidR="007E4701" w14:paraId="69CA528F" w14:textId="77777777" w:rsidTr="005F1001">
        <w:trPr>
          <w:cnfStyle w:val="100000000000" w:firstRow="1" w:lastRow="0" w:firstColumn="0" w:lastColumn="0" w:oddVBand="0" w:evenVBand="0" w:oddHBand="0" w:evenHBand="0" w:firstRowFirstColumn="0" w:firstRowLastColumn="0" w:lastRowFirstColumn="0" w:lastRowLastColumn="0"/>
          <w:tblHeader/>
        </w:trPr>
        <w:tc>
          <w:tcPr>
            <w:tcW w:w="1985" w:type="dxa"/>
          </w:tcPr>
          <w:p w14:paraId="605F9314"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Population</w:t>
            </w:r>
          </w:p>
        </w:tc>
        <w:tc>
          <w:tcPr>
            <w:tcW w:w="7796" w:type="dxa"/>
          </w:tcPr>
          <w:p w14:paraId="4D9A5143" w14:textId="77777777" w:rsidR="007E4701" w:rsidRDefault="007E4701" w:rsidP="00B7183E">
            <w:pPr>
              <w:pStyle w:val="ListParagraph"/>
              <w:numPr>
                <w:ilvl w:val="0"/>
                <w:numId w:val="36"/>
              </w:numPr>
              <w:spacing w:after="40" w:line="240" w:lineRule="auto"/>
              <w:ind w:left="450" w:hanging="425"/>
              <w:contextualSpacing/>
              <w:rPr>
                <w:rFonts w:ascii="Arial Narrow" w:hAnsi="Arial Narrow" w:cs="Arial Narrow"/>
                <w:bCs/>
                <w:sz w:val="20"/>
              </w:rPr>
            </w:pPr>
            <w:r w:rsidRPr="00ED493D">
              <w:rPr>
                <w:rFonts w:ascii="Arial Narrow" w:hAnsi="Arial Narrow" w:cs="Arial Narrow"/>
                <w:bCs/>
                <w:sz w:val="20"/>
              </w:rPr>
              <w:t xml:space="preserve">Paediatric </w:t>
            </w:r>
            <w:r>
              <w:rPr>
                <w:rFonts w:ascii="Arial Narrow" w:hAnsi="Arial Narrow" w:cs="Arial Narrow"/>
                <w:bCs/>
                <w:sz w:val="20"/>
              </w:rPr>
              <w:t>female</w:t>
            </w:r>
            <w:r w:rsidRPr="00ED493D">
              <w:rPr>
                <w:rFonts w:ascii="Arial Narrow" w:hAnsi="Arial Narrow" w:cs="Arial Narrow"/>
                <w:bCs/>
                <w:sz w:val="20"/>
              </w:rPr>
              <w:t xml:space="preserve"> patients aged 0</w:t>
            </w:r>
            <w:r>
              <w:rPr>
                <w:rFonts w:ascii="Arial Narrow" w:hAnsi="Arial Narrow" w:cs="Arial Narrow"/>
                <w:bCs/>
                <w:sz w:val="20"/>
              </w:rPr>
              <w:t>–</w:t>
            </w:r>
            <w:r w:rsidRPr="00ED493D">
              <w:rPr>
                <w:rFonts w:ascii="Arial Narrow" w:hAnsi="Arial Narrow" w:cs="Arial Narrow"/>
                <w:bCs/>
                <w:sz w:val="20"/>
              </w:rPr>
              <w:t xml:space="preserve">14 years </w:t>
            </w:r>
            <w:r>
              <w:rPr>
                <w:rFonts w:ascii="Arial Narrow" w:hAnsi="Arial Narrow" w:cs="Arial Narrow"/>
                <w:bCs/>
                <w:sz w:val="20"/>
              </w:rPr>
              <w:t xml:space="preserve">prior to receiving </w:t>
            </w:r>
            <w:r w:rsidRPr="00D86397">
              <w:rPr>
                <w:rFonts w:ascii="Arial Narrow" w:hAnsi="Arial Narrow" w:cs="Arial Narrow"/>
                <w:bCs/>
                <w:sz w:val="20"/>
              </w:rPr>
              <w:t>gonadotoxic</w:t>
            </w:r>
            <w:r>
              <w:rPr>
                <w:rFonts w:ascii="Arial Narrow" w:hAnsi="Arial Narrow" w:cs="Arial Narrow"/>
                <w:bCs/>
                <w:sz w:val="20"/>
              </w:rPr>
              <w:t xml:space="preserve"> treatment</w:t>
            </w:r>
          </w:p>
          <w:p w14:paraId="342C5FDE" w14:textId="77777777" w:rsidR="007E4701" w:rsidRPr="005F040A" w:rsidRDefault="007E4701" w:rsidP="00B7183E">
            <w:pPr>
              <w:pStyle w:val="ListParagraph"/>
              <w:numPr>
                <w:ilvl w:val="0"/>
                <w:numId w:val="36"/>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 xml:space="preserve">Adolescent/young adult </w:t>
            </w:r>
            <w:r>
              <w:rPr>
                <w:rFonts w:ascii="Arial Narrow" w:hAnsi="Arial Narrow" w:cs="Arial Narrow"/>
                <w:bCs/>
                <w:sz w:val="20"/>
              </w:rPr>
              <w:t>female</w:t>
            </w:r>
            <w:r w:rsidRPr="005F040A">
              <w:rPr>
                <w:rFonts w:ascii="Arial Narrow" w:hAnsi="Arial Narrow" w:cs="Arial Narrow"/>
                <w:bCs/>
                <w:sz w:val="20"/>
              </w:rPr>
              <w:t xml:space="preserve"> patients aged 15–25 years prior to receiving gonadotoxic treatment</w:t>
            </w:r>
          </w:p>
          <w:p w14:paraId="25668A09" w14:textId="77777777" w:rsidR="007E4701" w:rsidRPr="00D86397" w:rsidRDefault="007E4701" w:rsidP="00B7183E">
            <w:pPr>
              <w:pStyle w:val="ListParagraph"/>
              <w:numPr>
                <w:ilvl w:val="0"/>
                <w:numId w:val="36"/>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Adult</w:t>
            </w:r>
            <w:r>
              <w:rPr>
                <w:rFonts w:ascii="Arial Narrow" w:hAnsi="Arial Narrow" w:cs="Arial Narrow"/>
                <w:bCs/>
                <w:sz w:val="20"/>
              </w:rPr>
              <w:t xml:space="preserve"> female</w:t>
            </w:r>
            <w:r w:rsidRPr="005F040A">
              <w:rPr>
                <w:rFonts w:ascii="Arial Narrow" w:hAnsi="Arial Narrow" w:cs="Arial Narrow"/>
                <w:bCs/>
                <w:sz w:val="20"/>
              </w:rPr>
              <w:t xml:space="preserve"> patients aged 26–45 years prior to receiving gonadotoxic treatment</w:t>
            </w:r>
          </w:p>
        </w:tc>
      </w:tr>
      <w:tr w:rsidR="007E4701" w14:paraId="56E57403" w14:textId="77777777" w:rsidTr="005F1001">
        <w:tc>
          <w:tcPr>
            <w:tcW w:w="1985" w:type="dxa"/>
          </w:tcPr>
          <w:p w14:paraId="11CE293E"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Intervention</w:t>
            </w:r>
          </w:p>
        </w:tc>
        <w:tc>
          <w:tcPr>
            <w:tcW w:w="7796" w:type="dxa"/>
          </w:tcPr>
          <w:p w14:paraId="2D10FB94" w14:textId="5BF8FEB2" w:rsidR="007E4701" w:rsidRPr="001B2A30" w:rsidRDefault="007E4701" w:rsidP="00B7183E">
            <w:pPr>
              <w:pStyle w:val="ListParagraph"/>
              <w:numPr>
                <w:ilvl w:val="0"/>
                <w:numId w:val="45"/>
              </w:numPr>
              <w:autoSpaceDE w:val="0"/>
              <w:autoSpaceDN w:val="0"/>
              <w:adjustRightInd w:val="0"/>
              <w:spacing w:after="40"/>
              <w:rPr>
                <w:rFonts w:ascii="Arial Narrow" w:hAnsi="Arial Narrow" w:cs="Arial Narrow"/>
                <w:bCs/>
                <w:sz w:val="20"/>
              </w:rPr>
            </w:pPr>
            <w:r w:rsidRPr="001B2A30">
              <w:rPr>
                <w:rFonts w:ascii="Arial Narrow" w:hAnsi="Arial Narrow" w:cs="Arial Narrow"/>
                <w:bCs/>
                <w:sz w:val="20"/>
              </w:rPr>
              <w:t>Cryopreservation of ovarian tissue for fertility preservation</w:t>
            </w:r>
            <w:r w:rsidR="001B2A30">
              <w:rPr>
                <w:rFonts w:ascii="Arial Narrow" w:hAnsi="Arial Narrow" w:cs="Arial Narrow"/>
                <w:bCs/>
                <w:sz w:val="20"/>
                <w:vertAlign w:val="superscript"/>
              </w:rPr>
              <w:t>a</w:t>
            </w:r>
          </w:p>
          <w:p w14:paraId="7F901E40" w14:textId="375A850E" w:rsidR="007E4701" w:rsidRPr="001B2A30" w:rsidRDefault="007E4701" w:rsidP="00B7183E">
            <w:pPr>
              <w:pStyle w:val="ListParagraph"/>
              <w:numPr>
                <w:ilvl w:val="0"/>
                <w:numId w:val="45"/>
              </w:numPr>
              <w:autoSpaceDE w:val="0"/>
              <w:autoSpaceDN w:val="0"/>
              <w:adjustRightInd w:val="0"/>
              <w:spacing w:after="40"/>
              <w:rPr>
                <w:rFonts w:ascii="Arial Narrow" w:hAnsi="Arial Narrow" w:cs="Arial Narrow"/>
                <w:bCs/>
                <w:sz w:val="20"/>
              </w:rPr>
            </w:pPr>
            <w:r w:rsidRPr="001B2A30">
              <w:rPr>
                <w:rFonts w:ascii="Arial Narrow" w:hAnsi="Arial Narrow" w:cs="Arial Narrow"/>
                <w:bCs/>
                <w:sz w:val="20"/>
              </w:rPr>
              <w:t>Cryopreservation of oocytes for fertility preservation</w:t>
            </w:r>
          </w:p>
        </w:tc>
      </w:tr>
      <w:tr w:rsidR="007E4701" w14:paraId="6FCBB61C" w14:textId="77777777" w:rsidTr="005F1001">
        <w:tc>
          <w:tcPr>
            <w:tcW w:w="1985" w:type="dxa"/>
          </w:tcPr>
          <w:p w14:paraId="3BA06D2F"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Comparators</w:t>
            </w:r>
          </w:p>
        </w:tc>
        <w:tc>
          <w:tcPr>
            <w:tcW w:w="7796" w:type="dxa"/>
          </w:tcPr>
          <w:p w14:paraId="1489729A" w14:textId="77777777" w:rsidR="007E4701" w:rsidRDefault="007E4701" w:rsidP="00B7183E">
            <w:pPr>
              <w:pStyle w:val="ListParagraph"/>
              <w:numPr>
                <w:ilvl w:val="0"/>
                <w:numId w:val="44"/>
              </w:numPr>
              <w:autoSpaceDE w:val="0"/>
              <w:autoSpaceDN w:val="0"/>
              <w:adjustRightInd w:val="0"/>
              <w:spacing w:after="40" w:line="240" w:lineRule="auto"/>
              <w:contextualSpacing/>
              <w:rPr>
                <w:rFonts w:ascii="Arial Narrow" w:hAnsi="Arial Narrow" w:cs="Arial Narrow"/>
                <w:bCs/>
                <w:sz w:val="20"/>
                <w:szCs w:val="20"/>
              </w:rPr>
            </w:pPr>
            <w:r>
              <w:rPr>
                <w:rFonts w:ascii="Arial Narrow" w:hAnsi="Arial Narrow" w:cs="Arial Narrow"/>
                <w:bCs/>
                <w:sz w:val="20"/>
              </w:rPr>
              <w:t>No</w:t>
            </w:r>
            <w:r w:rsidRPr="002E192E">
              <w:rPr>
                <w:rFonts w:ascii="Arial Narrow" w:hAnsi="Arial Narrow" w:cs="Arial Narrow"/>
                <w:bCs/>
                <w:sz w:val="20"/>
              </w:rPr>
              <w:t xml:space="preserve"> cryopreservation of ovarian ti</w:t>
            </w:r>
            <w:r>
              <w:rPr>
                <w:rFonts w:ascii="Arial Narrow" w:hAnsi="Arial Narrow" w:cs="Arial Narrow"/>
                <w:bCs/>
                <w:sz w:val="20"/>
              </w:rPr>
              <w:t>ssue for fertility preservation</w:t>
            </w:r>
            <w:r>
              <w:rPr>
                <w:rFonts w:ascii="Arial Narrow" w:hAnsi="Arial Narrow" w:cs="Arial Narrow"/>
                <w:bCs/>
                <w:sz w:val="20"/>
                <w:vertAlign w:val="superscript"/>
              </w:rPr>
              <w:t>a</w:t>
            </w:r>
          </w:p>
          <w:p w14:paraId="77FE3F34" w14:textId="77777777" w:rsidR="007E4701" w:rsidRPr="00AD31F5" w:rsidRDefault="007E4701" w:rsidP="00B7183E">
            <w:pPr>
              <w:pStyle w:val="ListParagraph"/>
              <w:numPr>
                <w:ilvl w:val="0"/>
                <w:numId w:val="44"/>
              </w:numPr>
              <w:autoSpaceDE w:val="0"/>
              <w:autoSpaceDN w:val="0"/>
              <w:adjustRightInd w:val="0"/>
              <w:spacing w:after="40" w:line="240" w:lineRule="auto"/>
              <w:contextualSpacing/>
              <w:rPr>
                <w:rFonts w:ascii="Arial Narrow" w:hAnsi="Arial Narrow" w:cs="Arial Narrow"/>
                <w:bCs/>
                <w:sz w:val="20"/>
                <w:szCs w:val="20"/>
              </w:rPr>
            </w:pPr>
            <w:r>
              <w:rPr>
                <w:rFonts w:ascii="Arial Narrow" w:hAnsi="Arial Narrow" w:cs="Arial Narrow"/>
                <w:bCs/>
                <w:sz w:val="20"/>
                <w:szCs w:val="20"/>
              </w:rPr>
              <w:t>No</w:t>
            </w:r>
            <w:r w:rsidRPr="002E192E">
              <w:rPr>
                <w:rFonts w:ascii="Arial Narrow" w:hAnsi="Arial Narrow" w:cs="Arial Narrow"/>
                <w:bCs/>
                <w:sz w:val="20"/>
                <w:szCs w:val="20"/>
              </w:rPr>
              <w:t xml:space="preserve"> cryopreservation of </w:t>
            </w:r>
            <w:r>
              <w:rPr>
                <w:rFonts w:ascii="Arial Narrow" w:hAnsi="Arial Narrow" w:cs="Arial Narrow"/>
                <w:bCs/>
                <w:sz w:val="20"/>
                <w:szCs w:val="20"/>
              </w:rPr>
              <w:t>oocytes for fertility preservation</w:t>
            </w:r>
          </w:p>
        </w:tc>
      </w:tr>
      <w:tr w:rsidR="007E4701" w14:paraId="00679B7F" w14:textId="77777777" w:rsidTr="005F1001">
        <w:tc>
          <w:tcPr>
            <w:tcW w:w="1985" w:type="dxa"/>
          </w:tcPr>
          <w:p w14:paraId="751632B3"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Outcomes</w:t>
            </w:r>
          </w:p>
        </w:tc>
        <w:tc>
          <w:tcPr>
            <w:tcW w:w="7796" w:type="dxa"/>
          </w:tcPr>
          <w:p w14:paraId="6FA3F7D5" w14:textId="77777777" w:rsidR="007E4701" w:rsidRPr="005B095B" w:rsidRDefault="007E4701" w:rsidP="00123D7B">
            <w:pPr>
              <w:pStyle w:val="ListParagraph"/>
              <w:spacing w:after="40"/>
              <w:contextualSpacing/>
              <w:rPr>
                <w:rFonts w:ascii="Arial Narrow" w:hAnsi="Arial Narrow" w:cs="Arial Narrow"/>
                <w:bCs/>
                <w:sz w:val="20"/>
                <w:szCs w:val="20"/>
              </w:rPr>
            </w:pPr>
            <w:r w:rsidRPr="00523A03">
              <w:rPr>
                <w:rFonts w:ascii="Arial Narrow" w:hAnsi="Arial Narrow" w:cs="Arial Narrow"/>
                <w:bCs/>
                <w:sz w:val="20"/>
                <w:szCs w:val="20"/>
              </w:rPr>
              <w:t>Rate of pregnancy with biological offspring, rate of childlessness</w:t>
            </w:r>
            <w:r>
              <w:rPr>
                <w:rFonts w:ascii="Arial Narrow" w:hAnsi="Arial Narrow" w:cs="Arial Narrow"/>
                <w:bCs/>
                <w:sz w:val="20"/>
                <w:szCs w:val="20"/>
              </w:rPr>
              <w:t>, quality of life/family life</w:t>
            </w:r>
          </w:p>
        </w:tc>
      </w:tr>
      <w:tr w:rsidR="007E4701" w14:paraId="214EFEC8" w14:textId="77777777" w:rsidTr="005F1001">
        <w:tc>
          <w:tcPr>
            <w:tcW w:w="1985" w:type="dxa"/>
          </w:tcPr>
          <w:p w14:paraId="21C50705"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Study design</w:t>
            </w:r>
          </w:p>
        </w:tc>
        <w:tc>
          <w:tcPr>
            <w:tcW w:w="7796" w:type="dxa"/>
          </w:tcPr>
          <w:p w14:paraId="1EAB00EB" w14:textId="77777777" w:rsidR="007E4701" w:rsidRPr="005B095B" w:rsidRDefault="007E4701" w:rsidP="00123D7B">
            <w:pPr>
              <w:autoSpaceDE w:val="0"/>
              <w:autoSpaceDN w:val="0"/>
              <w:adjustRightInd w:val="0"/>
              <w:spacing w:after="40"/>
              <w:rPr>
                <w:rFonts w:ascii="Arial Narrow" w:hAnsi="Arial Narrow" w:cs="Arial Narrow"/>
                <w:bCs/>
                <w:sz w:val="20"/>
              </w:rPr>
            </w:pPr>
            <w:r w:rsidRPr="005B095B">
              <w:rPr>
                <w:rFonts w:ascii="Arial Narrow" w:hAnsi="Arial Narrow" w:cs="Arial Narrow"/>
                <w:bCs/>
                <w:sz w:val="20"/>
              </w:rPr>
              <w:t xml:space="preserve">Randomised trials, cohort studies, </w:t>
            </w:r>
            <w:r>
              <w:rPr>
                <w:rFonts w:ascii="Arial Narrow" w:hAnsi="Arial Narrow" w:cs="Arial Narrow"/>
                <w:bCs/>
                <w:sz w:val="20"/>
              </w:rPr>
              <w:t xml:space="preserve">or </w:t>
            </w:r>
            <w:r w:rsidRPr="005B095B">
              <w:rPr>
                <w:rFonts w:ascii="Arial Narrow" w:hAnsi="Arial Narrow" w:cs="Arial Narrow"/>
                <w:bCs/>
                <w:sz w:val="20"/>
              </w:rPr>
              <w:t>systematic reviews of these study designs</w:t>
            </w:r>
          </w:p>
        </w:tc>
      </w:tr>
      <w:tr w:rsidR="007E4701" w14:paraId="4E57AFD9" w14:textId="77777777" w:rsidTr="005F1001">
        <w:tc>
          <w:tcPr>
            <w:tcW w:w="1985" w:type="dxa"/>
          </w:tcPr>
          <w:p w14:paraId="6E90F61A"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Search period</w:t>
            </w:r>
          </w:p>
        </w:tc>
        <w:tc>
          <w:tcPr>
            <w:tcW w:w="7796" w:type="dxa"/>
          </w:tcPr>
          <w:p w14:paraId="4A3E2D2B" w14:textId="37680FCF" w:rsidR="007E4701" w:rsidRPr="005B095B" w:rsidRDefault="007E4701" w:rsidP="00123D7B">
            <w:pPr>
              <w:autoSpaceDE w:val="0"/>
              <w:autoSpaceDN w:val="0"/>
              <w:adjustRightInd w:val="0"/>
              <w:spacing w:after="40"/>
              <w:rPr>
                <w:rFonts w:ascii="Arial Narrow" w:hAnsi="Arial Narrow" w:cs="Arial Narrow"/>
                <w:bCs/>
                <w:sz w:val="20"/>
              </w:rPr>
            </w:pPr>
            <w:r w:rsidRPr="005B095B">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 2017</w:t>
            </w:r>
          </w:p>
        </w:tc>
      </w:tr>
      <w:tr w:rsidR="007E4701" w14:paraId="60F140B9" w14:textId="77777777" w:rsidTr="005F1001">
        <w:tc>
          <w:tcPr>
            <w:tcW w:w="1985" w:type="dxa"/>
          </w:tcPr>
          <w:p w14:paraId="150200E2"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Language</w:t>
            </w:r>
          </w:p>
        </w:tc>
        <w:tc>
          <w:tcPr>
            <w:tcW w:w="7796" w:type="dxa"/>
          </w:tcPr>
          <w:p w14:paraId="08E8AAE8" w14:textId="034F88BC" w:rsidR="007E4701" w:rsidRPr="005B095B" w:rsidRDefault="007E4701" w:rsidP="00123D7B">
            <w:pPr>
              <w:autoSpaceDE w:val="0"/>
              <w:autoSpaceDN w:val="0"/>
              <w:adjustRightInd w:val="0"/>
              <w:spacing w:after="40"/>
              <w:rPr>
                <w:rFonts w:ascii="Arial Narrow" w:hAnsi="Arial Narrow" w:cs="Arial Narrow"/>
                <w:bCs/>
                <w:sz w:val="20"/>
              </w:rPr>
            </w:pPr>
            <w:r w:rsidRPr="005B095B">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5B095B">
              <w:rPr>
                <w:rFonts w:ascii="Arial Narrow" w:hAnsi="Arial Narrow" w:cs="Arial Narrow"/>
                <w:bCs/>
                <w:sz w:val="20"/>
              </w:rPr>
              <w:t>base</w:t>
            </w:r>
          </w:p>
        </w:tc>
      </w:tr>
      <w:tr w:rsidR="007E4701" w14:paraId="7C319806" w14:textId="77777777" w:rsidTr="005F1001">
        <w:tc>
          <w:tcPr>
            <w:tcW w:w="9781" w:type="dxa"/>
            <w:gridSpan w:val="2"/>
          </w:tcPr>
          <w:p w14:paraId="224CED20" w14:textId="77777777" w:rsidR="007E4701" w:rsidRPr="005B095B" w:rsidRDefault="007E4701" w:rsidP="00123D7B">
            <w:pPr>
              <w:spacing w:after="40"/>
              <w:jc w:val="both"/>
              <w:rPr>
                <w:rFonts w:ascii="Arial Narrow" w:hAnsi="Arial Narrow"/>
                <w:b/>
                <w:sz w:val="20"/>
              </w:rPr>
            </w:pPr>
            <w:r w:rsidRPr="004F356D">
              <w:rPr>
                <w:rFonts w:ascii="Arial Narrow" w:hAnsi="Arial Narrow" w:cs="Arial Narrow"/>
                <w:b/>
                <w:bCs/>
                <w:sz w:val="20"/>
              </w:rPr>
              <w:t xml:space="preserve">Does </w:t>
            </w:r>
            <w:r>
              <w:rPr>
                <w:rFonts w:ascii="Arial Narrow" w:hAnsi="Arial Narrow" w:cs="Arial Narrow"/>
                <w:b/>
                <w:bCs/>
                <w:sz w:val="20"/>
              </w:rPr>
              <w:t>cryopreservation of ovarian tissue, oocytes</w:t>
            </w:r>
            <w:r w:rsidRPr="004F356D">
              <w:rPr>
                <w:rFonts w:ascii="Arial Narrow" w:hAnsi="Arial Narrow" w:cs="Arial Narrow"/>
                <w:b/>
                <w:bCs/>
                <w:sz w:val="20"/>
              </w:rPr>
              <w:t xml:space="preserve"> </w:t>
            </w:r>
            <w:r>
              <w:rPr>
                <w:rFonts w:ascii="Arial Narrow" w:hAnsi="Arial Narrow" w:cs="Arial Narrow"/>
                <w:b/>
                <w:bCs/>
                <w:sz w:val="20"/>
              </w:rPr>
              <w:t xml:space="preserve">or embryos prior to receiving gonadotoxic treatment </w:t>
            </w:r>
            <w:r w:rsidRPr="004F356D">
              <w:rPr>
                <w:rFonts w:ascii="Arial Narrow" w:hAnsi="Arial Narrow" w:cs="Arial Narrow"/>
                <w:b/>
                <w:bCs/>
                <w:sz w:val="20"/>
              </w:rPr>
              <w:t xml:space="preserve">lead to better </w:t>
            </w:r>
            <w:r>
              <w:rPr>
                <w:rFonts w:ascii="Arial Narrow" w:hAnsi="Arial Narrow" w:cs="Arial Narrow"/>
                <w:b/>
                <w:bCs/>
                <w:sz w:val="20"/>
              </w:rPr>
              <w:t>family</w:t>
            </w:r>
            <w:r w:rsidRPr="004F356D">
              <w:rPr>
                <w:rFonts w:ascii="Arial Narrow" w:hAnsi="Arial Narrow" w:cs="Arial Narrow"/>
                <w:b/>
                <w:bCs/>
                <w:sz w:val="20"/>
              </w:rPr>
              <w:t xml:space="preserve"> outcomes in</w:t>
            </w:r>
            <w:r>
              <w:rPr>
                <w:rFonts w:ascii="Arial Narrow" w:hAnsi="Arial Narrow" w:cs="Arial Narrow"/>
                <w:b/>
                <w:bCs/>
                <w:sz w:val="20"/>
              </w:rPr>
              <w:t xml:space="preserve"> </w:t>
            </w:r>
            <w:r w:rsidRPr="00AD31F5">
              <w:rPr>
                <w:rFonts w:ascii="Arial Narrow" w:hAnsi="Arial Narrow" w:cs="Arial Narrow"/>
                <w:b/>
                <w:bCs/>
                <w:sz w:val="20"/>
              </w:rPr>
              <w:t>female</w:t>
            </w:r>
            <w:r w:rsidRPr="004F356D">
              <w:rPr>
                <w:rFonts w:ascii="Arial Narrow" w:hAnsi="Arial Narrow" w:cs="Arial Narrow"/>
                <w:b/>
                <w:bCs/>
                <w:sz w:val="20"/>
              </w:rPr>
              <w:t xml:space="preserve"> patients compared to </w:t>
            </w:r>
            <w:r>
              <w:rPr>
                <w:rFonts w:ascii="Arial Narrow" w:hAnsi="Arial Narrow" w:cs="Arial Narrow"/>
                <w:b/>
                <w:bCs/>
                <w:sz w:val="20"/>
              </w:rPr>
              <w:t>no cryopreservation</w:t>
            </w:r>
            <w:r w:rsidRPr="004F356D">
              <w:rPr>
                <w:rFonts w:ascii="Arial Narrow" w:hAnsi="Arial Narrow" w:cs="Arial Narrow"/>
                <w:b/>
                <w:bCs/>
                <w:sz w:val="20"/>
              </w:rPr>
              <w:t>?</w:t>
            </w:r>
          </w:p>
        </w:tc>
      </w:tr>
    </w:tbl>
    <w:p w14:paraId="15A20F40" w14:textId="77777777" w:rsidR="007E4701" w:rsidRPr="009B416A" w:rsidRDefault="007E4701" w:rsidP="009B416A">
      <w:pPr>
        <w:pStyle w:val="TableNotes1"/>
        <w:spacing w:after="0"/>
        <w:rPr>
          <w:sz w:val="18"/>
          <w:szCs w:val="18"/>
        </w:rPr>
      </w:pPr>
      <w:r w:rsidRPr="009B416A">
        <w:rPr>
          <w:sz w:val="18"/>
          <w:szCs w:val="18"/>
        </w:rPr>
        <w:t>AFC = antral follicle count; AMH = anti-Müllerian hormone; FSH = follicular stimulating hormone</w:t>
      </w:r>
    </w:p>
    <w:p w14:paraId="00074CDE" w14:textId="7E643DB1" w:rsidR="007E4701" w:rsidRPr="009B416A" w:rsidRDefault="007E4701" w:rsidP="009B416A">
      <w:pPr>
        <w:pStyle w:val="TableNotes1"/>
        <w:rPr>
          <w:sz w:val="18"/>
          <w:szCs w:val="18"/>
        </w:rPr>
      </w:pPr>
      <w:r w:rsidRPr="009B416A">
        <w:rPr>
          <w:sz w:val="18"/>
          <w:szCs w:val="18"/>
          <w:vertAlign w:val="superscript"/>
        </w:rPr>
        <w:t xml:space="preserve">a </w:t>
      </w:r>
      <w:r w:rsidR="008D1C02">
        <w:rPr>
          <w:sz w:val="18"/>
          <w:szCs w:val="18"/>
        </w:rPr>
        <w:t>T</w:t>
      </w:r>
      <w:r w:rsidRPr="009B416A">
        <w:rPr>
          <w:sz w:val="18"/>
          <w:szCs w:val="18"/>
        </w:rPr>
        <w:t>he assessment of the effectiveness and safety of cryopreservation of ovarian tissue, prior to receiving gonadotoxic treatme</w:t>
      </w:r>
      <w:r w:rsidR="000828FE" w:rsidRPr="009B416A">
        <w:rPr>
          <w:sz w:val="18"/>
          <w:szCs w:val="18"/>
        </w:rPr>
        <w:t>nt, in female patients aged 0–</w:t>
      </w:r>
      <w:r w:rsidRPr="009B416A">
        <w:rPr>
          <w:sz w:val="18"/>
          <w:szCs w:val="18"/>
        </w:rPr>
        <w:t>45 years, compared to no cryopreservation, will be included in MSAC Assessment 1435, and summarised briefly in Assessment 1434.</w:t>
      </w:r>
    </w:p>
    <w:p w14:paraId="3D3978D0" w14:textId="369E1C73" w:rsidR="007E4701" w:rsidRDefault="007E4701" w:rsidP="007E4701">
      <w:pPr>
        <w:pStyle w:val="TableHeading"/>
      </w:pPr>
      <w:bookmarkStart w:id="174" w:name="_Ref493513321"/>
      <w:bookmarkStart w:id="175" w:name="_Toc491849018"/>
      <w:bookmarkStart w:id="176" w:name="_Toc502833038"/>
      <w:r>
        <w:lastRenderedPageBreak/>
        <w:t xml:space="preserve">Table </w:t>
      </w:r>
      <w:r w:rsidR="00AC4BE5">
        <w:fldChar w:fldCharType="begin"/>
      </w:r>
      <w:r w:rsidR="00AC4BE5">
        <w:instrText xml:space="preserve"> SEQ Table \* ARABIC </w:instrText>
      </w:r>
      <w:r w:rsidR="00AC4BE5">
        <w:fldChar w:fldCharType="separate"/>
      </w:r>
      <w:r w:rsidR="00AC4BE5">
        <w:rPr>
          <w:noProof/>
        </w:rPr>
        <w:t>20</w:t>
      </w:r>
      <w:r w:rsidR="00AC4BE5">
        <w:rPr>
          <w:noProof/>
        </w:rPr>
        <w:fldChar w:fldCharType="end"/>
      </w:r>
      <w:bookmarkEnd w:id="174"/>
      <w:r>
        <w:tab/>
        <w:t xml:space="preserve">PICO criteria and research question for </w:t>
      </w:r>
      <w:r w:rsidRPr="007F7F65">
        <w:t>a</w:t>
      </w:r>
      <w:r>
        <w:t>nalytical validity</w:t>
      </w:r>
      <w:r w:rsidRPr="007F7F65">
        <w:t xml:space="preserve"> of </w:t>
      </w:r>
      <w:r>
        <w:t>AMH testing</w:t>
      </w:r>
      <w:r w:rsidRPr="007F7F65">
        <w:t xml:space="preserve"> in population</w:t>
      </w:r>
      <w:r>
        <w:t>s</w:t>
      </w:r>
      <w:r w:rsidRPr="007F7F65">
        <w:t xml:space="preserve"> </w:t>
      </w:r>
      <w:r w:rsidR="009B416A">
        <w:t xml:space="preserve">4, 5 and </w:t>
      </w:r>
      <w:r>
        <w:t>6</w:t>
      </w:r>
      <w:bookmarkEnd w:id="175"/>
      <w:bookmarkEnd w:id="176"/>
    </w:p>
    <w:tbl>
      <w:tblPr>
        <w:tblStyle w:val="TableGrid1"/>
        <w:tblW w:w="0" w:type="auto"/>
        <w:tblLook w:val="04A0" w:firstRow="1" w:lastRow="0" w:firstColumn="1" w:lastColumn="0" w:noHBand="0" w:noVBand="1"/>
        <w:tblDescription w:val="PICO criteria and research question for analytical validity of AMH testing in populations 4, 5 and 6"/>
      </w:tblPr>
      <w:tblGrid>
        <w:gridCol w:w="1918"/>
        <w:gridCol w:w="7324"/>
      </w:tblGrid>
      <w:tr w:rsidR="007E4701" w:rsidRPr="006D6DA4" w14:paraId="65A492C4" w14:textId="77777777" w:rsidTr="005F1001">
        <w:trPr>
          <w:cnfStyle w:val="100000000000" w:firstRow="1" w:lastRow="0" w:firstColumn="0" w:lastColumn="0" w:oddVBand="0" w:evenVBand="0" w:oddHBand="0" w:evenHBand="0" w:firstRowFirstColumn="0" w:firstRowLastColumn="0" w:lastRowFirstColumn="0" w:lastRowLastColumn="0"/>
          <w:tblHeader/>
        </w:trPr>
        <w:tc>
          <w:tcPr>
            <w:tcW w:w="1985" w:type="dxa"/>
          </w:tcPr>
          <w:p w14:paraId="60DC8BDE"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Population</w:t>
            </w:r>
          </w:p>
        </w:tc>
        <w:tc>
          <w:tcPr>
            <w:tcW w:w="7796" w:type="dxa"/>
          </w:tcPr>
          <w:p w14:paraId="07EEBF5C" w14:textId="77777777" w:rsidR="007E4701" w:rsidRDefault="007E4701" w:rsidP="00B7183E">
            <w:pPr>
              <w:pStyle w:val="ListParagraph"/>
              <w:keepNext/>
              <w:numPr>
                <w:ilvl w:val="0"/>
                <w:numId w:val="33"/>
              </w:numPr>
              <w:spacing w:after="40" w:line="240" w:lineRule="auto"/>
              <w:ind w:left="459" w:hanging="459"/>
              <w:contextualSpacing/>
              <w:rPr>
                <w:rFonts w:ascii="Arial Narrow" w:hAnsi="Arial Narrow" w:cs="Arial Narrow"/>
                <w:bCs/>
                <w:sz w:val="20"/>
              </w:rPr>
            </w:pPr>
            <w:r w:rsidRPr="00ED493D">
              <w:rPr>
                <w:rFonts w:ascii="Arial Narrow" w:hAnsi="Arial Narrow" w:cs="Arial Narrow"/>
                <w:bCs/>
                <w:sz w:val="20"/>
              </w:rPr>
              <w:t xml:space="preserve">Paediatric </w:t>
            </w:r>
            <w:r>
              <w:rPr>
                <w:rFonts w:ascii="Arial Narrow" w:hAnsi="Arial Narrow" w:cs="Arial Narrow"/>
                <w:bCs/>
                <w:sz w:val="20"/>
              </w:rPr>
              <w:t>female</w:t>
            </w:r>
            <w:r w:rsidRPr="00ED493D">
              <w:rPr>
                <w:rFonts w:ascii="Arial Narrow" w:hAnsi="Arial Narrow" w:cs="Arial Narrow"/>
                <w:bCs/>
                <w:sz w:val="20"/>
              </w:rPr>
              <w:t xml:space="preserve"> patients aged 0</w:t>
            </w:r>
            <w:r>
              <w:rPr>
                <w:rFonts w:ascii="Arial Narrow" w:hAnsi="Arial Narrow" w:cs="Arial Narrow"/>
                <w:bCs/>
                <w:sz w:val="20"/>
              </w:rPr>
              <w:t>–</w:t>
            </w:r>
            <w:r w:rsidRPr="00ED493D">
              <w:rPr>
                <w:rFonts w:ascii="Arial Narrow" w:hAnsi="Arial Narrow" w:cs="Arial Narrow"/>
                <w:bCs/>
                <w:sz w:val="20"/>
              </w:rPr>
              <w:t xml:space="preserve">14 years </w:t>
            </w:r>
            <w:r>
              <w:rPr>
                <w:rFonts w:ascii="Arial Narrow" w:hAnsi="Arial Narrow" w:cs="Arial Narrow"/>
                <w:bCs/>
                <w:sz w:val="20"/>
              </w:rPr>
              <w:t xml:space="preserve">following completion of </w:t>
            </w:r>
            <w:r w:rsidRPr="00D86397">
              <w:rPr>
                <w:rFonts w:ascii="Arial Narrow" w:hAnsi="Arial Narrow" w:cs="Arial Narrow"/>
                <w:bCs/>
                <w:sz w:val="20"/>
              </w:rPr>
              <w:t>gonadotoxic</w:t>
            </w:r>
            <w:r>
              <w:rPr>
                <w:rFonts w:ascii="Arial Narrow" w:hAnsi="Arial Narrow" w:cs="Arial Narrow"/>
                <w:bCs/>
                <w:sz w:val="20"/>
              </w:rPr>
              <w:t xml:space="preserve"> treatment</w:t>
            </w:r>
          </w:p>
          <w:p w14:paraId="6D2FDBA0" w14:textId="77777777" w:rsidR="007E4701" w:rsidRPr="005F040A" w:rsidRDefault="007E4701" w:rsidP="00B7183E">
            <w:pPr>
              <w:pStyle w:val="ListParagraph"/>
              <w:keepNext/>
              <w:numPr>
                <w:ilvl w:val="0"/>
                <w:numId w:val="33"/>
              </w:numPr>
              <w:spacing w:after="40" w:line="240" w:lineRule="auto"/>
              <w:ind w:left="459" w:hanging="459"/>
              <w:contextualSpacing/>
              <w:rPr>
                <w:rFonts w:ascii="Arial Narrow" w:hAnsi="Arial Narrow" w:cs="Arial Narrow"/>
                <w:bCs/>
                <w:sz w:val="20"/>
              </w:rPr>
            </w:pPr>
            <w:r w:rsidRPr="005F040A">
              <w:rPr>
                <w:rFonts w:ascii="Arial Narrow" w:hAnsi="Arial Narrow" w:cs="Arial Narrow"/>
                <w:bCs/>
                <w:sz w:val="20"/>
              </w:rPr>
              <w:t>Adolescent/young adult</w:t>
            </w:r>
            <w:r>
              <w:rPr>
                <w:rFonts w:ascii="Arial Narrow" w:hAnsi="Arial Narrow" w:cs="Arial Narrow"/>
                <w:bCs/>
                <w:sz w:val="20"/>
              </w:rPr>
              <w:t xml:space="preserve"> female</w:t>
            </w:r>
            <w:r w:rsidRPr="005F040A">
              <w:rPr>
                <w:rFonts w:ascii="Arial Narrow" w:hAnsi="Arial Narrow" w:cs="Arial Narrow"/>
                <w:bCs/>
                <w:sz w:val="20"/>
              </w:rPr>
              <w:t xml:space="preserve"> patients aged 15–25 years </w:t>
            </w:r>
            <w:r w:rsidRPr="00523A03">
              <w:rPr>
                <w:rFonts w:ascii="Arial Narrow" w:hAnsi="Arial Narrow" w:cs="Arial Narrow"/>
                <w:bCs/>
                <w:sz w:val="20"/>
              </w:rPr>
              <w:t xml:space="preserve">following completion of </w:t>
            </w:r>
            <w:r w:rsidRPr="005F040A">
              <w:rPr>
                <w:rFonts w:ascii="Arial Narrow" w:hAnsi="Arial Narrow" w:cs="Arial Narrow"/>
                <w:bCs/>
                <w:sz w:val="20"/>
              </w:rPr>
              <w:t>gonadotoxic treatment</w:t>
            </w:r>
          </w:p>
          <w:p w14:paraId="60097399" w14:textId="77777777" w:rsidR="007E4701" w:rsidRPr="00D86397" w:rsidRDefault="007E4701" w:rsidP="00B7183E">
            <w:pPr>
              <w:pStyle w:val="ListParagraph"/>
              <w:keepNext/>
              <w:numPr>
                <w:ilvl w:val="0"/>
                <w:numId w:val="33"/>
              </w:numPr>
              <w:spacing w:after="40" w:line="240" w:lineRule="auto"/>
              <w:ind w:left="459" w:hanging="459"/>
              <w:contextualSpacing/>
              <w:rPr>
                <w:rFonts w:ascii="Arial Narrow" w:hAnsi="Arial Narrow" w:cs="Arial Narrow"/>
                <w:bCs/>
                <w:sz w:val="20"/>
              </w:rPr>
            </w:pPr>
            <w:r w:rsidRPr="005F040A">
              <w:rPr>
                <w:rFonts w:ascii="Arial Narrow" w:hAnsi="Arial Narrow" w:cs="Arial Narrow"/>
                <w:bCs/>
                <w:sz w:val="20"/>
              </w:rPr>
              <w:t xml:space="preserve">Adult </w:t>
            </w:r>
            <w:r>
              <w:rPr>
                <w:rFonts w:ascii="Arial Narrow" w:hAnsi="Arial Narrow" w:cs="Arial Narrow"/>
                <w:bCs/>
                <w:sz w:val="20"/>
              </w:rPr>
              <w:t>female</w:t>
            </w:r>
            <w:r w:rsidRPr="00ED493D">
              <w:rPr>
                <w:rFonts w:ascii="Arial Narrow" w:hAnsi="Arial Narrow" w:cs="Arial Narrow"/>
                <w:bCs/>
                <w:sz w:val="20"/>
              </w:rPr>
              <w:t xml:space="preserve"> </w:t>
            </w:r>
            <w:r w:rsidRPr="005F040A">
              <w:rPr>
                <w:rFonts w:ascii="Arial Narrow" w:hAnsi="Arial Narrow" w:cs="Arial Narrow"/>
                <w:bCs/>
                <w:sz w:val="20"/>
              </w:rPr>
              <w:t xml:space="preserve">patients aged 26–45 years </w:t>
            </w:r>
            <w:r w:rsidRPr="00523A03">
              <w:rPr>
                <w:rFonts w:ascii="Arial Narrow" w:hAnsi="Arial Narrow" w:cs="Arial Narrow"/>
                <w:bCs/>
                <w:sz w:val="20"/>
              </w:rPr>
              <w:t xml:space="preserve">following completion of </w:t>
            </w:r>
            <w:r w:rsidRPr="005F040A">
              <w:rPr>
                <w:rFonts w:ascii="Arial Narrow" w:hAnsi="Arial Narrow" w:cs="Arial Narrow"/>
                <w:bCs/>
                <w:sz w:val="20"/>
              </w:rPr>
              <w:t>gonadotoxic treatment</w:t>
            </w:r>
          </w:p>
        </w:tc>
      </w:tr>
      <w:tr w:rsidR="007E4701" w:rsidRPr="006D6DA4" w14:paraId="13F68F8C" w14:textId="77777777" w:rsidTr="005F1001">
        <w:tc>
          <w:tcPr>
            <w:tcW w:w="1985" w:type="dxa"/>
          </w:tcPr>
          <w:p w14:paraId="759F4F67"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Intervention</w:t>
            </w:r>
          </w:p>
        </w:tc>
        <w:tc>
          <w:tcPr>
            <w:tcW w:w="7796" w:type="dxa"/>
          </w:tcPr>
          <w:p w14:paraId="7BB61953" w14:textId="77777777" w:rsidR="007E4701" w:rsidRPr="00D86397" w:rsidRDefault="007E4701" w:rsidP="00123D7B">
            <w:pPr>
              <w:keepNext/>
              <w:autoSpaceDE w:val="0"/>
              <w:autoSpaceDN w:val="0"/>
              <w:adjustRightInd w:val="0"/>
              <w:spacing w:after="40"/>
              <w:ind w:left="459" w:hanging="459"/>
              <w:rPr>
                <w:rFonts w:ascii="Arial Narrow" w:hAnsi="Arial Narrow" w:cs="Arial Narrow"/>
                <w:bCs/>
                <w:sz w:val="20"/>
              </w:rPr>
            </w:pPr>
            <w:r>
              <w:rPr>
                <w:rFonts w:ascii="Arial Narrow" w:hAnsi="Arial Narrow" w:cs="Arial Narrow"/>
                <w:bCs/>
                <w:sz w:val="20"/>
              </w:rPr>
              <w:t xml:space="preserve">AMH test </w:t>
            </w:r>
          </w:p>
        </w:tc>
      </w:tr>
      <w:tr w:rsidR="007E4701" w:rsidRPr="006D6DA4" w14:paraId="05E3451F" w14:textId="77777777" w:rsidTr="005F1001">
        <w:tc>
          <w:tcPr>
            <w:tcW w:w="1985" w:type="dxa"/>
          </w:tcPr>
          <w:p w14:paraId="74EDB437"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Comparator</w:t>
            </w:r>
          </w:p>
        </w:tc>
        <w:tc>
          <w:tcPr>
            <w:tcW w:w="7796" w:type="dxa"/>
          </w:tcPr>
          <w:p w14:paraId="783A1944" w14:textId="444F09B5" w:rsidR="007518CF" w:rsidRDefault="007E4701" w:rsidP="00B7183E">
            <w:pPr>
              <w:pStyle w:val="ListParagraph"/>
              <w:keepNext/>
              <w:numPr>
                <w:ilvl w:val="0"/>
                <w:numId w:val="32"/>
              </w:numPr>
              <w:autoSpaceDE w:val="0"/>
              <w:autoSpaceDN w:val="0"/>
              <w:adjustRightInd w:val="0"/>
              <w:spacing w:after="40" w:line="240" w:lineRule="auto"/>
              <w:ind w:left="459" w:hanging="425"/>
              <w:contextualSpacing/>
              <w:rPr>
                <w:rFonts w:ascii="Arial Narrow" w:hAnsi="Arial Narrow" w:cs="Arial Narrow"/>
                <w:bCs/>
                <w:sz w:val="20"/>
                <w:szCs w:val="20"/>
              </w:rPr>
            </w:pPr>
            <w:r>
              <w:rPr>
                <w:rFonts w:ascii="Arial Narrow" w:hAnsi="Arial Narrow" w:cs="Arial Narrow"/>
                <w:bCs/>
                <w:sz w:val="20"/>
                <w:szCs w:val="20"/>
              </w:rPr>
              <w:t>Other standard tests (FSH,</w:t>
            </w:r>
            <w:r w:rsidR="000828FE">
              <w:rPr>
                <w:rFonts w:ascii="Arial Narrow" w:hAnsi="Arial Narrow" w:cs="Arial Narrow"/>
                <w:bCs/>
                <w:sz w:val="20"/>
                <w:szCs w:val="20"/>
              </w:rPr>
              <w:t xml:space="preserve"> E2</w:t>
            </w:r>
            <w:r>
              <w:rPr>
                <w:rFonts w:ascii="Arial Narrow" w:hAnsi="Arial Narrow" w:cs="Arial Narrow"/>
                <w:bCs/>
                <w:sz w:val="20"/>
                <w:szCs w:val="20"/>
              </w:rPr>
              <w:t>)</w:t>
            </w:r>
          </w:p>
          <w:p w14:paraId="2EFEF3FF" w14:textId="1A655B15" w:rsidR="007E4701" w:rsidRPr="00AD31F5" w:rsidRDefault="007E4701" w:rsidP="00B7183E">
            <w:pPr>
              <w:pStyle w:val="ListParagraph"/>
              <w:keepNext/>
              <w:numPr>
                <w:ilvl w:val="0"/>
                <w:numId w:val="32"/>
              </w:numPr>
              <w:autoSpaceDE w:val="0"/>
              <w:autoSpaceDN w:val="0"/>
              <w:adjustRightInd w:val="0"/>
              <w:spacing w:after="40" w:line="240" w:lineRule="auto"/>
              <w:ind w:left="459" w:hanging="425"/>
              <w:contextualSpacing/>
              <w:rPr>
                <w:rFonts w:ascii="Arial Narrow" w:hAnsi="Arial Narrow" w:cs="Arial Narrow"/>
                <w:bCs/>
                <w:sz w:val="20"/>
                <w:szCs w:val="20"/>
              </w:rPr>
            </w:pPr>
            <w:r>
              <w:rPr>
                <w:rFonts w:ascii="Arial Narrow" w:hAnsi="Arial Narrow" w:cs="Arial Narrow"/>
                <w:bCs/>
                <w:sz w:val="20"/>
                <w:szCs w:val="20"/>
              </w:rPr>
              <w:t>Other AMH test (repeated test, different laboratory, different assay</w:t>
            </w:r>
            <w:r w:rsidR="000828FE">
              <w:rPr>
                <w:rFonts w:ascii="Arial Narrow" w:hAnsi="Arial Narrow" w:cs="Arial Narrow"/>
                <w:bCs/>
                <w:sz w:val="20"/>
                <w:szCs w:val="20"/>
              </w:rPr>
              <w:t>,</w:t>
            </w:r>
            <w:r>
              <w:rPr>
                <w:rFonts w:ascii="Arial Narrow" w:hAnsi="Arial Narrow" w:cs="Arial Narrow"/>
                <w:bCs/>
                <w:sz w:val="20"/>
                <w:szCs w:val="20"/>
              </w:rPr>
              <w:t xml:space="preserve"> etc</w:t>
            </w:r>
            <w:r w:rsidR="000828FE">
              <w:rPr>
                <w:rFonts w:ascii="Arial Narrow" w:hAnsi="Arial Narrow" w:cs="Arial Narrow"/>
                <w:bCs/>
                <w:sz w:val="20"/>
                <w:szCs w:val="20"/>
              </w:rPr>
              <w:t>)</w:t>
            </w:r>
          </w:p>
        </w:tc>
      </w:tr>
      <w:tr w:rsidR="007E4701" w:rsidRPr="006D6DA4" w14:paraId="397A7F4E" w14:textId="77777777" w:rsidTr="005F1001">
        <w:tc>
          <w:tcPr>
            <w:tcW w:w="1985" w:type="dxa"/>
          </w:tcPr>
          <w:p w14:paraId="7ADF74AC" w14:textId="1E415608" w:rsidR="007E4701" w:rsidRPr="00515C51" w:rsidRDefault="007E4701" w:rsidP="00123D7B">
            <w:pPr>
              <w:keepNext/>
              <w:autoSpaceDE w:val="0"/>
              <w:autoSpaceDN w:val="0"/>
              <w:adjustRightInd w:val="0"/>
              <w:spacing w:after="40"/>
              <w:rPr>
                <w:rFonts w:ascii="Arial Narrow" w:hAnsi="Arial Narrow" w:cs="Arial Narrow"/>
                <w:b/>
                <w:bCs/>
                <w:sz w:val="20"/>
              </w:rPr>
            </w:pPr>
            <w:r>
              <w:rPr>
                <w:rFonts w:ascii="Arial Narrow" w:hAnsi="Arial Narrow" w:cs="Arial Narrow"/>
                <w:b/>
                <w:bCs/>
                <w:sz w:val="20"/>
              </w:rPr>
              <w:t xml:space="preserve">Evidentiary </w:t>
            </w:r>
            <w:r w:rsidR="00E830B2">
              <w:rPr>
                <w:rFonts w:ascii="Arial Narrow" w:hAnsi="Arial Narrow" w:cs="Arial Narrow"/>
                <w:b/>
                <w:bCs/>
                <w:sz w:val="20"/>
              </w:rPr>
              <w:t>s</w:t>
            </w:r>
            <w:r>
              <w:rPr>
                <w:rFonts w:ascii="Arial Narrow" w:hAnsi="Arial Narrow" w:cs="Arial Narrow"/>
                <w:b/>
                <w:bCs/>
                <w:sz w:val="20"/>
              </w:rPr>
              <w:t>tandard</w:t>
            </w:r>
          </w:p>
        </w:tc>
        <w:tc>
          <w:tcPr>
            <w:tcW w:w="7796" w:type="dxa"/>
          </w:tcPr>
          <w:p w14:paraId="698BF673" w14:textId="77777777" w:rsidR="007E4701" w:rsidRPr="0026348D" w:rsidRDefault="007E4701" w:rsidP="00123D7B">
            <w:pPr>
              <w:pStyle w:val="ListParagraph"/>
              <w:keepNext/>
              <w:autoSpaceDE w:val="0"/>
              <w:autoSpaceDN w:val="0"/>
              <w:adjustRightInd w:val="0"/>
              <w:spacing w:after="40"/>
              <w:contextualSpacing/>
              <w:rPr>
                <w:rFonts w:ascii="Arial Narrow" w:hAnsi="Arial Narrow" w:cs="Arial Narrow"/>
                <w:bCs/>
                <w:sz w:val="20"/>
                <w:szCs w:val="20"/>
              </w:rPr>
            </w:pPr>
            <w:r w:rsidRPr="00DA139E">
              <w:rPr>
                <w:rFonts w:ascii="Arial Narrow" w:hAnsi="Arial Narrow" w:cs="Arial Narrow"/>
                <w:bCs/>
                <w:sz w:val="20"/>
                <w:szCs w:val="20"/>
              </w:rPr>
              <w:t>AFC ultrasound if post-pubertal</w:t>
            </w:r>
          </w:p>
        </w:tc>
      </w:tr>
      <w:tr w:rsidR="007E4701" w:rsidRPr="006D6DA4" w14:paraId="559FCD51" w14:textId="77777777" w:rsidTr="005F1001">
        <w:tc>
          <w:tcPr>
            <w:tcW w:w="1985" w:type="dxa"/>
          </w:tcPr>
          <w:p w14:paraId="2B72B1E6"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Outcomes</w:t>
            </w:r>
          </w:p>
        </w:tc>
        <w:tc>
          <w:tcPr>
            <w:tcW w:w="7796" w:type="dxa"/>
          </w:tcPr>
          <w:p w14:paraId="6A1F80DF" w14:textId="77777777" w:rsidR="007E4701" w:rsidRPr="0001587B" w:rsidRDefault="007E4701" w:rsidP="00123D7B">
            <w:pPr>
              <w:pStyle w:val="ListParagraph"/>
              <w:keepNext/>
              <w:autoSpaceDE w:val="0"/>
              <w:autoSpaceDN w:val="0"/>
              <w:adjustRightInd w:val="0"/>
              <w:spacing w:after="40"/>
              <w:contextualSpacing/>
              <w:rPr>
                <w:rFonts w:ascii="Arial Narrow" w:hAnsi="Arial Narrow" w:cs="Arial Narrow"/>
                <w:bCs/>
                <w:sz w:val="20"/>
                <w:szCs w:val="20"/>
              </w:rPr>
            </w:pPr>
            <w:r>
              <w:rPr>
                <w:rFonts w:ascii="Arial Narrow" w:hAnsi="Arial Narrow" w:cs="Arial Narrow"/>
                <w:bCs/>
                <w:sz w:val="20"/>
                <w:szCs w:val="20"/>
              </w:rPr>
              <w:t>C</w:t>
            </w:r>
            <w:r w:rsidRPr="0001587B">
              <w:rPr>
                <w:rFonts w:ascii="Arial Narrow" w:hAnsi="Arial Narrow" w:cs="Arial Narrow"/>
                <w:bCs/>
                <w:sz w:val="20"/>
                <w:szCs w:val="20"/>
              </w:rPr>
              <w:t>oncordance (per cent positive agreement), unsatisfactory or uninterpretable test results</w:t>
            </w:r>
            <w:r>
              <w:rPr>
                <w:rFonts w:ascii="Arial Narrow" w:hAnsi="Arial Narrow" w:cs="Arial Narrow"/>
                <w:bCs/>
                <w:sz w:val="20"/>
                <w:szCs w:val="20"/>
              </w:rPr>
              <w:t>, reliability (intra-observer or intra-instrument variability/agreement)</w:t>
            </w:r>
          </w:p>
        </w:tc>
      </w:tr>
      <w:tr w:rsidR="007E4701" w:rsidRPr="006D6DA4" w14:paraId="4073CAEC" w14:textId="77777777" w:rsidTr="005F1001">
        <w:tc>
          <w:tcPr>
            <w:tcW w:w="1985" w:type="dxa"/>
          </w:tcPr>
          <w:p w14:paraId="6E948240"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Search period</w:t>
            </w:r>
          </w:p>
        </w:tc>
        <w:tc>
          <w:tcPr>
            <w:tcW w:w="7796" w:type="dxa"/>
          </w:tcPr>
          <w:p w14:paraId="5255CBAF" w14:textId="01F05A88" w:rsidR="007E4701" w:rsidRPr="0001587B" w:rsidRDefault="007E4701" w:rsidP="00123D7B">
            <w:pPr>
              <w:pStyle w:val="ListParagraph"/>
              <w:keepNext/>
              <w:autoSpaceDE w:val="0"/>
              <w:autoSpaceDN w:val="0"/>
              <w:adjustRightInd w:val="0"/>
              <w:spacing w:after="40"/>
              <w:contextualSpacing/>
              <w:rPr>
                <w:rFonts w:ascii="Arial Narrow" w:hAnsi="Arial Narrow" w:cs="Arial Narrow"/>
                <w:bCs/>
                <w:sz w:val="20"/>
                <w:szCs w:val="20"/>
              </w:rPr>
            </w:pPr>
            <w:r w:rsidRPr="0001587B">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 2017</w:t>
            </w:r>
          </w:p>
        </w:tc>
      </w:tr>
      <w:tr w:rsidR="007E4701" w:rsidRPr="006D6DA4" w14:paraId="3061D365" w14:textId="77777777" w:rsidTr="005F1001">
        <w:tc>
          <w:tcPr>
            <w:tcW w:w="1985" w:type="dxa"/>
          </w:tcPr>
          <w:p w14:paraId="353C8B1D" w14:textId="77777777" w:rsidR="007E4701" w:rsidRPr="00515C51" w:rsidRDefault="007E4701" w:rsidP="00123D7B">
            <w:pPr>
              <w:keepNext/>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Language</w:t>
            </w:r>
          </w:p>
        </w:tc>
        <w:tc>
          <w:tcPr>
            <w:tcW w:w="7796" w:type="dxa"/>
          </w:tcPr>
          <w:p w14:paraId="6EB1A708" w14:textId="345E6428" w:rsidR="007E4701" w:rsidRPr="0001587B" w:rsidRDefault="007E4701" w:rsidP="00123D7B">
            <w:pPr>
              <w:pStyle w:val="ListParagraph"/>
              <w:keepNext/>
              <w:autoSpaceDE w:val="0"/>
              <w:autoSpaceDN w:val="0"/>
              <w:adjustRightInd w:val="0"/>
              <w:spacing w:after="40"/>
              <w:contextualSpacing/>
              <w:rPr>
                <w:rFonts w:ascii="Arial Narrow" w:hAnsi="Arial Narrow" w:cs="Arial Narrow"/>
                <w:bCs/>
                <w:sz w:val="20"/>
                <w:szCs w:val="20"/>
              </w:rPr>
            </w:pPr>
            <w:r w:rsidRPr="0001587B">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01587B">
              <w:rPr>
                <w:rFonts w:ascii="Arial Narrow" w:hAnsi="Arial Narrow" w:cs="Arial Narrow"/>
                <w:bCs/>
                <w:sz w:val="20"/>
              </w:rPr>
              <w:t>base</w:t>
            </w:r>
          </w:p>
        </w:tc>
      </w:tr>
      <w:tr w:rsidR="007E4701" w:rsidRPr="006D6DA4" w14:paraId="3E3F99CB" w14:textId="77777777" w:rsidTr="005F1001">
        <w:tc>
          <w:tcPr>
            <w:tcW w:w="9781" w:type="dxa"/>
            <w:gridSpan w:val="2"/>
          </w:tcPr>
          <w:p w14:paraId="33F79C57" w14:textId="74C7D053" w:rsidR="007E4701" w:rsidRDefault="007E4701" w:rsidP="00123D7B">
            <w:pPr>
              <w:keepNext/>
              <w:spacing w:after="40"/>
              <w:jc w:val="both"/>
              <w:rPr>
                <w:rFonts w:ascii="Arial Narrow" w:hAnsi="Arial Narrow"/>
                <w:b/>
                <w:sz w:val="20"/>
              </w:rPr>
            </w:pPr>
            <w:r w:rsidRPr="00DA139E">
              <w:rPr>
                <w:rFonts w:ascii="Arial Narrow" w:hAnsi="Arial Narrow"/>
                <w:b/>
                <w:sz w:val="20"/>
              </w:rPr>
              <w:t xml:space="preserve">What </w:t>
            </w:r>
            <w:r>
              <w:rPr>
                <w:rFonts w:ascii="Arial Narrow" w:hAnsi="Arial Narrow"/>
                <w:b/>
                <w:sz w:val="20"/>
              </w:rPr>
              <w:t>is the</w:t>
            </w:r>
            <w:r w:rsidRPr="00DA139E">
              <w:rPr>
                <w:rFonts w:ascii="Arial Narrow" w:hAnsi="Arial Narrow"/>
                <w:b/>
                <w:sz w:val="20"/>
              </w:rPr>
              <w:t xml:space="preserve"> </w:t>
            </w:r>
            <w:r>
              <w:rPr>
                <w:rFonts w:ascii="Arial Narrow" w:hAnsi="Arial Narrow"/>
                <w:b/>
                <w:sz w:val="20"/>
              </w:rPr>
              <w:t xml:space="preserve">concordance </w:t>
            </w:r>
            <w:r w:rsidRPr="00DA139E">
              <w:rPr>
                <w:rFonts w:ascii="Arial Narrow" w:hAnsi="Arial Narrow"/>
                <w:b/>
                <w:sz w:val="20"/>
              </w:rPr>
              <w:t>of</w:t>
            </w:r>
            <w:r>
              <w:rPr>
                <w:rFonts w:ascii="Arial Narrow" w:hAnsi="Arial Narrow"/>
                <w:b/>
                <w:sz w:val="20"/>
              </w:rPr>
              <w:t xml:space="preserve"> AFC,</w:t>
            </w:r>
            <w:r w:rsidRPr="00DA139E">
              <w:rPr>
                <w:rFonts w:ascii="Arial Narrow" w:hAnsi="Arial Narrow"/>
                <w:b/>
                <w:sz w:val="20"/>
              </w:rPr>
              <w:t xml:space="preserve"> </w:t>
            </w:r>
            <w:r>
              <w:rPr>
                <w:rFonts w:ascii="Arial Narrow" w:hAnsi="Arial Narrow"/>
                <w:b/>
                <w:sz w:val="20"/>
              </w:rPr>
              <w:t>AMH</w:t>
            </w:r>
            <w:r w:rsidRPr="00DA139E">
              <w:rPr>
                <w:rFonts w:ascii="Arial Narrow" w:hAnsi="Arial Narrow"/>
                <w:b/>
                <w:sz w:val="20"/>
              </w:rPr>
              <w:t xml:space="preserve">, </w:t>
            </w:r>
            <w:r>
              <w:rPr>
                <w:rFonts w:ascii="Arial Narrow" w:hAnsi="Arial Narrow"/>
                <w:b/>
                <w:sz w:val="20"/>
              </w:rPr>
              <w:t xml:space="preserve">FSH and </w:t>
            </w:r>
            <w:r w:rsidR="000828FE">
              <w:rPr>
                <w:rFonts w:ascii="Arial Narrow" w:hAnsi="Arial Narrow"/>
                <w:b/>
                <w:sz w:val="20"/>
              </w:rPr>
              <w:t>E2</w:t>
            </w:r>
            <w:r w:rsidRPr="00DA139E">
              <w:rPr>
                <w:rFonts w:ascii="Arial Narrow" w:hAnsi="Arial Narrow"/>
                <w:b/>
                <w:sz w:val="20"/>
              </w:rPr>
              <w:t xml:space="preserve"> in </w:t>
            </w:r>
            <w:r w:rsidRPr="00244842">
              <w:rPr>
                <w:rFonts w:ascii="Arial Narrow" w:hAnsi="Arial Narrow"/>
                <w:b/>
                <w:sz w:val="20"/>
              </w:rPr>
              <w:t>female</w:t>
            </w:r>
            <w:r>
              <w:rPr>
                <w:rFonts w:ascii="Arial Narrow" w:hAnsi="Arial Narrow"/>
                <w:b/>
                <w:sz w:val="20"/>
              </w:rPr>
              <w:t xml:space="preserve"> </w:t>
            </w:r>
            <w:r w:rsidRPr="00DA139E">
              <w:rPr>
                <w:rFonts w:ascii="Arial Narrow" w:hAnsi="Arial Narrow"/>
                <w:b/>
                <w:sz w:val="20"/>
              </w:rPr>
              <w:t xml:space="preserve">patients </w:t>
            </w:r>
            <w:r w:rsidRPr="00431186">
              <w:rPr>
                <w:rFonts w:ascii="Arial Narrow" w:hAnsi="Arial Narrow"/>
                <w:b/>
                <w:sz w:val="20"/>
              </w:rPr>
              <w:t xml:space="preserve">following completion of </w:t>
            </w:r>
            <w:r w:rsidRPr="00DA139E">
              <w:rPr>
                <w:rFonts w:ascii="Arial Narrow" w:hAnsi="Arial Narrow"/>
                <w:b/>
                <w:sz w:val="20"/>
              </w:rPr>
              <w:t>gonadotoxic treatment?</w:t>
            </w:r>
          </w:p>
          <w:p w14:paraId="3D35767E" w14:textId="4E9C9284" w:rsidR="007E4701" w:rsidRDefault="007E4701" w:rsidP="00123D7B">
            <w:pPr>
              <w:keepNext/>
              <w:spacing w:after="40"/>
              <w:jc w:val="both"/>
              <w:rPr>
                <w:rFonts w:ascii="Arial Narrow" w:hAnsi="Arial Narrow"/>
                <w:b/>
                <w:sz w:val="20"/>
              </w:rPr>
            </w:pPr>
            <w:r>
              <w:rPr>
                <w:rFonts w:ascii="Arial Narrow" w:hAnsi="Arial Narrow"/>
                <w:b/>
                <w:sz w:val="20"/>
              </w:rPr>
              <w:t xml:space="preserve">What is the concordance between AMH and AFC ultrasound, compared to FSH and </w:t>
            </w:r>
            <w:r w:rsidR="000828FE">
              <w:rPr>
                <w:rFonts w:ascii="Arial Narrow" w:hAnsi="Arial Narrow"/>
                <w:b/>
                <w:sz w:val="20"/>
              </w:rPr>
              <w:t>E2</w:t>
            </w:r>
            <w:r>
              <w:rPr>
                <w:rFonts w:ascii="Arial Narrow" w:hAnsi="Arial Narrow"/>
                <w:b/>
                <w:sz w:val="20"/>
              </w:rPr>
              <w:t xml:space="preserve"> </w:t>
            </w:r>
            <w:r w:rsidRPr="00DA139E">
              <w:rPr>
                <w:rFonts w:ascii="Arial Narrow" w:hAnsi="Arial Narrow"/>
                <w:b/>
                <w:sz w:val="20"/>
              </w:rPr>
              <w:t xml:space="preserve">in </w:t>
            </w:r>
            <w:r w:rsidRPr="00EC358C">
              <w:rPr>
                <w:rFonts w:ascii="Arial Narrow" w:hAnsi="Arial Narrow"/>
                <w:b/>
                <w:sz w:val="20"/>
              </w:rPr>
              <w:t>female</w:t>
            </w:r>
            <w:r>
              <w:rPr>
                <w:rFonts w:ascii="Arial Narrow" w:hAnsi="Arial Narrow"/>
                <w:b/>
                <w:sz w:val="20"/>
              </w:rPr>
              <w:t xml:space="preserve"> </w:t>
            </w:r>
            <w:r w:rsidRPr="00DA139E">
              <w:rPr>
                <w:rFonts w:ascii="Arial Narrow" w:hAnsi="Arial Narrow"/>
                <w:b/>
                <w:sz w:val="20"/>
              </w:rPr>
              <w:t xml:space="preserve">patients </w:t>
            </w:r>
            <w:r>
              <w:rPr>
                <w:rFonts w:ascii="Arial Narrow" w:hAnsi="Arial Narrow"/>
                <w:b/>
                <w:sz w:val="20"/>
              </w:rPr>
              <w:t>following completion of g</w:t>
            </w:r>
            <w:r w:rsidRPr="00DA139E">
              <w:rPr>
                <w:rFonts w:ascii="Arial Narrow" w:hAnsi="Arial Narrow"/>
                <w:b/>
                <w:sz w:val="20"/>
              </w:rPr>
              <w:t>onadotoxic treatment?</w:t>
            </w:r>
          </w:p>
          <w:p w14:paraId="470FA527" w14:textId="6921553B" w:rsidR="007E4701" w:rsidRPr="00DA139E" w:rsidRDefault="007E4701" w:rsidP="000828FE">
            <w:pPr>
              <w:keepNext/>
              <w:spacing w:after="40"/>
              <w:jc w:val="both"/>
              <w:rPr>
                <w:rFonts w:ascii="Arial Narrow" w:hAnsi="Arial Narrow"/>
                <w:b/>
                <w:sz w:val="20"/>
              </w:rPr>
            </w:pPr>
            <w:r>
              <w:rPr>
                <w:rFonts w:ascii="Arial Narrow" w:hAnsi="Arial Narrow"/>
                <w:b/>
                <w:sz w:val="20"/>
              </w:rPr>
              <w:t xml:space="preserve">What is the reliability of AMH testing, compared to FSH and </w:t>
            </w:r>
            <w:r w:rsidR="000828FE">
              <w:rPr>
                <w:rFonts w:ascii="Arial Narrow" w:hAnsi="Arial Narrow"/>
                <w:b/>
                <w:sz w:val="20"/>
              </w:rPr>
              <w:t>E2</w:t>
            </w:r>
            <w:r>
              <w:rPr>
                <w:rFonts w:ascii="Arial Narrow" w:hAnsi="Arial Narrow"/>
                <w:b/>
                <w:sz w:val="20"/>
              </w:rPr>
              <w:t xml:space="preserve"> </w:t>
            </w:r>
            <w:r w:rsidRPr="00DA139E">
              <w:rPr>
                <w:rFonts w:ascii="Arial Narrow" w:hAnsi="Arial Narrow"/>
                <w:b/>
                <w:sz w:val="20"/>
              </w:rPr>
              <w:t xml:space="preserve">in </w:t>
            </w:r>
            <w:r w:rsidRPr="00EC358C">
              <w:rPr>
                <w:rFonts w:ascii="Arial Narrow" w:hAnsi="Arial Narrow"/>
                <w:b/>
                <w:sz w:val="20"/>
              </w:rPr>
              <w:t>female</w:t>
            </w:r>
            <w:r>
              <w:rPr>
                <w:rFonts w:ascii="Arial Narrow" w:hAnsi="Arial Narrow"/>
                <w:b/>
                <w:sz w:val="20"/>
              </w:rPr>
              <w:t xml:space="preserve"> </w:t>
            </w:r>
            <w:r w:rsidRPr="00DA139E">
              <w:rPr>
                <w:rFonts w:ascii="Arial Narrow" w:hAnsi="Arial Narrow"/>
                <w:b/>
                <w:sz w:val="20"/>
              </w:rPr>
              <w:t xml:space="preserve">patients </w:t>
            </w:r>
            <w:r>
              <w:rPr>
                <w:rFonts w:ascii="Arial Narrow" w:hAnsi="Arial Narrow"/>
                <w:b/>
                <w:sz w:val="20"/>
              </w:rPr>
              <w:t xml:space="preserve">following completion of </w:t>
            </w:r>
            <w:r w:rsidRPr="00DA139E">
              <w:rPr>
                <w:rFonts w:ascii="Arial Narrow" w:hAnsi="Arial Narrow"/>
                <w:b/>
                <w:sz w:val="20"/>
              </w:rPr>
              <w:t>gonadotoxic treatment?</w:t>
            </w:r>
          </w:p>
        </w:tc>
      </w:tr>
    </w:tbl>
    <w:p w14:paraId="28FBC54F" w14:textId="2734421E" w:rsidR="007E4701" w:rsidRPr="009B416A" w:rsidRDefault="007E4701" w:rsidP="007E4701">
      <w:pPr>
        <w:pStyle w:val="TableNotes1"/>
        <w:rPr>
          <w:sz w:val="18"/>
          <w:szCs w:val="18"/>
        </w:rPr>
      </w:pPr>
      <w:r w:rsidRPr="009B416A">
        <w:rPr>
          <w:sz w:val="18"/>
          <w:szCs w:val="18"/>
        </w:rPr>
        <w:t xml:space="preserve">AFC = antral follicle count; AMH = anti-Müllerian hormone; </w:t>
      </w:r>
      <w:r w:rsidR="000828FE" w:rsidRPr="009B416A">
        <w:rPr>
          <w:sz w:val="18"/>
          <w:szCs w:val="18"/>
        </w:rPr>
        <w:t xml:space="preserve">E2 = estradiol; </w:t>
      </w:r>
      <w:r w:rsidRPr="009B416A">
        <w:rPr>
          <w:sz w:val="18"/>
          <w:szCs w:val="18"/>
        </w:rPr>
        <w:t>FSH = follicular stimulating hormone; SROC = summary receiving operating characteristic</w:t>
      </w:r>
    </w:p>
    <w:p w14:paraId="27D5570B" w14:textId="2C5554AD" w:rsidR="007E4701" w:rsidRDefault="007E4701" w:rsidP="009B416A">
      <w:pPr>
        <w:pStyle w:val="TableHeading"/>
        <w:keepNext w:val="0"/>
        <w:ind w:left="993" w:hanging="993"/>
      </w:pPr>
      <w:bookmarkStart w:id="177" w:name="_Toc491849020"/>
      <w:bookmarkStart w:id="178" w:name="_Toc502833039"/>
      <w:r>
        <w:t xml:space="preserve">Table </w:t>
      </w:r>
      <w:r w:rsidR="00AC4BE5">
        <w:fldChar w:fldCharType="begin"/>
      </w:r>
      <w:r w:rsidR="00AC4BE5">
        <w:instrText xml:space="preserve"> SEQ Table \* ARABIC </w:instrText>
      </w:r>
      <w:r w:rsidR="00AC4BE5">
        <w:fldChar w:fldCharType="separate"/>
      </w:r>
      <w:r w:rsidR="00AC4BE5">
        <w:rPr>
          <w:noProof/>
        </w:rPr>
        <w:t>21</w:t>
      </w:r>
      <w:r w:rsidR="00AC4BE5">
        <w:rPr>
          <w:noProof/>
        </w:rPr>
        <w:fldChar w:fldCharType="end"/>
      </w:r>
      <w:r>
        <w:tab/>
        <w:t>PICO criteria and research question</w:t>
      </w:r>
      <w:r w:rsidRPr="003D26BF">
        <w:t xml:space="preserve"> </w:t>
      </w:r>
      <w:r>
        <w:t>to determine the impact of the A</w:t>
      </w:r>
      <w:r w:rsidR="009B416A">
        <w:t xml:space="preserve">MH test on patient management </w:t>
      </w:r>
      <w:r>
        <w:t>in population 4, 5 and 6</w:t>
      </w:r>
      <w:bookmarkEnd w:id="177"/>
      <w:bookmarkEnd w:id="178"/>
    </w:p>
    <w:tbl>
      <w:tblPr>
        <w:tblStyle w:val="TableGrid1"/>
        <w:tblW w:w="0" w:type="auto"/>
        <w:tblLook w:val="04A0" w:firstRow="1" w:lastRow="0" w:firstColumn="1" w:lastColumn="0" w:noHBand="0" w:noVBand="1"/>
        <w:tblDescription w:val="PICO criteria and research question to determine the impact of the AMH test on patient management in population 4, 5 and 6"/>
      </w:tblPr>
      <w:tblGrid>
        <w:gridCol w:w="1924"/>
        <w:gridCol w:w="7318"/>
      </w:tblGrid>
      <w:tr w:rsidR="007E4701" w14:paraId="67414FED" w14:textId="77777777" w:rsidTr="005F1001">
        <w:trPr>
          <w:cnfStyle w:val="100000000000" w:firstRow="1" w:lastRow="0" w:firstColumn="0" w:lastColumn="0" w:oddVBand="0" w:evenVBand="0" w:oddHBand="0" w:evenHBand="0" w:firstRowFirstColumn="0" w:firstRowLastColumn="0" w:lastRowFirstColumn="0" w:lastRowLastColumn="0"/>
          <w:tblHeader/>
        </w:trPr>
        <w:tc>
          <w:tcPr>
            <w:tcW w:w="1985" w:type="dxa"/>
          </w:tcPr>
          <w:p w14:paraId="3E78FE83" w14:textId="77777777" w:rsidR="007E4701" w:rsidRPr="00515C51" w:rsidRDefault="007E4701" w:rsidP="00217348">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Population</w:t>
            </w:r>
          </w:p>
        </w:tc>
        <w:tc>
          <w:tcPr>
            <w:tcW w:w="7796" w:type="dxa"/>
          </w:tcPr>
          <w:p w14:paraId="42C8C64D" w14:textId="77777777" w:rsidR="007E4701" w:rsidRDefault="007E4701" w:rsidP="00B7183E">
            <w:pPr>
              <w:pStyle w:val="ListParagraph"/>
              <w:numPr>
                <w:ilvl w:val="0"/>
                <w:numId w:val="51"/>
              </w:numPr>
              <w:spacing w:after="40" w:line="240" w:lineRule="auto"/>
              <w:contextualSpacing/>
              <w:rPr>
                <w:rFonts w:ascii="Arial Narrow" w:hAnsi="Arial Narrow" w:cs="Arial Narrow"/>
                <w:bCs/>
                <w:sz w:val="20"/>
              </w:rPr>
            </w:pPr>
            <w:r w:rsidRPr="00ED493D">
              <w:rPr>
                <w:rFonts w:ascii="Arial Narrow" w:hAnsi="Arial Narrow" w:cs="Arial Narrow"/>
                <w:bCs/>
                <w:sz w:val="20"/>
              </w:rPr>
              <w:t>Paediatric</w:t>
            </w:r>
            <w:r>
              <w:rPr>
                <w:rFonts w:ascii="Arial Narrow" w:hAnsi="Arial Narrow" w:cs="Arial Narrow"/>
                <w:bCs/>
                <w:sz w:val="20"/>
              </w:rPr>
              <w:t xml:space="preserve"> female</w:t>
            </w:r>
            <w:r w:rsidRPr="00ED493D">
              <w:rPr>
                <w:rFonts w:ascii="Arial Narrow" w:hAnsi="Arial Narrow" w:cs="Arial Narrow"/>
                <w:bCs/>
                <w:sz w:val="20"/>
              </w:rPr>
              <w:t xml:space="preserve"> patients aged 0</w:t>
            </w:r>
            <w:r>
              <w:rPr>
                <w:rFonts w:ascii="Arial Narrow" w:hAnsi="Arial Narrow" w:cs="Arial Narrow"/>
                <w:bCs/>
                <w:sz w:val="20"/>
              </w:rPr>
              <w:t>–</w:t>
            </w:r>
            <w:r w:rsidRPr="00ED493D">
              <w:rPr>
                <w:rFonts w:ascii="Arial Narrow" w:hAnsi="Arial Narrow" w:cs="Arial Narrow"/>
                <w:bCs/>
                <w:sz w:val="20"/>
              </w:rPr>
              <w:t xml:space="preserve">14 years </w:t>
            </w:r>
            <w:r>
              <w:rPr>
                <w:rFonts w:ascii="Arial Narrow" w:hAnsi="Arial Narrow" w:cs="Arial Narrow"/>
                <w:bCs/>
                <w:sz w:val="20"/>
              </w:rPr>
              <w:t xml:space="preserve">following completion of </w:t>
            </w:r>
            <w:r w:rsidRPr="00D86397">
              <w:rPr>
                <w:rFonts w:ascii="Arial Narrow" w:hAnsi="Arial Narrow" w:cs="Arial Narrow"/>
                <w:bCs/>
                <w:sz w:val="20"/>
              </w:rPr>
              <w:t>gonadotoxic</w:t>
            </w:r>
            <w:r>
              <w:rPr>
                <w:rFonts w:ascii="Arial Narrow" w:hAnsi="Arial Narrow" w:cs="Arial Narrow"/>
                <w:bCs/>
                <w:sz w:val="20"/>
              </w:rPr>
              <w:t xml:space="preserve"> treatment</w:t>
            </w:r>
          </w:p>
          <w:p w14:paraId="2B6C423A" w14:textId="77777777" w:rsidR="007E4701" w:rsidRPr="005F040A" w:rsidRDefault="007E4701" w:rsidP="00B7183E">
            <w:pPr>
              <w:pStyle w:val="ListParagraph"/>
              <w:numPr>
                <w:ilvl w:val="0"/>
                <w:numId w:val="51"/>
              </w:numPr>
              <w:spacing w:after="40" w:line="240" w:lineRule="auto"/>
              <w:contextualSpacing/>
              <w:rPr>
                <w:rFonts w:ascii="Arial Narrow" w:hAnsi="Arial Narrow" w:cs="Arial Narrow"/>
                <w:bCs/>
                <w:sz w:val="20"/>
              </w:rPr>
            </w:pPr>
            <w:r w:rsidRPr="005F040A">
              <w:rPr>
                <w:rFonts w:ascii="Arial Narrow" w:hAnsi="Arial Narrow" w:cs="Arial Narrow"/>
                <w:bCs/>
                <w:sz w:val="20"/>
              </w:rPr>
              <w:t>Adolescent/young adult</w:t>
            </w:r>
            <w:r>
              <w:rPr>
                <w:rFonts w:ascii="Arial Narrow" w:hAnsi="Arial Narrow" w:cs="Arial Narrow"/>
                <w:bCs/>
                <w:sz w:val="20"/>
              </w:rPr>
              <w:t xml:space="preserve"> female</w:t>
            </w:r>
            <w:r w:rsidRPr="005F040A">
              <w:rPr>
                <w:rFonts w:ascii="Arial Narrow" w:hAnsi="Arial Narrow" w:cs="Arial Narrow"/>
                <w:bCs/>
                <w:sz w:val="20"/>
              </w:rPr>
              <w:t xml:space="preserve"> patients aged 15–25 years </w:t>
            </w:r>
            <w:r w:rsidRPr="00523A03">
              <w:rPr>
                <w:rFonts w:ascii="Arial Narrow" w:hAnsi="Arial Narrow" w:cs="Arial Narrow"/>
                <w:bCs/>
                <w:sz w:val="20"/>
              </w:rPr>
              <w:t xml:space="preserve">following completion of </w:t>
            </w:r>
            <w:r w:rsidRPr="005F040A">
              <w:rPr>
                <w:rFonts w:ascii="Arial Narrow" w:hAnsi="Arial Narrow" w:cs="Arial Narrow"/>
                <w:bCs/>
                <w:sz w:val="20"/>
              </w:rPr>
              <w:t>gonadotoxic treatment</w:t>
            </w:r>
          </w:p>
          <w:p w14:paraId="73358522" w14:textId="77777777" w:rsidR="007E4701" w:rsidRPr="00D86397" w:rsidRDefault="007E4701" w:rsidP="00B7183E">
            <w:pPr>
              <w:pStyle w:val="ListParagraph"/>
              <w:numPr>
                <w:ilvl w:val="0"/>
                <w:numId w:val="51"/>
              </w:numPr>
              <w:spacing w:after="40" w:line="240" w:lineRule="auto"/>
              <w:contextualSpacing/>
              <w:rPr>
                <w:rFonts w:ascii="Arial Narrow" w:hAnsi="Arial Narrow" w:cs="Arial Narrow"/>
                <w:bCs/>
                <w:sz w:val="20"/>
              </w:rPr>
            </w:pPr>
            <w:r w:rsidRPr="005F040A">
              <w:rPr>
                <w:rFonts w:ascii="Arial Narrow" w:hAnsi="Arial Narrow" w:cs="Arial Narrow"/>
                <w:bCs/>
                <w:sz w:val="20"/>
              </w:rPr>
              <w:t>Adult</w:t>
            </w:r>
            <w:r>
              <w:rPr>
                <w:rFonts w:ascii="Arial Narrow" w:hAnsi="Arial Narrow" w:cs="Arial Narrow"/>
                <w:bCs/>
                <w:sz w:val="20"/>
              </w:rPr>
              <w:t xml:space="preserve"> female</w:t>
            </w:r>
            <w:r w:rsidRPr="005F040A">
              <w:rPr>
                <w:rFonts w:ascii="Arial Narrow" w:hAnsi="Arial Narrow" w:cs="Arial Narrow"/>
                <w:bCs/>
                <w:sz w:val="20"/>
              </w:rPr>
              <w:t xml:space="preserve"> patients aged 26–45 years </w:t>
            </w:r>
            <w:r w:rsidRPr="00523A03">
              <w:rPr>
                <w:rFonts w:ascii="Arial Narrow" w:hAnsi="Arial Narrow" w:cs="Arial Narrow"/>
                <w:bCs/>
                <w:sz w:val="20"/>
              </w:rPr>
              <w:t xml:space="preserve">following completion of </w:t>
            </w:r>
            <w:r w:rsidRPr="005F040A">
              <w:rPr>
                <w:rFonts w:ascii="Arial Narrow" w:hAnsi="Arial Narrow" w:cs="Arial Narrow"/>
                <w:bCs/>
                <w:sz w:val="20"/>
              </w:rPr>
              <w:t>gonadotoxic treatment</w:t>
            </w:r>
          </w:p>
        </w:tc>
      </w:tr>
      <w:tr w:rsidR="007E4701" w14:paraId="23487FEC" w14:textId="77777777" w:rsidTr="005F1001">
        <w:tc>
          <w:tcPr>
            <w:tcW w:w="1985" w:type="dxa"/>
          </w:tcPr>
          <w:p w14:paraId="4FA42A90" w14:textId="77777777" w:rsidR="007E4701" w:rsidRPr="00515C51" w:rsidRDefault="007E4701" w:rsidP="00217348">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Intervention</w:t>
            </w:r>
          </w:p>
        </w:tc>
        <w:tc>
          <w:tcPr>
            <w:tcW w:w="7796" w:type="dxa"/>
          </w:tcPr>
          <w:p w14:paraId="6801ACA1" w14:textId="77777777" w:rsidR="007E4701" w:rsidRPr="00D86397" w:rsidRDefault="007E4701" w:rsidP="00217348">
            <w:pPr>
              <w:autoSpaceDE w:val="0"/>
              <w:autoSpaceDN w:val="0"/>
              <w:adjustRightInd w:val="0"/>
              <w:spacing w:after="40"/>
              <w:ind w:left="459" w:hanging="459"/>
              <w:rPr>
                <w:rFonts w:ascii="Arial Narrow" w:hAnsi="Arial Narrow" w:cs="Arial Narrow"/>
                <w:bCs/>
                <w:sz w:val="20"/>
              </w:rPr>
            </w:pPr>
            <w:r>
              <w:rPr>
                <w:rFonts w:ascii="Arial Narrow" w:hAnsi="Arial Narrow" w:cs="Arial Narrow"/>
                <w:bCs/>
                <w:sz w:val="20"/>
              </w:rPr>
              <w:t xml:space="preserve">AMH test in addition to other standard tests </w:t>
            </w:r>
          </w:p>
        </w:tc>
      </w:tr>
      <w:tr w:rsidR="007E4701" w14:paraId="406D4532" w14:textId="77777777" w:rsidTr="005F1001">
        <w:tc>
          <w:tcPr>
            <w:tcW w:w="1985" w:type="dxa"/>
          </w:tcPr>
          <w:p w14:paraId="2F6035A3" w14:textId="77777777" w:rsidR="007E4701" w:rsidRPr="00515C51" w:rsidRDefault="007E4701" w:rsidP="00217348">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Comparators</w:t>
            </w:r>
          </w:p>
        </w:tc>
        <w:tc>
          <w:tcPr>
            <w:tcW w:w="7796" w:type="dxa"/>
          </w:tcPr>
          <w:p w14:paraId="18F66AD6" w14:textId="3D02EF67" w:rsidR="007E4701" w:rsidRPr="002E192E" w:rsidRDefault="007E4701" w:rsidP="000828FE">
            <w:pPr>
              <w:pStyle w:val="ListParagraph"/>
              <w:autoSpaceDE w:val="0"/>
              <w:autoSpaceDN w:val="0"/>
              <w:adjustRightInd w:val="0"/>
              <w:spacing w:after="40"/>
              <w:contextualSpacing/>
              <w:rPr>
                <w:rFonts w:ascii="Arial Narrow" w:hAnsi="Arial Narrow" w:cs="Arial Narrow"/>
                <w:bCs/>
                <w:sz w:val="20"/>
              </w:rPr>
            </w:pPr>
            <w:r>
              <w:rPr>
                <w:rFonts w:ascii="Arial Narrow" w:hAnsi="Arial Narrow" w:cs="Arial Narrow"/>
                <w:bCs/>
                <w:sz w:val="20"/>
                <w:szCs w:val="20"/>
              </w:rPr>
              <w:t xml:space="preserve">Other standard tests (FSH, </w:t>
            </w:r>
            <w:r w:rsidR="000828FE">
              <w:rPr>
                <w:rFonts w:ascii="Arial Narrow" w:hAnsi="Arial Narrow" w:cs="Arial Narrow"/>
                <w:bCs/>
                <w:sz w:val="20"/>
                <w:szCs w:val="20"/>
              </w:rPr>
              <w:t>E2</w:t>
            </w:r>
            <w:r>
              <w:rPr>
                <w:rFonts w:ascii="Arial Narrow" w:hAnsi="Arial Narrow" w:cs="Arial Narrow"/>
                <w:bCs/>
                <w:sz w:val="20"/>
                <w:szCs w:val="20"/>
              </w:rPr>
              <w:t>,</w:t>
            </w:r>
            <w:r w:rsidRPr="002E192E">
              <w:rPr>
                <w:rFonts w:ascii="Arial Narrow" w:hAnsi="Arial Narrow" w:cs="Arial Narrow"/>
                <w:bCs/>
                <w:sz w:val="20"/>
                <w:szCs w:val="20"/>
              </w:rPr>
              <w:t xml:space="preserve"> AFC ultrasound if post-pubertal</w:t>
            </w:r>
            <w:r>
              <w:rPr>
                <w:rFonts w:ascii="Arial Narrow" w:hAnsi="Arial Narrow" w:cs="Arial Narrow"/>
                <w:bCs/>
                <w:sz w:val="20"/>
                <w:szCs w:val="20"/>
              </w:rPr>
              <w:t>)</w:t>
            </w:r>
          </w:p>
        </w:tc>
      </w:tr>
      <w:tr w:rsidR="007E4701" w14:paraId="413C4474" w14:textId="77777777" w:rsidTr="005F1001">
        <w:tc>
          <w:tcPr>
            <w:tcW w:w="1985" w:type="dxa"/>
          </w:tcPr>
          <w:p w14:paraId="3B046482" w14:textId="77777777" w:rsidR="007E4701" w:rsidRPr="00515C51" w:rsidRDefault="007E4701" w:rsidP="00217348">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Outcomes</w:t>
            </w:r>
          </w:p>
        </w:tc>
        <w:tc>
          <w:tcPr>
            <w:tcW w:w="7796" w:type="dxa"/>
          </w:tcPr>
          <w:p w14:paraId="565B552E" w14:textId="77777777" w:rsidR="007518CF" w:rsidRDefault="007E4701" w:rsidP="00217348">
            <w:pPr>
              <w:pStyle w:val="ListParagraph"/>
              <w:autoSpaceDE w:val="0"/>
              <w:autoSpaceDN w:val="0"/>
              <w:adjustRightInd w:val="0"/>
              <w:spacing w:after="40"/>
              <w:contextualSpacing/>
              <w:rPr>
                <w:rFonts w:ascii="Arial Narrow" w:hAnsi="Arial Narrow" w:cs="Arial Narrow"/>
                <w:bCs/>
                <w:sz w:val="20"/>
                <w:szCs w:val="20"/>
              </w:rPr>
            </w:pPr>
            <w:r>
              <w:rPr>
                <w:rFonts w:ascii="Arial Narrow" w:hAnsi="Arial Narrow" w:cs="Arial Narrow"/>
                <w:bCs/>
                <w:sz w:val="20"/>
                <w:szCs w:val="20"/>
              </w:rPr>
              <w:t>C</w:t>
            </w:r>
            <w:r w:rsidRPr="00772440">
              <w:rPr>
                <w:rFonts w:ascii="Arial Narrow" w:hAnsi="Arial Narrow" w:cs="Arial Narrow"/>
                <w:bCs/>
                <w:sz w:val="20"/>
                <w:szCs w:val="20"/>
              </w:rPr>
              <w:t>hange in</w:t>
            </w:r>
            <w:r>
              <w:rPr>
                <w:rFonts w:ascii="Arial Narrow" w:hAnsi="Arial Narrow" w:cs="Arial Narrow"/>
                <w:bCs/>
                <w:sz w:val="20"/>
                <w:szCs w:val="20"/>
              </w:rPr>
              <w:t xml:space="preserve"> fertility preservation </w:t>
            </w:r>
            <w:r w:rsidRPr="00772440">
              <w:rPr>
                <w:rFonts w:ascii="Arial Narrow" w:hAnsi="Arial Narrow" w:cs="Arial Narrow"/>
                <w:bCs/>
                <w:sz w:val="20"/>
                <w:szCs w:val="20"/>
              </w:rPr>
              <w:t>pathway</w:t>
            </w:r>
            <w:r>
              <w:rPr>
                <w:rFonts w:ascii="Arial Narrow" w:hAnsi="Arial Narrow" w:cs="Arial Narrow"/>
                <w:bCs/>
                <w:sz w:val="20"/>
                <w:szCs w:val="20"/>
              </w:rPr>
              <w:t xml:space="preserve"> or uptake</w:t>
            </w:r>
            <w:r w:rsidRPr="00772440">
              <w:rPr>
                <w:rFonts w:ascii="Arial Narrow" w:hAnsi="Arial Narrow" w:cs="Arial Narrow"/>
                <w:bCs/>
                <w:sz w:val="20"/>
                <w:szCs w:val="20"/>
              </w:rPr>
              <w:t xml:space="preserve"> (</w:t>
            </w:r>
            <w:r>
              <w:rPr>
                <w:rFonts w:ascii="Arial Narrow" w:hAnsi="Arial Narrow" w:cs="Arial Narrow"/>
                <w:bCs/>
                <w:sz w:val="20"/>
                <w:szCs w:val="20"/>
              </w:rPr>
              <w:t>cryopreservation of oocytes and/or ovarian tissue undertaken or avoided</w:t>
            </w:r>
            <w:r w:rsidRPr="00772440">
              <w:rPr>
                <w:rFonts w:ascii="Arial Narrow" w:hAnsi="Arial Narrow" w:cs="Arial Narrow"/>
                <w:bCs/>
                <w:sz w:val="20"/>
                <w:szCs w:val="20"/>
              </w:rPr>
              <w:t>)</w:t>
            </w:r>
          </w:p>
          <w:p w14:paraId="720EEA37" w14:textId="0671BB18" w:rsidR="007E4701" w:rsidRPr="00772440" w:rsidRDefault="007E4701" w:rsidP="00217348">
            <w:pPr>
              <w:pStyle w:val="ListParagraph"/>
              <w:autoSpaceDE w:val="0"/>
              <w:autoSpaceDN w:val="0"/>
              <w:adjustRightInd w:val="0"/>
              <w:spacing w:after="40"/>
              <w:contextualSpacing/>
              <w:rPr>
                <w:rFonts w:ascii="Arial Narrow" w:hAnsi="Arial Narrow" w:cs="Arial Narrow"/>
                <w:bCs/>
                <w:sz w:val="20"/>
                <w:szCs w:val="20"/>
              </w:rPr>
            </w:pPr>
            <w:r>
              <w:rPr>
                <w:rFonts w:ascii="Arial Narrow" w:hAnsi="Arial Narrow" w:cs="Arial Narrow"/>
                <w:bCs/>
                <w:sz w:val="20"/>
                <w:szCs w:val="20"/>
              </w:rPr>
              <w:t>Change in treatment e.g. hormone therapy for delayed puberty or premature ovarian insufficiency</w:t>
            </w:r>
          </w:p>
        </w:tc>
      </w:tr>
      <w:tr w:rsidR="007E4701" w14:paraId="053A1014" w14:textId="77777777" w:rsidTr="005F1001">
        <w:tc>
          <w:tcPr>
            <w:tcW w:w="1985" w:type="dxa"/>
          </w:tcPr>
          <w:p w14:paraId="401AF560" w14:textId="77777777" w:rsidR="007E4701" w:rsidRPr="00515C51" w:rsidRDefault="007E4701" w:rsidP="00217348">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Study design</w:t>
            </w:r>
          </w:p>
        </w:tc>
        <w:tc>
          <w:tcPr>
            <w:tcW w:w="7796" w:type="dxa"/>
          </w:tcPr>
          <w:p w14:paraId="6544388B" w14:textId="77777777" w:rsidR="007E4701" w:rsidRPr="00772440" w:rsidRDefault="007E4701" w:rsidP="00217348">
            <w:pPr>
              <w:autoSpaceDE w:val="0"/>
              <w:autoSpaceDN w:val="0"/>
              <w:adjustRightInd w:val="0"/>
              <w:spacing w:after="40"/>
              <w:rPr>
                <w:rFonts w:ascii="Arial Narrow" w:hAnsi="Arial Narrow" w:cs="Arial Narrow"/>
                <w:bCs/>
                <w:sz w:val="20"/>
              </w:rPr>
            </w:pPr>
            <w:r w:rsidRPr="00772440">
              <w:rPr>
                <w:rFonts w:ascii="Arial Narrow" w:hAnsi="Arial Narrow" w:cs="Arial Narrow"/>
                <w:bCs/>
                <w:sz w:val="20"/>
              </w:rPr>
              <w:t>Randomised trials, cohort studies, case series or systematic reviews of these study designs</w:t>
            </w:r>
          </w:p>
        </w:tc>
      </w:tr>
      <w:tr w:rsidR="007E4701" w14:paraId="32E545A4" w14:textId="77777777" w:rsidTr="005F1001">
        <w:tc>
          <w:tcPr>
            <w:tcW w:w="1985" w:type="dxa"/>
          </w:tcPr>
          <w:p w14:paraId="1F87921B" w14:textId="77777777" w:rsidR="007E4701" w:rsidRPr="00515C51" w:rsidRDefault="007E4701" w:rsidP="00217348">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Search period</w:t>
            </w:r>
          </w:p>
        </w:tc>
        <w:tc>
          <w:tcPr>
            <w:tcW w:w="7796" w:type="dxa"/>
          </w:tcPr>
          <w:p w14:paraId="2EFCCA2F" w14:textId="7F4D8703" w:rsidR="007E4701" w:rsidRPr="00772440" w:rsidRDefault="007E4701" w:rsidP="00217348">
            <w:pPr>
              <w:autoSpaceDE w:val="0"/>
              <w:autoSpaceDN w:val="0"/>
              <w:adjustRightInd w:val="0"/>
              <w:spacing w:after="40"/>
              <w:rPr>
                <w:rFonts w:ascii="Arial Narrow" w:hAnsi="Arial Narrow" w:cs="Arial Narrow"/>
                <w:bCs/>
                <w:sz w:val="20"/>
              </w:rPr>
            </w:pPr>
            <w:r w:rsidRPr="00772440">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 2017</w:t>
            </w:r>
          </w:p>
        </w:tc>
      </w:tr>
      <w:tr w:rsidR="007E4701" w14:paraId="26DB1ABA" w14:textId="77777777" w:rsidTr="005F1001">
        <w:tc>
          <w:tcPr>
            <w:tcW w:w="1985" w:type="dxa"/>
          </w:tcPr>
          <w:p w14:paraId="20AD72E1" w14:textId="77777777" w:rsidR="007E4701" w:rsidRPr="00515C51" w:rsidRDefault="007E4701" w:rsidP="00217348">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Language</w:t>
            </w:r>
          </w:p>
        </w:tc>
        <w:tc>
          <w:tcPr>
            <w:tcW w:w="7796" w:type="dxa"/>
          </w:tcPr>
          <w:p w14:paraId="391CF476" w14:textId="4E03ABB6" w:rsidR="007E4701" w:rsidRPr="00772440" w:rsidRDefault="007E4701" w:rsidP="00217348">
            <w:pPr>
              <w:autoSpaceDE w:val="0"/>
              <w:autoSpaceDN w:val="0"/>
              <w:adjustRightInd w:val="0"/>
              <w:spacing w:after="40"/>
              <w:rPr>
                <w:rFonts w:ascii="Arial Narrow" w:hAnsi="Arial Narrow" w:cs="Arial Narrow"/>
                <w:bCs/>
                <w:sz w:val="20"/>
              </w:rPr>
            </w:pPr>
            <w:r w:rsidRPr="00772440">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772440">
              <w:rPr>
                <w:rFonts w:ascii="Arial Narrow" w:hAnsi="Arial Narrow" w:cs="Arial Narrow"/>
                <w:bCs/>
                <w:sz w:val="20"/>
              </w:rPr>
              <w:t>base</w:t>
            </w:r>
          </w:p>
        </w:tc>
      </w:tr>
      <w:tr w:rsidR="007E4701" w14:paraId="29F4023B" w14:textId="77777777" w:rsidTr="005F1001">
        <w:tc>
          <w:tcPr>
            <w:tcW w:w="9781" w:type="dxa"/>
            <w:gridSpan w:val="2"/>
          </w:tcPr>
          <w:p w14:paraId="3E9D0C77" w14:textId="5A7B61CB" w:rsidR="007E4701" w:rsidRPr="00772440" w:rsidRDefault="007E4701" w:rsidP="000828FE">
            <w:pPr>
              <w:spacing w:after="40"/>
              <w:jc w:val="both"/>
              <w:rPr>
                <w:rFonts w:ascii="Arial Narrow" w:hAnsi="Arial Narrow" w:cs="Arial Narrow"/>
                <w:b/>
                <w:bCs/>
                <w:sz w:val="20"/>
              </w:rPr>
            </w:pPr>
            <w:r w:rsidRPr="00772440">
              <w:rPr>
                <w:rFonts w:ascii="Arial Narrow" w:hAnsi="Arial Narrow" w:cs="Arial Narrow"/>
                <w:b/>
                <w:bCs/>
                <w:sz w:val="20"/>
              </w:rPr>
              <w:t>Is there a change in management</w:t>
            </w:r>
            <w:r>
              <w:rPr>
                <w:rFonts w:ascii="Arial Narrow" w:hAnsi="Arial Narrow" w:cs="Arial Narrow"/>
                <w:b/>
                <w:bCs/>
                <w:sz w:val="20"/>
              </w:rPr>
              <w:t xml:space="preserve"> after AMH testing</w:t>
            </w:r>
            <w:r w:rsidRPr="00772440">
              <w:rPr>
                <w:rFonts w:ascii="Arial Narrow" w:hAnsi="Arial Narrow" w:cs="Arial Narrow"/>
                <w:b/>
                <w:bCs/>
                <w:sz w:val="20"/>
              </w:rPr>
              <w:t xml:space="preserve"> in</w:t>
            </w:r>
            <w:r>
              <w:rPr>
                <w:rFonts w:ascii="Arial Narrow" w:hAnsi="Arial Narrow" w:cs="Arial Narrow"/>
                <w:b/>
                <w:bCs/>
                <w:sz w:val="20"/>
              </w:rPr>
              <w:t xml:space="preserve"> female</w:t>
            </w:r>
            <w:r w:rsidRPr="00772440">
              <w:rPr>
                <w:rFonts w:ascii="Arial Narrow" w:hAnsi="Arial Narrow" w:cs="Arial Narrow"/>
                <w:b/>
                <w:bCs/>
                <w:sz w:val="20"/>
              </w:rPr>
              <w:t xml:space="preserve"> patients</w:t>
            </w:r>
            <w:r>
              <w:rPr>
                <w:rFonts w:ascii="Arial Narrow" w:hAnsi="Arial Narrow" w:cs="Arial Narrow"/>
                <w:b/>
                <w:bCs/>
                <w:sz w:val="20"/>
              </w:rPr>
              <w:t xml:space="preserve"> </w:t>
            </w:r>
            <w:r w:rsidRPr="00431186">
              <w:rPr>
                <w:rFonts w:ascii="Arial Narrow" w:hAnsi="Arial Narrow" w:cs="Arial Narrow"/>
                <w:b/>
                <w:bCs/>
                <w:sz w:val="20"/>
              </w:rPr>
              <w:t xml:space="preserve">following completion of </w:t>
            </w:r>
            <w:r>
              <w:rPr>
                <w:rFonts w:ascii="Arial Narrow" w:hAnsi="Arial Narrow" w:cs="Arial Narrow"/>
                <w:b/>
                <w:bCs/>
                <w:sz w:val="20"/>
              </w:rPr>
              <w:t>gonadotoxic treatment</w:t>
            </w:r>
            <w:r w:rsidRPr="00772440">
              <w:rPr>
                <w:rFonts w:ascii="Arial Narrow" w:hAnsi="Arial Narrow" w:cs="Arial Narrow"/>
                <w:b/>
                <w:bCs/>
                <w:sz w:val="20"/>
              </w:rPr>
              <w:t xml:space="preserve">, compared to </w:t>
            </w:r>
            <w:r>
              <w:rPr>
                <w:rFonts w:ascii="Arial Narrow" w:hAnsi="Arial Narrow" w:cs="Arial Narrow"/>
                <w:b/>
                <w:bCs/>
                <w:sz w:val="20"/>
              </w:rPr>
              <w:t xml:space="preserve">FSH, </w:t>
            </w:r>
            <w:r w:rsidR="000828FE">
              <w:rPr>
                <w:rFonts w:ascii="Arial Narrow" w:hAnsi="Arial Narrow" w:cs="Arial Narrow"/>
                <w:b/>
                <w:bCs/>
                <w:sz w:val="20"/>
              </w:rPr>
              <w:t>E2</w:t>
            </w:r>
            <w:r>
              <w:rPr>
                <w:rFonts w:ascii="Arial Narrow" w:hAnsi="Arial Narrow" w:cs="Arial Narrow"/>
                <w:b/>
                <w:bCs/>
                <w:sz w:val="20"/>
              </w:rPr>
              <w:t xml:space="preserve"> and/or</w:t>
            </w:r>
            <w:r w:rsidRPr="00A651F2">
              <w:rPr>
                <w:rFonts w:ascii="Arial Narrow" w:hAnsi="Arial Narrow" w:cs="Arial Narrow"/>
                <w:b/>
                <w:bCs/>
                <w:sz w:val="20"/>
              </w:rPr>
              <w:t xml:space="preserve"> AFC ultrasound</w:t>
            </w:r>
            <w:r>
              <w:rPr>
                <w:rFonts w:ascii="Arial Narrow" w:hAnsi="Arial Narrow" w:cs="Arial Narrow"/>
                <w:b/>
                <w:bCs/>
                <w:sz w:val="20"/>
              </w:rPr>
              <w:t xml:space="preserve"> if post-pubertal</w:t>
            </w:r>
            <w:r w:rsidRPr="00772440">
              <w:rPr>
                <w:rFonts w:ascii="Arial Narrow" w:hAnsi="Arial Narrow" w:cs="Arial Narrow"/>
                <w:b/>
                <w:bCs/>
                <w:sz w:val="20"/>
              </w:rPr>
              <w:t>?</w:t>
            </w:r>
          </w:p>
        </w:tc>
      </w:tr>
    </w:tbl>
    <w:p w14:paraId="11065279" w14:textId="4A637CAA" w:rsidR="007E4701" w:rsidRPr="009B416A" w:rsidRDefault="007E4701" w:rsidP="00217348">
      <w:pPr>
        <w:pStyle w:val="TableNotes1"/>
        <w:rPr>
          <w:sz w:val="18"/>
          <w:szCs w:val="18"/>
        </w:rPr>
      </w:pPr>
      <w:r w:rsidRPr="009B416A">
        <w:rPr>
          <w:sz w:val="18"/>
          <w:szCs w:val="18"/>
        </w:rPr>
        <w:t xml:space="preserve">AFC = antral follicle count; AMH = anti-Müllerian hormone; </w:t>
      </w:r>
      <w:r w:rsidR="000828FE" w:rsidRPr="009B416A">
        <w:rPr>
          <w:sz w:val="18"/>
          <w:szCs w:val="18"/>
        </w:rPr>
        <w:t xml:space="preserve">E2 = estradiol; </w:t>
      </w:r>
      <w:r w:rsidRPr="009B416A">
        <w:rPr>
          <w:sz w:val="18"/>
          <w:szCs w:val="18"/>
        </w:rPr>
        <w:t>FSH = follicular stimulating hormone</w:t>
      </w:r>
    </w:p>
    <w:p w14:paraId="6E7EE1D7" w14:textId="14A15950" w:rsidR="007E4701" w:rsidRDefault="007E4701" w:rsidP="009B416A">
      <w:pPr>
        <w:pStyle w:val="TableHeading"/>
        <w:ind w:left="993" w:hanging="993"/>
      </w:pPr>
      <w:bookmarkStart w:id="179" w:name="_Ref493513329"/>
      <w:bookmarkStart w:id="180" w:name="_Toc491849021"/>
      <w:bookmarkStart w:id="181" w:name="_Toc502833040"/>
      <w:r>
        <w:lastRenderedPageBreak/>
        <w:t xml:space="preserve">Table </w:t>
      </w:r>
      <w:r w:rsidR="00AC4BE5">
        <w:fldChar w:fldCharType="begin"/>
      </w:r>
      <w:r w:rsidR="00AC4BE5">
        <w:instrText xml:space="preserve"> SEQ Table \* ARABIC </w:instrText>
      </w:r>
      <w:r w:rsidR="00AC4BE5">
        <w:fldChar w:fldCharType="separate"/>
      </w:r>
      <w:r w:rsidR="00AC4BE5">
        <w:rPr>
          <w:noProof/>
        </w:rPr>
        <w:t>22</w:t>
      </w:r>
      <w:r w:rsidR="00AC4BE5">
        <w:rPr>
          <w:noProof/>
        </w:rPr>
        <w:fldChar w:fldCharType="end"/>
      </w:r>
      <w:bookmarkEnd w:id="179"/>
      <w:r>
        <w:tab/>
      </w:r>
      <w:r w:rsidRPr="00251003">
        <w:t xml:space="preserve">PICO criteria </w:t>
      </w:r>
      <w:r>
        <w:t>and research question</w:t>
      </w:r>
      <w:r w:rsidRPr="003D26BF">
        <w:t xml:space="preserve"> </w:t>
      </w:r>
      <w:r w:rsidRPr="00251003">
        <w:t xml:space="preserve">to determine the effectiveness of </w:t>
      </w:r>
      <w:r w:rsidR="009B416A">
        <w:t xml:space="preserve">change in management in </w:t>
      </w:r>
      <w:r>
        <w:t>population 1, 2 and 3</w:t>
      </w:r>
      <w:bookmarkEnd w:id="180"/>
      <w:bookmarkEnd w:id="181"/>
    </w:p>
    <w:tbl>
      <w:tblPr>
        <w:tblStyle w:val="TableGrid1"/>
        <w:tblW w:w="0" w:type="auto"/>
        <w:tblLook w:val="04A0" w:firstRow="1" w:lastRow="0" w:firstColumn="1" w:lastColumn="0" w:noHBand="0" w:noVBand="1"/>
        <w:tblDescription w:val="PICO criteria and research question to determine the effectiveness of change in management in population 1, 2 and 3"/>
      </w:tblPr>
      <w:tblGrid>
        <w:gridCol w:w="1923"/>
        <w:gridCol w:w="7319"/>
      </w:tblGrid>
      <w:tr w:rsidR="007E4701" w14:paraId="4373CEDA" w14:textId="77777777" w:rsidTr="005F1001">
        <w:trPr>
          <w:cnfStyle w:val="100000000000" w:firstRow="1" w:lastRow="0" w:firstColumn="0" w:lastColumn="0" w:oddVBand="0" w:evenVBand="0" w:oddHBand="0" w:evenHBand="0" w:firstRowFirstColumn="0" w:firstRowLastColumn="0" w:lastRowFirstColumn="0" w:lastRowLastColumn="0"/>
          <w:tblHeader/>
        </w:trPr>
        <w:tc>
          <w:tcPr>
            <w:tcW w:w="1985" w:type="dxa"/>
          </w:tcPr>
          <w:p w14:paraId="14AAF8E8"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Population</w:t>
            </w:r>
          </w:p>
        </w:tc>
        <w:tc>
          <w:tcPr>
            <w:tcW w:w="7796" w:type="dxa"/>
          </w:tcPr>
          <w:p w14:paraId="7E1BA33C" w14:textId="77777777" w:rsidR="007E4701" w:rsidRDefault="007E4701" w:rsidP="00D366DE">
            <w:pPr>
              <w:pStyle w:val="ListParagraph"/>
              <w:numPr>
                <w:ilvl w:val="0"/>
                <w:numId w:val="26"/>
              </w:numPr>
              <w:spacing w:after="40" w:line="240" w:lineRule="auto"/>
              <w:ind w:left="459" w:hanging="425"/>
              <w:contextualSpacing/>
              <w:rPr>
                <w:rFonts w:ascii="Arial Narrow" w:hAnsi="Arial Narrow" w:cs="Arial Narrow"/>
                <w:bCs/>
                <w:sz w:val="20"/>
              </w:rPr>
            </w:pPr>
            <w:r w:rsidRPr="00ED493D">
              <w:rPr>
                <w:rFonts w:ascii="Arial Narrow" w:hAnsi="Arial Narrow" w:cs="Arial Narrow"/>
                <w:bCs/>
                <w:sz w:val="20"/>
              </w:rPr>
              <w:t>Paediatric</w:t>
            </w:r>
            <w:r>
              <w:rPr>
                <w:rFonts w:ascii="Arial Narrow" w:hAnsi="Arial Narrow" w:cs="Arial Narrow"/>
                <w:bCs/>
                <w:sz w:val="20"/>
              </w:rPr>
              <w:t xml:space="preserve"> female</w:t>
            </w:r>
            <w:r w:rsidRPr="00ED493D">
              <w:rPr>
                <w:rFonts w:ascii="Arial Narrow" w:hAnsi="Arial Narrow" w:cs="Arial Narrow"/>
                <w:bCs/>
                <w:sz w:val="20"/>
              </w:rPr>
              <w:t xml:space="preserve"> patients aged 0</w:t>
            </w:r>
            <w:r>
              <w:rPr>
                <w:rFonts w:ascii="Arial Narrow" w:hAnsi="Arial Narrow" w:cs="Arial Narrow"/>
                <w:bCs/>
                <w:sz w:val="20"/>
              </w:rPr>
              <w:t>–</w:t>
            </w:r>
            <w:r w:rsidRPr="00ED493D">
              <w:rPr>
                <w:rFonts w:ascii="Arial Narrow" w:hAnsi="Arial Narrow" w:cs="Arial Narrow"/>
                <w:bCs/>
                <w:sz w:val="20"/>
              </w:rPr>
              <w:t xml:space="preserve">14 years </w:t>
            </w:r>
            <w:r>
              <w:rPr>
                <w:rFonts w:ascii="Arial Narrow" w:hAnsi="Arial Narrow" w:cs="Arial Narrow"/>
                <w:bCs/>
                <w:sz w:val="20"/>
              </w:rPr>
              <w:t xml:space="preserve">following completion of </w:t>
            </w:r>
            <w:r w:rsidRPr="00D86397">
              <w:rPr>
                <w:rFonts w:ascii="Arial Narrow" w:hAnsi="Arial Narrow" w:cs="Arial Narrow"/>
                <w:bCs/>
                <w:sz w:val="20"/>
              </w:rPr>
              <w:t>gonadotoxic</w:t>
            </w:r>
            <w:r>
              <w:rPr>
                <w:rFonts w:ascii="Arial Narrow" w:hAnsi="Arial Narrow" w:cs="Arial Narrow"/>
                <w:bCs/>
                <w:sz w:val="20"/>
              </w:rPr>
              <w:t xml:space="preserve"> treatment</w:t>
            </w:r>
          </w:p>
          <w:p w14:paraId="05523587" w14:textId="77777777" w:rsidR="007E4701" w:rsidRPr="005F040A" w:rsidRDefault="007E4701" w:rsidP="00D366DE">
            <w:pPr>
              <w:pStyle w:val="ListParagraph"/>
              <w:numPr>
                <w:ilvl w:val="0"/>
                <w:numId w:val="26"/>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Adolescent/young adult</w:t>
            </w:r>
            <w:r>
              <w:rPr>
                <w:rFonts w:ascii="Arial Narrow" w:hAnsi="Arial Narrow" w:cs="Arial Narrow"/>
                <w:bCs/>
                <w:sz w:val="20"/>
              </w:rPr>
              <w:t xml:space="preserve"> female</w:t>
            </w:r>
            <w:r w:rsidRPr="005F040A">
              <w:rPr>
                <w:rFonts w:ascii="Arial Narrow" w:hAnsi="Arial Narrow" w:cs="Arial Narrow"/>
                <w:bCs/>
                <w:sz w:val="20"/>
              </w:rPr>
              <w:t xml:space="preserve"> patients aged 15–25 years </w:t>
            </w:r>
            <w:r w:rsidRPr="00523A03">
              <w:rPr>
                <w:rFonts w:ascii="Arial Narrow" w:hAnsi="Arial Narrow" w:cs="Arial Narrow"/>
                <w:bCs/>
                <w:sz w:val="20"/>
              </w:rPr>
              <w:t xml:space="preserve">following completion of </w:t>
            </w:r>
            <w:r w:rsidRPr="005F040A">
              <w:rPr>
                <w:rFonts w:ascii="Arial Narrow" w:hAnsi="Arial Narrow" w:cs="Arial Narrow"/>
                <w:bCs/>
                <w:sz w:val="20"/>
              </w:rPr>
              <w:t>gonadotoxic treatment</w:t>
            </w:r>
          </w:p>
          <w:p w14:paraId="3DDC31EB" w14:textId="77777777" w:rsidR="007E4701" w:rsidRPr="00D86397" w:rsidRDefault="007E4701" w:rsidP="00D366DE">
            <w:pPr>
              <w:pStyle w:val="ListParagraph"/>
              <w:numPr>
                <w:ilvl w:val="0"/>
                <w:numId w:val="26"/>
              </w:numPr>
              <w:spacing w:after="40" w:line="240" w:lineRule="auto"/>
              <w:ind w:left="459" w:hanging="425"/>
              <w:contextualSpacing/>
              <w:rPr>
                <w:rFonts w:ascii="Arial Narrow" w:hAnsi="Arial Narrow" w:cs="Arial Narrow"/>
                <w:bCs/>
                <w:sz w:val="20"/>
              </w:rPr>
            </w:pPr>
            <w:r w:rsidRPr="005F040A">
              <w:rPr>
                <w:rFonts w:ascii="Arial Narrow" w:hAnsi="Arial Narrow" w:cs="Arial Narrow"/>
                <w:bCs/>
                <w:sz w:val="20"/>
              </w:rPr>
              <w:t>Adult</w:t>
            </w:r>
            <w:r>
              <w:rPr>
                <w:rFonts w:ascii="Arial Narrow" w:hAnsi="Arial Narrow" w:cs="Arial Narrow"/>
                <w:bCs/>
                <w:sz w:val="20"/>
              </w:rPr>
              <w:t xml:space="preserve"> female</w:t>
            </w:r>
            <w:r w:rsidRPr="005F040A">
              <w:rPr>
                <w:rFonts w:ascii="Arial Narrow" w:hAnsi="Arial Narrow" w:cs="Arial Narrow"/>
                <w:bCs/>
                <w:sz w:val="20"/>
              </w:rPr>
              <w:t xml:space="preserve"> patients aged 26–45 years </w:t>
            </w:r>
            <w:r w:rsidRPr="00523A03">
              <w:rPr>
                <w:rFonts w:ascii="Arial Narrow" w:hAnsi="Arial Narrow" w:cs="Arial Narrow"/>
                <w:bCs/>
                <w:sz w:val="20"/>
              </w:rPr>
              <w:t xml:space="preserve">following completion of </w:t>
            </w:r>
            <w:r w:rsidRPr="005F040A">
              <w:rPr>
                <w:rFonts w:ascii="Arial Narrow" w:hAnsi="Arial Narrow" w:cs="Arial Narrow"/>
                <w:bCs/>
                <w:sz w:val="20"/>
              </w:rPr>
              <w:t>gonadotoxic treatment</w:t>
            </w:r>
          </w:p>
        </w:tc>
      </w:tr>
      <w:tr w:rsidR="007E4701" w14:paraId="7347FC23" w14:textId="77777777" w:rsidTr="005F1001">
        <w:tc>
          <w:tcPr>
            <w:tcW w:w="1985" w:type="dxa"/>
          </w:tcPr>
          <w:p w14:paraId="4CD349CD"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Intervention</w:t>
            </w:r>
          </w:p>
        </w:tc>
        <w:tc>
          <w:tcPr>
            <w:tcW w:w="7796" w:type="dxa"/>
          </w:tcPr>
          <w:p w14:paraId="60C317AF" w14:textId="4C68D49E" w:rsidR="007E4701" w:rsidRPr="001B2A30" w:rsidRDefault="007E4701" w:rsidP="00B7183E">
            <w:pPr>
              <w:pStyle w:val="ListParagraph"/>
              <w:numPr>
                <w:ilvl w:val="0"/>
                <w:numId w:val="52"/>
              </w:numPr>
              <w:autoSpaceDE w:val="0"/>
              <w:autoSpaceDN w:val="0"/>
              <w:adjustRightInd w:val="0"/>
              <w:spacing w:after="40"/>
              <w:rPr>
                <w:rFonts w:ascii="Arial Narrow" w:hAnsi="Arial Narrow" w:cs="Arial Narrow"/>
                <w:bCs/>
                <w:sz w:val="20"/>
              </w:rPr>
            </w:pPr>
            <w:r w:rsidRPr="001B2A30">
              <w:rPr>
                <w:rFonts w:ascii="Arial Narrow" w:hAnsi="Arial Narrow" w:cs="Arial Narrow"/>
                <w:bCs/>
                <w:sz w:val="20"/>
              </w:rPr>
              <w:t>Cryopreservation of ovarian tissue for fertility preservation</w:t>
            </w:r>
            <w:r w:rsidR="001B2A30">
              <w:rPr>
                <w:rFonts w:ascii="Arial Narrow" w:hAnsi="Arial Narrow" w:cs="Arial Narrow"/>
                <w:bCs/>
                <w:sz w:val="20"/>
                <w:vertAlign w:val="superscript"/>
              </w:rPr>
              <w:t>a</w:t>
            </w:r>
          </w:p>
          <w:p w14:paraId="37708917" w14:textId="60BAE50B" w:rsidR="007E4701" w:rsidRPr="001B2A30" w:rsidRDefault="007E4701" w:rsidP="00B7183E">
            <w:pPr>
              <w:pStyle w:val="ListParagraph"/>
              <w:numPr>
                <w:ilvl w:val="0"/>
                <w:numId w:val="52"/>
              </w:numPr>
              <w:autoSpaceDE w:val="0"/>
              <w:autoSpaceDN w:val="0"/>
              <w:adjustRightInd w:val="0"/>
              <w:spacing w:after="40"/>
              <w:rPr>
                <w:rFonts w:ascii="Arial Narrow" w:hAnsi="Arial Narrow" w:cs="Arial Narrow"/>
                <w:bCs/>
                <w:sz w:val="20"/>
              </w:rPr>
            </w:pPr>
            <w:r w:rsidRPr="001B2A30">
              <w:rPr>
                <w:rFonts w:ascii="Arial Narrow" w:hAnsi="Arial Narrow" w:cs="Arial Narrow"/>
                <w:bCs/>
                <w:sz w:val="20"/>
              </w:rPr>
              <w:t>Cryopreservation of oocytes for fertility preservation</w:t>
            </w:r>
          </w:p>
        </w:tc>
      </w:tr>
      <w:tr w:rsidR="007E4701" w14:paraId="540F79B8" w14:textId="77777777" w:rsidTr="005F1001">
        <w:tc>
          <w:tcPr>
            <w:tcW w:w="1985" w:type="dxa"/>
          </w:tcPr>
          <w:p w14:paraId="2BA0C12E"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Comparators</w:t>
            </w:r>
          </w:p>
        </w:tc>
        <w:tc>
          <w:tcPr>
            <w:tcW w:w="7796" w:type="dxa"/>
          </w:tcPr>
          <w:p w14:paraId="511FBBEE" w14:textId="77777777" w:rsidR="007E4701" w:rsidRPr="001B2A30" w:rsidRDefault="007E4701" w:rsidP="00B7183E">
            <w:pPr>
              <w:pStyle w:val="ListParagraph"/>
              <w:numPr>
                <w:ilvl w:val="0"/>
                <w:numId w:val="53"/>
              </w:numPr>
              <w:autoSpaceDE w:val="0"/>
              <w:autoSpaceDN w:val="0"/>
              <w:adjustRightInd w:val="0"/>
              <w:spacing w:after="40" w:line="240" w:lineRule="auto"/>
              <w:contextualSpacing/>
              <w:rPr>
                <w:rFonts w:ascii="Arial Narrow" w:hAnsi="Arial Narrow" w:cs="Arial Narrow"/>
                <w:bCs/>
                <w:sz w:val="20"/>
                <w:szCs w:val="20"/>
              </w:rPr>
            </w:pPr>
            <w:r w:rsidRPr="001B2A30">
              <w:rPr>
                <w:rFonts w:ascii="Arial Narrow" w:hAnsi="Arial Narrow" w:cs="Arial Narrow"/>
                <w:bCs/>
                <w:sz w:val="20"/>
                <w:szCs w:val="20"/>
              </w:rPr>
              <w:t>No cryopreservation of oocytes for fertility preservation</w:t>
            </w:r>
          </w:p>
          <w:p w14:paraId="49797878" w14:textId="77777777" w:rsidR="007E4701" w:rsidRPr="001B2A30" w:rsidRDefault="007E4701" w:rsidP="00B7183E">
            <w:pPr>
              <w:pStyle w:val="ListParagraph"/>
              <w:numPr>
                <w:ilvl w:val="0"/>
                <w:numId w:val="53"/>
              </w:numPr>
              <w:spacing w:after="40" w:line="240" w:lineRule="auto"/>
              <w:rPr>
                <w:rFonts w:ascii="Arial Narrow" w:hAnsi="Arial Narrow" w:cs="Arial Narrow"/>
                <w:bCs/>
                <w:sz w:val="20"/>
              </w:rPr>
            </w:pPr>
            <w:r w:rsidRPr="001B2A30">
              <w:rPr>
                <w:rFonts w:ascii="Arial Narrow" w:hAnsi="Arial Narrow" w:cs="Arial Narrow"/>
                <w:bCs/>
                <w:sz w:val="20"/>
              </w:rPr>
              <w:t>No cryopreservation of ovarian tissue for fertility preservation</w:t>
            </w:r>
          </w:p>
        </w:tc>
      </w:tr>
      <w:tr w:rsidR="007E4701" w14:paraId="0B59781A" w14:textId="77777777" w:rsidTr="005F1001">
        <w:tc>
          <w:tcPr>
            <w:tcW w:w="1985" w:type="dxa"/>
          </w:tcPr>
          <w:p w14:paraId="70BD77C9"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Outcomes</w:t>
            </w:r>
          </w:p>
        </w:tc>
        <w:tc>
          <w:tcPr>
            <w:tcW w:w="7796" w:type="dxa"/>
          </w:tcPr>
          <w:p w14:paraId="2FA94219" w14:textId="77777777" w:rsidR="007E4701" w:rsidRPr="005B095B" w:rsidRDefault="007E4701" w:rsidP="00123D7B">
            <w:pPr>
              <w:pStyle w:val="ListParagraph"/>
              <w:spacing w:after="40"/>
              <w:contextualSpacing/>
              <w:rPr>
                <w:rFonts w:ascii="Arial Narrow" w:hAnsi="Arial Narrow" w:cs="Arial Narrow"/>
                <w:bCs/>
                <w:sz w:val="20"/>
                <w:szCs w:val="20"/>
              </w:rPr>
            </w:pPr>
            <w:r w:rsidRPr="00523A03">
              <w:rPr>
                <w:rFonts w:ascii="Arial Narrow" w:hAnsi="Arial Narrow" w:cs="Arial Narrow"/>
                <w:bCs/>
                <w:sz w:val="20"/>
                <w:szCs w:val="20"/>
              </w:rPr>
              <w:t>Rate of pregnancy with biological offspring, rate of childlessness</w:t>
            </w:r>
            <w:r>
              <w:rPr>
                <w:rFonts w:ascii="Arial Narrow" w:hAnsi="Arial Narrow" w:cs="Arial Narrow"/>
                <w:bCs/>
                <w:sz w:val="20"/>
                <w:szCs w:val="20"/>
              </w:rPr>
              <w:t>, quality of life/family life</w:t>
            </w:r>
          </w:p>
        </w:tc>
      </w:tr>
      <w:tr w:rsidR="007E4701" w14:paraId="158151A0" w14:textId="77777777" w:rsidTr="005F1001">
        <w:tc>
          <w:tcPr>
            <w:tcW w:w="1985" w:type="dxa"/>
          </w:tcPr>
          <w:p w14:paraId="026127B5"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Study design</w:t>
            </w:r>
          </w:p>
        </w:tc>
        <w:tc>
          <w:tcPr>
            <w:tcW w:w="7796" w:type="dxa"/>
          </w:tcPr>
          <w:p w14:paraId="643D0F50" w14:textId="77777777" w:rsidR="007E4701" w:rsidRPr="005B095B" w:rsidRDefault="007E4701" w:rsidP="00123D7B">
            <w:pPr>
              <w:autoSpaceDE w:val="0"/>
              <w:autoSpaceDN w:val="0"/>
              <w:adjustRightInd w:val="0"/>
              <w:spacing w:after="40"/>
              <w:rPr>
                <w:rFonts w:ascii="Arial Narrow" w:hAnsi="Arial Narrow" w:cs="Arial Narrow"/>
                <w:bCs/>
                <w:sz w:val="20"/>
              </w:rPr>
            </w:pPr>
            <w:r w:rsidRPr="005B095B">
              <w:rPr>
                <w:rFonts w:ascii="Arial Narrow" w:hAnsi="Arial Narrow" w:cs="Arial Narrow"/>
                <w:bCs/>
                <w:sz w:val="20"/>
              </w:rPr>
              <w:t xml:space="preserve">Randomised trials, cohort studies, </w:t>
            </w:r>
            <w:r>
              <w:rPr>
                <w:rFonts w:ascii="Arial Narrow" w:hAnsi="Arial Narrow" w:cs="Arial Narrow"/>
                <w:bCs/>
                <w:sz w:val="20"/>
              </w:rPr>
              <w:t xml:space="preserve">or </w:t>
            </w:r>
            <w:r w:rsidRPr="005B095B">
              <w:rPr>
                <w:rFonts w:ascii="Arial Narrow" w:hAnsi="Arial Narrow" w:cs="Arial Narrow"/>
                <w:bCs/>
                <w:sz w:val="20"/>
              </w:rPr>
              <w:t>systematic reviews of these study designs</w:t>
            </w:r>
          </w:p>
        </w:tc>
      </w:tr>
      <w:tr w:rsidR="007E4701" w14:paraId="12FA666F" w14:textId="77777777" w:rsidTr="005F1001">
        <w:tc>
          <w:tcPr>
            <w:tcW w:w="1985" w:type="dxa"/>
          </w:tcPr>
          <w:p w14:paraId="1D251E46"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Search period</w:t>
            </w:r>
          </w:p>
        </w:tc>
        <w:tc>
          <w:tcPr>
            <w:tcW w:w="7796" w:type="dxa"/>
          </w:tcPr>
          <w:p w14:paraId="34073148" w14:textId="55C529F1" w:rsidR="007E4701" w:rsidRPr="005B095B" w:rsidRDefault="007E4701" w:rsidP="00123D7B">
            <w:pPr>
              <w:autoSpaceDE w:val="0"/>
              <w:autoSpaceDN w:val="0"/>
              <w:adjustRightInd w:val="0"/>
              <w:spacing w:after="40"/>
              <w:rPr>
                <w:rFonts w:ascii="Arial Narrow" w:hAnsi="Arial Narrow" w:cs="Arial Narrow"/>
                <w:bCs/>
                <w:sz w:val="20"/>
              </w:rPr>
            </w:pPr>
            <w:r w:rsidRPr="005B095B">
              <w:rPr>
                <w:rFonts w:ascii="Arial Narrow" w:hAnsi="Arial Narrow" w:cs="Arial Narrow"/>
                <w:bCs/>
                <w:sz w:val="20"/>
              </w:rPr>
              <w:t>1990</w:t>
            </w:r>
            <w:r w:rsidR="00B50CCE">
              <w:rPr>
                <w:rFonts w:ascii="Arial Narrow" w:hAnsi="Arial Narrow" w:cs="Arial Narrow"/>
                <w:bCs/>
                <w:sz w:val="20"/>
              </w:rPr>
              <w:t>–</w:t>
            </w:r>
            <w:r>
              <w:rPr>
                <w:rFonts w:ascii="Arial Narrow" w:hAnsi="Arial Narrow" w:cs="Arial Narrow"/>
                <w:bCs/>
                <w:sz w:val="20"/>
              </w:rPr>
              <w:t>June 2017</w:t>
            </w:r>
          </w:p>
        </w:tc>
      </w:tr>
      <w:tr w:rsidR="007E4701" w14:paraId="227D7BFE" w14:textId="77777777" w:rsidTr="005F1001">
        <w:tc>
          <w:tcPr>
            <w:tcW w:w="1985" w:type="dxa"/>
          </w:tcPr>
          <w:p w14:paraId="2B386A8C" w14:textId="77777777" w:rsidR="007E4701" w:rsidRPr="00515C51" w:rsidRDefault="007E4701" w:rsidP="00123D7B">
            <w:pPr>
              <w:autoSpaceDE w:val="0"/>
              <w:autoSpaceDN w:val="0"/>
              <w:adjustRightInd w:val="0"/>
              <w:spacing w:after="40"/>
              <w:rPr>
                <w:rFonts w:ascii="Arial Narrow" w:hAnsi="Arial Narrow" w:cs="Arial Narrow"/>
                <w:b/>
                <w:bCs/>
                <w:sz w:val="20"/>
              </w:rPr>
            </w:pPr>
            <w:r w:rsidRPr="00515C51">
              <w:rPr>
                <w:rFonts w:ascii="Arial Narrow" w:hAnsi="Arial Narrow" w:cs="Arial Narrow"/>
                <w:b/>
                <w:bCs/>
                <w:sz w:val="20"/>
              </w:rPr>
              <w:t>Language</w:t>
            </w:r>
          </w:p>
        </w:tc>
        <w:tc>
          <w:tcPr>
            <w:tcW w:w="7796" w:type="dxa"/>
          </w:tcPr>
          <w:p w14:paraId="2E5C3582" w14:textId="23914186" w:rsidR="007E4701" w:rsidRPr="005B095B" w:rsidRDefault="007E4701" w:rsidP="00123D7B">
            <w:pPr>
              <w:autoSpaceDE w:val="0"/>
              <w:autoSpaceDN w:val="0"/>
              <w:adjustRightInd w:val="0"/>
              <w:spacing w:after="40"/>
              <w:rPr>
                <w:rFonts w:ascii="Arial Narrow" w:hAnsi="Arial Narrow" w:cs="Arial Narrow"/>
                <w:bCs/>
                <w:sz w:val="20"/>
              </w:rPr>
            </w:pPr>
            <w:r w:rsidRPr="005B095B">
              <w:rPr>
                <w:rFonts w:ascii="Arial Narrow" w:hAnsi="Arial Narrow" w:cs="Arial Narrow"/>
                <w:bCs/>
                <w:sz w:val="20"/>
              </w:rPr>
              <w:t>Studies in languages other than English will only be translated if they represent a higher level of evidence than that available in the English language evidence</w:t>
            </w:r>
            <w:r w:rsidR="00DE6DD5">
              <w:rPr>
                <w:rFonts w:ascii="Arial Narrow" w:hAnsi="Arial Narrow" w:cs="Arial Narrow"/>
                <w:bCs/>
                <w:sz w:val="20"/>
              </w:rPr>
              <w:t xml:space="preserve"> </w:t>
            </w:r>
            <w:r w:rsidRPr="005B095B">
              <w:rPr>
                <w:rFonts w:ascii="Arial Narrow" w:hAnsi="Arial Narrow" w:cs="Arial Narrow"/>
                <w:bCs/>
                <w:sz w:val="20"/>
              </w:rPr>
              <w:t>base</w:t>
            </w:r>
          </w:p>
        </w:tc>
      </w:tr>
      <w:tr w:rsidR="007E4701" w14:paraId="0630FB46" w14:textId="77777777" w:rsidTr="005F1001">
        <w:tc>
          <w:tcPr>
            <w:tcW w:w="9781" w:type="dxa"/>
            <w:gridSpan w:val="2"/>
          </w:tcPr>
          <w:p w14:paraId="430A88DA" w14:textId="77777777" w:rsidR="007E4701" w:rsidRPr="005B095B" w:rsidRDefault="007E4701" w:rsidP="00123D7B">
            <w:pPr>
              <w:spacing w:after="40"/>
              <w:jc w:val="both"/>
              <w:rPr>
                <w:rFonts w:ascii="Arial Narrow" w:hAnsi="Arial Narrow"/>
                <w:b/>
                <w:sz w:val="20"/>
              </w:rPr>
            </w:pPr>
            <w:r w:rsidRPr="004F356D">
              <w:rPr>
                <w:rFonts w:ascii="Arial Narrow" w:hAnsi="Arial Narrow" w:cs="Arial Narrow"/>
                <w:b/>
                <w:bCs/>
                <w:sz w:val="20"/>
              </w:rPr>
              <w:t xml:space="preserve">Does </w:t>
            </w:r>
            <w:r>
              <w:rPr>
                <w:rFonts w:ascii="Arial Narrow" w:hAnsi="Arial Narrow" w:cs="Arial Narrow"/>
                <w:b/>
                <w:bCs/>
                <w:sz w:val="20"/>
              </w:rPr>
              <w:t>cryopreservation of ovarian tissue or oocytes</w:t>
            </w:r>
            <w:r w:rsidRPr="004F356D">
              <w:rPr>
                <w:rFonts w:ascii="Arial Narrow" w:hAnsi="Arial Narrow" w:cs="Arial Narrow"/>
                <w:b/>
                <w:bCs/>
                <w:sz w:val="20"/>
              </w:rPr>
              <w:t xml:space="preserve"> </w:t>
            </w:r>
            <w:r w:rsidRPr="00431186">
              <w:rPr>
                <w:rFonts w:ascii="Arial Narrow" w:hAnsi="Arial Narrow" w:cs="Arial Narrow"/>
                <w:b/>
                <w:bCs/>
                <w:sz w:val="20"/>
              </w:rPr>
              <w:t xml:space="preserve">following completion of </w:t>
            </w:r>
            <w:r>
              <w:rPr>
                <w:rFonts w:ascii="Arial Narrow" w:hAnsi="Arial Narrow" w:cs="Arial Narrow"/>
                <w:b/>
                <w:bCs/>
                <w:sz w:val="20"/>
              </w:rPr>
              <w:t xml:space="preserve">gonadotoxic treatment </w:t>
            </w:r>
            <w:r w:rsidRPr="004F356D">
              <w:rPr>
                <w:rFonts w:ascii="Arial Narrow" w:hAnsi="Arial Narrow" w:cs="Arial Narrow"/>
                <w:b/>
                <w:bCs/>
                <w:sz w:val="20"/>
              </w:rPr>
              <w:t xml:space="preserve">lead to better </w:t>
            </w:r>
            <w:r>
              <w:rPr>
                <w:rFonts w:ascii="Arial Narrow" w:hAnsi="Arial Narrow" w:cs="Arial Narrow"/>
                <w:b/>
                <w:bCs/>
                <w:sz w:val="20"/>
              </w:rPr>
              <w:t>family</w:t>
            </w:r>
            <w:r w:rsidRPr="004F356D">
              <w:rPr>
                <w:rFonts w:ascii="Arial Narrow" w:hAnsi="Arial Narrow" w:cs="Arial Narrow"/>
                <w:b/>
                <w:bCs/>
                <w:sz w:val="20"/>
              </w:rPr>
              <w:t xml:space="preserve"> outcomes in</w:t>
            </w:r>
            <w:r>
              <w:rPr>
                <w:rFonts w:ascii="Arial Narrow" w:hAnsi="Arial Narrow" w:cs="Arial Narrow"/>
                <w:b/>
                <w:bCs/>
                <w:sz w:val="20"/>
              </w:rPr>
              <w:t xml:space="preserve"> female</w:t>
            </w:r>
            <w:r w:rsidRPr="004F356D">
              <w:rPr>
                <w:rFonts w:ascii="Arial Narrow" w:hAnsi="Arial Narrow" w:cs="Arial Narrow"/>
                <w:b/>
                <w:bCs/>
                <w:sz w:val="20"/>
              </w:rPr>
              <w:t xml:space="preserve"> patients compared to </w:t>
            </w:r>
            <w:r>
              <w:rPr>
                <w:rFonts w:ascii="Arial Narrow" w:hAnsi="Arial Narrow" w:cs="Arial Narrow"/>
                <w:b/>
                <w:bCs/>
                <w:sz w:val="20"/>
              </w:rPr>
              <w:t>no cryopreservation</w:t>
            </w:r>
            <w:r w:rsidRPr="004F356D">
              <w:rPr>
                <w:rFonts w:ascii="Arial Narrow" w:hAnsi="Arial Narrow" w:cs="Arial Narrow"/>
                <w:b/>
                <w:bCs/>
                <w:sz w:val="20"/>
              </w:rPr>
              <w:t>?</w:t>
            </w:r>
          </w:p>
        </w:tc>
      </w:tr>
    </w:tbl>
    <w:p w14:paraId="20246B5F" w14:textId="77777777" w:rsidR="007E4701" w:rsidRPr="009B416A" w:rsidRDefault="007E4701" w:rsidP="009B416A">
      <w:pPr>
        <w:pStyle w:val="TableNotes1"/>
        <w:spacing w:after="0"/>
        <w:rPr>
          <w:sz w:val="18"/>
          <w:szCs w:val="18"/>
        </w:rPr>
      </w:pPr>
      <w:r w:rsidRPr="009B416A">
        <w:rPr>
          <w:sz w:val="18"/>
          <w:szCs w:val="18"/>
        </w:rPr>
        <w:t>AFC = antral follicle count; AMH = anti-Müllerian hormone; FSH = follicular stimulating hormone</w:t>
      </w:r>
    </w:p>
    <w:p w14:paraId="1C2BF53F" w14:textId="77777777" w:rsidR="007518CF" w:rsidRPr="009B416A" w:rsidRDefault="007E4701" w:rsidP="007E4701">
      <w:pPr>
        <w:pStyle w:val="TableNotes1"/>
        <w:rPr>
          <w:sz w:val="18"/>
          <w:szCs w:val="18"/>
        </w:rPr>
      </w:pPr>
      <w:r w:rsidRPr="009B416A">
        <w:rPr>
          <w:sz w:val="18"/>
          <w:szCs w:val="18"/>
          <w:vertAlign w:val="superscript"/>
        </w:rPr>
        <w:t xml:space="preserve">a </w:t>
      </w:r>
      <w:r w:rsidRPr="009B416A">
        <w:rPr>
          <w:sz w:val="18"/>
          <w:szCs w:val="18"/>
        </w:rPr>
        <w:t>Assessed as part of MSAC assessment 1435 (Part B: females).</w:t>
      </w:r>
    </w:p>
    <w:p w14:paraId="1F17D566" w14:textId="62596E07" w:rsidR="00CD24D9" w:rsidRPr="00183E4D" w:rsidRDefault="006C210B" w:rsidP="00D366DE">
      <w:pPr>
        <w:pStyle w:val="Heading2"/>
        <w:numPr>
          <w:ilvl w:val="0"/>
          <w:numId w:val="8"/>
        </w:numPr>
      </w:pPr>
      <w:bookmarkStart w:id="182" w:name="_Toc502832910"/>
      <w:bookmarkEnd w:id="156"/>
      <w:r>
        <w:t>Consumer impact statement</w:t>
      </w:r>
      <w:bookmarkEnd w:id="182"/>
    </w:p>
    <w:p w14:paraId="6F88C70E" w14:textId="0FB2A4F5" w:rsidR="00ED4CB1" w:rsidRDefault="00FE17BA" w:rsidP="006653F4">
      <w:pPr>
        <w:jc w:val="both"/>
      </w:pPr>
      <w:r>
        <w:t>P</w:t>
      </w:r>
      <w:r w:rsidR="00596B81">
        <w:t xml:space="preserve">ublic consultation </w:t>
      </w:r>
      <w:r>
        <w:t>was sought prior to finalising the</w:t>
      </w:r>
      <w:r w:rsidR="00596B81">
        <w:t xml:space="preserve"> </w:t>
      </w:r>
      <w:r w:rsidR="003E7EA1">
        <w:t>PICO Confirmation</w:t>
      </w:r>
      <w:r w:rsidR="00596B81">
        <w:t xml:space="preserve"> for application 1434</w:t>
      </w:r>
      <w:r>
        <w:t>.</w:t>
      </w:r>
      <w:r w:rsidR="00596B81">
        <w:t xml:space="preserve"> </w:t>
      </w:r>
      <w:r>
        <w:t>Of the 78</w:t>
      </w:r>
      <w:r w:rsidR="00596B81">
        <w:t xml:space="preserve"> responses </w:t>
      </w:r>
      <w:r>
        <w:t xml:space="preserve">received, most were supportive of AMH testing. A number of </w:t>
      </w:r>
      <w:r w:rsidR="00CA586F">
        <w:t>advantages and disadvantages, or issues that would need to be addressed,</w:t>
      </w:r>
      <w:r>
        <w:t xml:space="preserve"> were emphasised </w:t>
      </w:r>
      <w:r w:rsidR="00ED4CB1">
        <w:t>during the public consultat</w:t>
      </w:r>
      <w:r>
        <w:t>ion period.</w:t>
      </w:r>
    </w:p>
    <w:p w14:paraId="6FF4FC47" w14:textId="1AFB01BE" w:rsidR="00A90A12" w:rsidRDefault="00FE17BA" w:rsidP="006653F4">
      <w:pPr>
        <w:jc w:val="both"/>
      </w:pPr>
      <w:r>
        <w:t xml:space="preserve">The </w:t>
      </w:r>
      <w:r w:rsidR="00CA586F">
        <w:t>benefits suggested via public consultation</w:t>
      </w:r>
      <w:r>
        <w:t xml:space="preserve"> </w:t>
      </w:r>
      <w:r w:rsidR="00CA586F">
        <w:t>were that</w:t>
      </w:r>
      <w:r>
        <w:t>:</w:t>
      </w:r>
    </w:p>
    <w:p w14:paraId="5E563D1B" w14:textId="1F1F6902" w:rsidR="007518CF" w:rsidRDefault="00A90A12" w:rsidP="00D366DE">
      <w:pPr>
        <w:pStyle w:val="ListParagraph"/>
        <w:numPr>
          <w:ilvl w:val="0"/>
          <w:numId w:val="23"/>
        </w:numPr>
        <w:jc w:val="both"/>
      </w:pPr>
      <w:r>
        <w:t>AMH</w:t>
      </w:r>
      <w:r w:rsidR="00D611EB">
        <w:t xml:space="preserve"> testing</w:t>
      </w:r>
      <w:r>
        <w:t xml:space="preserve"> is seen as a way to provide vital information to young patients with regard to their fertility status, allowing them to make informed decisions about po</w:t>
      </w:r>
      <w:r w:rsidR="00FE17BA">
        <w:t>tential fertility interventions</w:t>
      </w:r>
    </w:p>
    <w:p w14:paraId="60E4323D" w14:textId="565D7225" w:rsidR="00D611EB" w:rsidRDefault="00D611EB" w:rsidP="00D366DE">
      <w:pPr>
        <w:pStyle w:val="ListParagraph"/>
        <w:numPr>
          <w:ilvl w:val="0"/>
          <w:numId w:val="23"/>
        </w:numPr>
        <w:jc w:val="both"/>
      </w:pPr>
      <w:r>
        <w:t xml:space="preserve">AMH </w:t>
      </w:r>
      <w:r w:rsidR="001B5391">
        <w:t>tests can measure the risk for premature ovarian failure and this makes the implementation of early interventions possible, such as</w:t>
      </w:r>
      <w:r w:rsidR="00FE17BA">
        <w:t xml:space="preserve"> HRT or oocyte cryopreservation</w:t>
      </w:r>
    </w:p>
    <w:p w14:paraId="55DD66A1" w14:textId="0789009B" w:rsidR="00A90A12" w:rsidRDefault="00A90A12" w:rsidP="00D366DE">
      <w:pPr>
        <w:pStyle w:val="ListParagraph"/>
        <w:numPr>
          <w:ilvl w:val="0"/>
          <w:numId w:val="23"/>
        </w:numPr>
        <w:jc w:val="both"/>
      </w:pPr>
      <w:r>
        <w:t>AMH testing could potentially reduce costs by allowing t</w:t>
      </w:r>
      <w:r w:rsidR="00FE17BA">
        <w:t>argeted fertility interventions</w:t>
      </w:r>
    </w:p>
    <w:p w14:paraId="29B71CC9" w14:textId="54877B1D" w:rsidR="00A90A12" w:rsidRDefault="00CA1C69" w:rsidP="00D366DE">
      <w:pPr>
        <w:pStyle w:val="ListParagraph"/>
        <w:numPr>
          <w:ilvl w:val="0"/>
          <w:numId w:val="23"/>
        </w:numPr>
        <w:jc w:val="both"/>
      </w:pPr>
      <w:r>
        <w:t>l</w:t>
      </w:r>
      <w:r w:rsidR="00A90A12">
        <w:t>isting AMH testing on the MBS would lead to equitable fertility monitoring for all patients</w:t>
      </w:r>
      <w:r w:rsidR="00FE17BA">
        <w:t>,</w:t>
      </w:r>
      <w:r w:rsidR="00A90A12">
        <w:t xml:space="preserve"> not only the people who can afford it</w:t>
      </w:r>
    </w:p>
    <w:p w14:paraId="32C65F50" w14:textId="2679571C" w:rsidR="007518CF" w:rsidRDefault="00CA1C69" w:rsidP="00D366DE">
      <w:pPr>
        <w:pStyle w:val="ListParagraph"/>
        <w:numPr>
          <w:ilvl w:val="0"/>
          <w:numId w:val="23"/>
        </w:numPr>
        <w:jc w:val="both"/>
      </w:pPr>
      <w:r>
        <w:t>l</w:t>
      </w:r>
      <w:r w:rsidR="00D611EB">
        <w:t xml:space="preserve">isting </w:t>
      </w:r>
      <w:r w:rsidR="00A90A12">
        <w:t>AMH testing</w:t>
      </w:r>
      <w:r w:rsidR="00D611EB">
        <w:t xml:space="preserve"> on the MBS</w:t>
      </w:r>
      <w:r w:rsidR="00A90A12">
        <w:t xml:space="preserve"> could lead to reduced anxiety and improved psychological wellbeing</w:t>
      </w:r>
      <w:r w:rsidR="00D611EB">
        <w:t xml:space="preserve"> due to improved understanding and less uncertainty </w:t>
      </w:r>
      <w:r w:rsidR="00FE17BA">
        <w:t>around</w:t>
      </w:r>
      <w:r w:rsidR="00D611EB">
        <w:t xml:space="preserve"> potential fe</w:t>
      </w:r>
      <w:r w:rsidR="00FE17BA">
        <w:t>rtility function in the future and in relation to</w:t>
      </w:r>
      <w:r w:rsidR="00D611EB">
        <w:t xml:space="preserve"> medical costs</w:t>
      </w:r>
      <w:r w:rsidR="00494D5E">
        <w:t>.</w:t>
      </w:r>
    </w:p>
    <w:p w14:paraId="7381DA2E" w14:textId="0BB2CEEB" w:rsidR="00A90A12" w:rsidRDefault="00CA586F" w:rsidP="006653F4">
      <w:pPr>
        <w:jc w:val="both"/>
      </w:pPr>
      <w:r>
        <w:lastRenderedPageBreak/>
        <w:t>The disadvantages, or issues suggested for address,</w:t>
      </w:r>
      <w:r w:rsidR="00A90A12">
        <w:t xml:space="preserve"> </w:t>
      </w:r>
      <w:r>
        <w:t>as determined by public consultation were that</w:t>
      </w:r>
      <w:r w:rsidR="00A90A12">
        <w:t>:</w:t>
      </w:r>
    </w:p>
    <w:p w14:paraId="27940B79" w14:textId="524EC3C7" w:rsidR="00D611EB" w:rsidRDefault="00D611EB" w:rsidP="00D366DE">
      <w:pPr>
        <w:pStyle w:val="ListParagraph"/>
        <w:numPr>
          <w:ilvl w:val="0"/>
          <w:numId w:val="23"/>
        </w:numPr>
        <w:jc w:val="both"/>
      </w:pPr>
      <w:r>
        <w:t>AMH levels don’t predict the quality</w:t>
      </w:r>
      <w:r w:rsidR="00CA1C69">
        <w:t xml:space="preserve"> of the oocytes in reserve</w:t>
      </w:r>
    </w:p>
    <w:p w14:paraId="11A4B6A0" w14:textId="4078C085" w:rsidR="007E64D8" w:rsidRDefault="007E64D8" w:rsidP="00D366DE">
      <w:pPr>
        <w:pStyle w:val="ListParagraph"/>
        <w:numPr>
          <w:ilvl w:val="0"/>
          <w:numId w:val="23"/>
        </w:numPr>
        <w:jc w:val="both"/>
      </w:pPr>
      <w:r>
        <w:t xml:space="preserve">AMH </w:t>
      </w:r>
      <w:r w:rsidR="00CA1C69">
        <w:t xml:space="preserve">test </w:t>
      </w:r>
      <w:r>
        <w:t xml:space="preserve">results may cause psychological distress for the patient (if </w:t>
      </w:r>
      <w:r w:rsidR="00CA1C69">
        <w:t>levels are low or undetectable)</w:t>
      </w:r>
    </w:p>
    <w:p w14:paraId="54A9326D" w14:textId="180F9807" w:rsidR="007518CF" w:rsidRDefault="00CA1C69" w:rsidP="00D366DE">
      <w:pPr>
        <w:pStyle w:val="ListParagraph"/>
        <w:numPr>
          <w:ilvl w:val="0"/>
          <w:numId w:val="23"/>
        </w:numPr>
        <w:jc w:val="both"/>
      </w:pPr>
      <w:r>
        <w:t>p</w:t>
      </w:r>
      <w:r w:rsidR="007E64D8">
        <w:t>re-tes</w:t>
      </w:r>
      <w:r w:rsidR="00C67E94">
        <w:t>t counselling would be critical</w:t>
      </w:r>
      <w:r w:rsidR="007E64D8">
        <w:t xml:space="preserve"> to minimise the negative psychological impact of a</w:t>
      </w:r>
      <w:r>
        <w:t>n unexpected or negative result</w:t>
      </w:r>
      <w:r w:rsidR="00494D5E">
        <w:t>.</w:t>
      </w:r>
    </w:p>
    <w:p w14:paraId="0BAA798D" w14:textId="53B6AF2F" w:rsidR="001409CD" w:rsidRDefault="00CA586F" w:rsidP="00DF343F">
      <w:pPr>
        <w:jc w:val="both"/>
      </w:pPr>
      <w:r>
        <w:t xml:space="preserve">In addition, one clinician responded that </w:t>
      </w:r>
      <w:r w:rsidR="00CA1C69">
        <w:t>AMH results are difficult to interpret in pre</w:t>
      </w:r>
      <w:r>
        <w:t>-</w:t>
      </w:r>
      <w:r w:rsidR="00CA1C69">
        <w:t xml:space="preserve">pubertal children. There is more evidence required to prove that there is a correlation between AMH levels and fertility reserve in this population. It was stated that </w:t>
      </w:r>
      <w:r>
        <w:t>for</w:t>
      </w:r>
      <w:r w:rsidR="00CA1C69" w:rsidRPr="00A54A16">
        <w:t xml:space="preserve"> </w:t>
      </w:r>
      <w:r>
        <w:t>“</w:t>
      </w:r>
      <w:r w:rsidR="00CA1C69" w:rsidRPr="00A54A16">
        <w:t>paediatric patients AMH is important in long</w:t>
      </w:r>
      <w:r w:rsidR="00916047">
        <w:t>-</w:t>
      </w:r>
      <w:r w:rsidR="00CA1C69" w:rsidRPr="00A54A16">
        <w:t>term follow</w:t>
      </w:r>
      <w:r w:rsidR="00CA1C69">
        <w:t>-</w:t>
      </w:r>
      <w:r w:rsidR="00CA1C69" w:rsidRPr="00A54A16">
        <w:t>up to assess return of reproductive function and assess need for intervention. It may be useful pre</w:t>
      </w:r>
      <w:r w:rsidR="00CA1C69">
        <w:t>-</w:t>
      </w:r>
      <w:r w:rsidR="00CA1C69" w:rsidRPr="00A54A16">
        <w:t xml:space="preserve">treatment in selective cases but </w:t>
      </w:r>
      <w:r w:rsidR="00CA1C69">
        <w:t xml:space="preserve">is </w:t>
      </w:r>
      <w:r w:rsidR="00CA1C69" w:rsidRPr="00A54A16">
        <w:t>not required routinely</w:t>
      </w:r>
      <w:r w:rsidR="00CA1C69">
        <w:t>.</w:t>
      </w:r>
      <w:r w:rsidR="00CA1C69" w:rsidRPr="00A54A16">
        <w:t>”</w:t>
      </w:r>
      <w:bookmarkStart w:id="183" w:name="_Ref124760357"/>
    </w:p>
    <w:p w14:paraId="226B7345" w14:textId="77777777" w:rsidR="001409CD" w:rsidRDefault="001409CD">
      <w:pPr>
        <w:spacing w:after="0" w:line="240" w:lineRule="auto"/>
      </w:pPr>
      <w:r>
        <w:br w:type="page"/>
      </w:r>
    </w:p>
    <w:p w14:paraId="7D3CCF48" w14:textId="17137E43" w:rsidR="007518CF" w:rsidRDefault="00AA708D" w:rsidP="00DF343F">
      <w:pPr>
        <w:pStyle w:val="Heading1"/>
        <w:jc w:val="both"/>
      </w:pPr>
      <w:bookmarkStart w:id="184" w:name="_Ref494440325"/>
      <w:bookmarkStart w:id="185" w:name="_Toc502832911"/>
      <w:bookmarkEnd w:id="183"/>
      <w:r w:rsidRPr="00183E4D">
        <w:lastRenderedPageBreak/>
        <w:t>Section B</w:t>
      </w:r>
      <w:r w:rsidRPr="00183E4D">
        <w:tab/>
      </w:r>
      <w:r w:rsidR="00DC5CE5">
        <w:t>Clinical e</w:t>
      </w:r>
      <w:r w:rsidRPr="00183E4D">
        <w:t>valuation</w:t>
      </w:r>
      <w:bookmarkEnd w:id="184"/>
      <w:bookmarkEnd w:id="185"/>
    </w:p>
    <w:p w14:paraId="2751ECE4" w14:textId="0AE3E899" w:rsidR="007518CF" w:rsidRDefault="00704D5E" w:rsidP="00913648">
      <w:pPr>
        <w:spacing w:before="240"/>
        <w:jc w:val="both"/>
      </w:pPr>
      <w:r>
        <w:t xml:space="preserve">Determination of the clinical effectiveness of an investigative </w:t>
      </w:r>
      <w:r w:rsidR="00913648">
        <w:t>medical service requires either</w:t>
      </w:r>
      <w:r w:rsidR="009C60C2">
        <w:t xml:space="preserve"> d</w:t>
      </w:r>
      <w:r w:rsidR="00913648">
        <w:t xml:space="preserve">irect or linked evidence. Direct evidence for AMH testing would high-quality comparative studies evaluating the use of AMH testing and any subsequent change in management compared to other standard tests alone </w:t>
      </w:r>
      <w:r w:rsidR="00913648" w:rsidRPr="000038EC">
        <w:t xml:space="preserve">(FSH, </w:t>
      </w:r>
      <w:r w:rsidR="00913648">
        <w:t>E2</w:t>
      </w:r>
      <w:r w:rsidR="00913648" w:rsidRPr="000038EC">
        <w:t>, AFC ultrasound if post-pubertal)</w:t>
      </w:r>
      <w:r w:rsidR="00913648">
        <w:t xml:space="preserve">. </w:t>
      </w:r>
      <w:r w:rsidR="008045E7">
        <w:t>Direct evidence investigates the direct impact of the test on health outcomes.</w:t>
      </w:r>
      <w:r>
        <w:t xml:space="preserve"> Randomised controlled trials provide the highest quality evidence for this comparison. </w:t>
      </w:r>
      <w:r w:rsidR="00913648">
        <w:t>In the absence of direct evidence, linked evidence may be used. A linked evidence approach provides a combined analysis of the following outcomes:</w:t>
      </w:r>
    </w:p>
    <w:p w14:paraId="3E3D313F" w14:textId="41EBF41C" w:rsidR="008045E7" w:rsidRDefault="008045E7" w:rsidP="00B7183E">
      <w:pPr>
        <w:pStyle w:val="ListParagraph"/>
        <w:numPr>
          <w:ilvl w:val="0"/>
          <w:numId w:val="40"/>
        </w:numPr>
        <w:spacing w:before="240" w:line="240" w:lineRule="auto"/>
        <w:jc w:val="both"/>
      </w:pPr>
      <w:r w:rsidRPr="00913648">
        <w:rPr>
          <w:u w:val="single"/>
        </w:rPr>
        <w:t>analytical validity</w:t>
      </w:r>
      <w:r w:rsidR="00B50CCE">
        <w:t xml:space="preserve"> -</w:t>
      </w:r>
      <w:r w:rsidRPr="00195E5D">
        <w:t xml:space="preserve"> how </w:t>
      </w:r>
      <w:r>
        <w:t xml:space="preserve">reliable is the test, and how </w:t>
      </w:r>
      <w:r w:rsidRPr="00195E5D">
        <w:t xml:space="preserve">well does the test correlate with other measures </w:t>
      </w:r>
      <w:r w:rsidRPr="00891E94">
        <w:t>of ova</w:t>
      </w:r>
      <w:r w:rsidR="00913648">
        <w:t xml:space="preserve">rian reserve, </w:t>
      </w:r>
      <w:r>
        <w:t xml:space="preserve">such as </w:t>
      </w:r>
      <w:r w:rsidR="00913648">
        <w:t>AFC</w:t>
      </w:r>
      <w:r>
        <w:t xml:space="preserve"> ultrasound</w:t>
      </w:r>
      <w:r w:rsidRPr="00891E94">
        <w:t>?</w:t>
      </w:r>
      <w:r w:rsidR="009F48DF">
        <w:t xml:space="preserve"> (Section B3)</w:t>
      </w:r>
    </w:p>
    <w:p w14:paraId="3B36C0FF" w14:textId="503429E1" w:rsidR="008045E7" w:rsidRDefault="008045E7" w:rsidP="00B7183E">
      <w:pPr>
        <w:pStyle w:val="ListParagraph"/>
        <w:numPr>
          <w:ilvl w:val="0"/>
          <w:numId w:val="40"/>
        </w:numPr>
        <w:spacing w:before="240" w:line="240" w:lineRule="auto"/>
        <w:jc w:val="both"/>
      </w:pPr>
      <w:r w:rsidRPr="00913648">
        <w:rPr>
          <w:u w:val="single"/>
        </w:rPr>
        <w:t>clinical validity</w:t>
      </w:r>
      <w:r w:rsidRPr="00CC3C79">
        <w:t xml:space="preserve"> (prognostic value)</w:t>
      </w:r>
      <w:r w:rsidRPr="00BE3817">
        <w:t xml:space="preserve"> </w:t>
      </w:r>
      <w:r w:rsidR="00494D5E">
        <w:t xml:space="preserve">- </w:t>
      </w:r>
      <w:r w:rsidRPr="00BE3817">
        <w:t>can the test result predict the ability to</w:t>
      </w:r>
      <w:r w:rsidRPr="009530FF">
        <w:t xml:space="preserve"> </w:t>
      </w:r>
      <w:r w:rsidRPr="00195E5D">
        <w:t>conceive?</w:t>
      </w:r>
      <w:r w:rsidRPr="00891E94">
        <w:t xml:space="preserve"> </w:t>
      </w:r>
      <w:r w:rsidR="009F48DF">
        <w:t>(Section</w:t>
      </w:r>
      <w:r w:rsidR="00913648">
        <w:t> </w:t>
      </w:r>
      <w:r w:rsidR="009F48DF">
        <w:t>B4)</w:t>
      </w:r>
    </w:p>
    <w:p w14:paraId="636CDCC9" w14:textId="5CD40814" w:rsidR="007518CF" w:rsidRDefault="008045E7" w:rsidP="00B7183E">
      <w:pPr>
        <w:pStyle w:val="ListParagraph"/>
        <w:numPr>
          <w:ilvl w:val="0"/>
          <w:numId w:val="40"/>
        </w:numPr>
        <w:spacing w:line="240" w:lineRule="auto"/>
        <w:jc w:val="both"/>
      </w:pPr>
      <w:r w:rsidRPr="00913648">
        <w:rPr>
          <w:u w:val="single"/>
        </w:rPr>
        <w:t>clinical validity</w:t>
      </w:r>
      <w:r w:rsidRPr="00D449AE">
        <w:t xml:space="preserve"> (predictive value) </w:t>
      </w:r>
      <w:r w:rsidR="00B50CCE">
        <w:t>-</w:t>
      </w:r>
      <w:r>
        <w:t xml:space="preserve"> can the test result predict response to ovarian stimulation?</w:t>
      </w:r>
      <w:r w:rsidR="009F48DF">
        <w:t xml:space="preserve"> (Section B4)</w:t>
      </w:r>
    </w:p>
    <w:p w14:paraId="3A361097" w14:textId="259D2A5B" w:rsidR="008045E7" w:rsidRPr="00CC3C79" w:rsidRDefault="008045E7" w:rsidP="00B7183E">
      <w:pPr>
        <w:pStyle w:val="ListParagraph"/>
        <w:numPr>
          <w:ilvl w:val="0"/>
          <w:numId w:val="40"/>
        </w:numPr>
        <w:spacing w:line="240" w:lineRule="auto"/>
        <w:jc w:val="both"/>
      </w:pPr>
      <w:r w:rsidRPr="00913648">
        <w:rPr>
          <w:u w:val="single"/>
        </w:rPr>
        <w:t>impact on clinical decision</w:t>
      </w:r>
      <w:r w:rsidR="00DF36E4">
        <w:rPr>
          <w:u w:val="single"/>
        </w:rPr>
        <w:t>-</w:t>
      </w:r>
      <w:r w:rsidRPr="00913648">
        <w:rPr>
          <w:u w:val="single"/>
        </w:rPr>
        <w:t>making</w:t>
      </w:r>
      <w:r w:rsidRPr="00891E94">
        <w:t xml:space="preserve"> </w:t>
      </w:r>
      <w:r w:rsidR="00B50CCE">
        <w:t>-</w:t>
      </w:r>
      <w:r w:rsidRPr="00891E94">
        <w:t xml:space="preserve"> </w:t>
      </w:r>
      <w:r>
        <w:t>does the test result in a</w:t>
      </w:r>
      <w:r w:rsidRPr="00891E94">
        <w:t xml:space="preserve"> change in treatment decisions/fertility preservation decisions</w:t>
      </w:r>
      <w:r>
        <w:t>?</w:t>
      </w:r>
      <w:r w:rsidR="009F48DF">
        <w:t xml:space="preserve"> (Section B5)</w:t>
      </w:r>
    </w:p>
    <w:p w14:paraId="148E2328" w14:textId="378D2BC4" w:rsidR="009F48DF" w:rsidRPr="00913648" w:rsidRDefault="008045E7" w:rsidP="00B7183E">
      <w:pPr>
        <w:pStyle w:val="ListParagraph"/>
        <w:numPr>
          <w:ilvl w:val="0"/>
          <w:numId w:val="40"/>
        </w:numPr>
        <w:spacing w:line="240" w:lineRule="auto"/>
        <w:jc w:val="both"/>
        <w:rPr>
          <w:lang w:val="en-US"/>
        </w:rPr>
      </w:pPr>
      <w:r w:rsidRPr="00913648">
        <w:rPr>
          <w:u w:val="single"/>
        </w:rPr>
        <w:t>clinical utility</w:t>
      </w:r>
      <w:r w:rsidRPr="00B50CCE">
        <w:t xml:space="preserve"> </w:t>
      </w:r>
      <w:r w:rsidR="00B50CCE">
        <w:t>-</w:t>
      </w:r>
      <w:r>
        <w:t xml:space="preserve"> d</w:t>
      </w:r>
      <w:r w:rsidRPr="00BE3817">
        <w:t>oes t</w:t>
      </w:r>
      <w:r w:rsidRPr="009530FF">
        <w:t>he change in fertility preservation method</w:t>
      </w:r>
      <w:r>
        <w:t xml:space="preserve">/decision or patient management </w:t>
      </w:r>
      <w:r w:rsidRPr="00195E5D">
        <w:t xml:space="preserve">change their health </w:t>
      </w:r>
      <w:r>
        <w:t xml:space="preserve">or fertility </w:t>
      </w:r>
      <w:r w:rsidRPr="00195E5D">
        <w:t>outcomes</w:t>
      </w:r>
      <w:r>
        <w:t>?</w:t>
      </w:r>
      <w:r w:rsidR="009F48DF">
        <w:t xml:space="preserve"> (Section B5)</w:t>
      </w:r>
    </w:p>
    <w:p w14:paraId="35185B4B" w14:textId="5103926E" w:rsidR="008045E7" w:rsidRDefault="0003132A" w:rsidP="0003132A">
      <w:pPr>
        <w:spacing w:before="240"/>
        <w:jc w:val="both"/>
      </w:pPr>
      <w:r>
        <w:t xml:space="preserve">As there was no direct evidence to assess AMH testing, </w:t>
      </w:r>
      <w:r w:rsidR="006D0B56">
        <w:t>an evidence analysis was undertaken using</w:t>
      </w:r>
      <w:r>
        <w:t xml:space="preserve"> a linked approach</w:t>
      </w:r>
      <w:r w:rsidR="006D0B56">
        <w:t xml:space="preserve"> for this assessment</w:t>
      </w:r>
      <w:r>
        <w:t>.</w:t>
      </w:r>
    </w:p>
    <w:p w14:paraId="70F49F9C" w14:textId="5B29288C" w:rsidR="00704D5E" w:rsidRPr="00135EF5" w:rsidRDefault="00704D5E" w:rsidP="00D366DE">
      <w:pPr>
        <w:pStyle w:val="Heading1"/>
        <w:numPr>
          <w:ilvl w:val="1"/>
          <w:numId w:val="14"/>
        </w:numPr>
        <w:ind w:hanging="792"/>
      </w:pPr>
      <w:bookmarkStart w:id="186" w:name="_Toc502832912"/>
      <w:bookmarkStart w:id="187" w:name="_Toc381796460"/>
      <w:bookmarkStart w:id="188" w:name="_Toc381796462"/>
      <w:bookmarkStart w:id="189" w:name="_Toc381796467"/>
      <w:bookmarkStart w:id="190" w:name="_Toc379118083"/>
      <w:r w:rsidRPr="00135EF5">
        <w:lastRenderedPageBreak/>
        <w:t>Direct</w:t>
      </w:r>
      <w:r w:rsidR="00DC5CE5">
        <w:t xml:space="preserve"> e</w:t>
      </w:r>
      <w:r w:rsidRPr="00135EF5">
        <w:t>vidence</w:t>
      </w:r>
      <w:bookmarkEnd w:id="186"/>
    </w:p>
    <w:p w14:paraId="739C0C6B" w14:textId="3528C5AA" w:rsidR="00F22534" w:rsidRPr="00F22534" w:rsidRDefault="00AA708D" w:rsidP="00D366DE">
      <w:pPr>
        <w:pStyle w:val="Heading2"/>
        <w:numPr>
          <w:ilvl w:val="1"/>
          <w:numId w:val="13"/>
        </w:numPr>
      </w:pPr>
      <w:bookmarkStart w:id="191" w:name="_Toc502832913"/>
      <w:r w:rsidRPr="00183E4D">
        <w:t>Literature</w:t>
      </w:r>
      <w:r w:rsidR="00DC5CE5">
        <w:t xml:space="preserve"> sources and search s</w:t>
      </w:r>
      <w:r w:rsidRPr="00183E4D">
        <w:t>trategies</w:t>
      </w:r>
      <w:bookmarkEnd w:id="187"/>
      <w:bookmarkEnd w:id="191"/>
    </w:p>
    <w:p w14:paraId="29180FCA" w14:textId="1466FC6E" w:rsidR="00CE6B8C" w:rsidRDefault="00AA708D" w:rsidP="00532034">
      <w:pPr>
        <w:jc w:val="both"/>
      </w:pPr>
      <w:r w:rsidRPr="003B4200">
        <w:t xml:space="preserve">The medical literature was searched </w:t>
      </w:r>
      <w:r w:rsidR="00D5489B" w:rsidRPr="003B4200">
        <w:t xml:space="preserve">on </w:t>
      </w:r>
      <w:r w:rsidR="00CA0E4D" w:rsidRPr="003B4200">
        <w:t xml:space="preserve">the </w:t>
      </w:r>
      <w:r w:rsidR="001969A2">
        <w:t>6</w:t>
      </w:r>
      <w:r w:rsidR="00CA0E4D" w:rsidRPr="003B4200">
        <w:t xml:space="preserve"> June 2017</w:t>
      </w:r>
      <w:r w:rsidR="00D5489B" w:rsidRPr="003B4200">
        <w:t xml:space="preserve"> </w:t>
      </w:r>
      <w:r w:rsidRPr="003B4200">
        <w:t xml:space="preserve">to identify relevant studies and </w:t>
      </w:r>
      <w:r w:rsidR="003E1B16" w:rsidRPr="003B4200">
        <w:t xml:space="preserve">systematic </w:t>
      </w:r>
      <w:r w:rsidRPr="003B4200">
        <w:t xml:space="preserve">reviews </w:t>
      </w:r>
      <w:r w:rsidR="00D5489B" w:rsidRPr="003B4200">
        <w:t>published during</w:t>
      </w:r>
      <w:r w:rsidRPr="003B4200">
        <w:t xml:space="preserve"> the period </w:t>
      </w:r>
      <w:r w:rsidR="001969A2">
        <w:t xml:space="preserve">January </w:t>
      </w:r>
      <w:r w:rsidR="00562D9A" w:rsidRPr="003B4200">
        <w:t xml:space="preserve">1990 </w:t>
      </w:r>
      <w:r w:rsidR="00D5489B" w:rsidRPr="003B4200">
        <w:t>to</w:t>
      </w:r>
      <w:r w:rsidRPr="003B4200">
        <w:t xml:space="preserve"> </w:t>
      </w:r>
      <w:r w:rsidR="00562D9A" w:rsidRPr="003B4200">
        <w:t>June 2017</w:t>
      </w:r>
      <w:r w:rsidRPr="003B4200">
        <w:t xml:space="preserve">. </w:t>
      </w:r>
      <w:r w:rsidR="001969A2">
        <w:t>The search included d</w:t>
      </w:r>
      <w:r w:rsidRPr="003B4200">
        <w:t>atabases</w:t>
      </w:r>
      <w:r w:rsidR="00D5489B" w:rsidRPr="003B4200">
        <w:t xml:space="preserve"> and sources</w:t>
      </w:r>
      <w:r w:rsidRPr="003B4200">
        <w:t xml:space="preserve"> described in Appendix </w:t>
      </w:r>
      <w:r w:rsidR="009D44E4" w:rsidRPr="003B4200">
        <w:t>B</w:t>
      </w:r>
      <w:r w:rsidRPr="003B4200">
        <w:t xml:space="preserve">. </w:t>
      </w:r>
      <w:r w:rsidR="00D5489B" w:rsidRPr="003B4200">
        <w:t>Attempts were also made to source unpublished or grey literature</w:t>
      </w:r>
      <w:r w:rsidR="00562D9A" w:rsidRPr="003B4200">
        <w:t xml:space="preserve"> (Appendix B).</w:t>
      </w:r>
      <w:r w:rsidR="00D5489B" w:rsidRPr="003B4200">
        <w:t xml:space="preserve"> </w:t>
      </w:r>
      <w:r w:rsidR="00562D9A" w:rsidRPr="003B4200">
        <w:t>Search terms are described in</w:t>
      </w:r>
      <w:r w:rsidR="003B4200">
        <w:t xml:space="preserve"> </w:t>
      </w:r>
      <w:r w:rsidR="001F23FD">
        <w:fldChar w:fldCharType="begin"/>
      </w:r>
      <w:r w:rsidR="001F23FD">
        <w:instrText xml:space="preserve"> REF _Ref497987352 \h </w:instrText>
      </w:r>
      <w:r w:rsidR="001F23FD">
        <w:fldChar w:fldCharType="separate"/>
      </w:r>
      <w:r w:rsidR="00AC4BE5" w:rsidRPr="00D86397">
        <w:t xml:space="preserve">Table </w:t>
      </w:r>
      <w:r w:rsidR="00AC4BE5">
        <w:rPr>
          <w:noProof/>
        </w:rPr>
        <w:t>80</w:t>
      </w:r>
      <w:r w:rsidR="001F23FD">
        <w:fldChar w:fldCharType="end"/>
      </w:r>
      <w:r w:rsidR="001F23FD">
        <w:t xml:space="preserve"> and </w:t>
      </w:r>
      <w:r w:rsidR="001F23FD">
        <w:fldChar w:fldCharType="begin"/>
      </w:r>
      <w:r w:rsidR="001F23FD">
        <w:instrText xml:space="preserve"> REF _Ref437507650 \h </w:instrText>
      </w:r>
      <w:r w:rsidR="001F23FD">
        <w:fldChar w:fldCharType="separate"/>
      </w:r>
      <w:r w:rsidR="00AC4BE5" w:rsidRPr="00D86397">
        <w:t xml:space="preserve">Table </w:t>
      </w:r>
      <w:r w:rsidR="00AC4BE5">
        <w:rPr>
          <w:noProof/>
        </w:rPr>
        <w:t>81</w:t>
      </w:r>
      <w:r w:rsidR="001F23FD">
        <w:fldChar w:fldCharType="end"/>
      </w:r>
      <w:r w:rsidR="00562D9A">
        <w:t>.</w:t>
      </w:r>
    </w:p>
    <w:p w14:paraId="71EC5018" w14:textId="161642DC" w:rsidR="00A00B06" w:rsidRDefault="00FA6A3D" w:rsidP="00AA708D">
      <w:pPr>
        <w:jc w:val="both"/>
      </w:pPr>
      <w:r>
        <w:t>A</w:t>
      </w:r>
      <w:r w:rsidR="00CE6B8C">
        <w:t xml:space="preserve"> </w:t>
      </w:r>
      <w:r w:rsidR="00E55994">
        <w:t xml:space="preserve">single set of searches </w:t>
      </w:r>
      <w:r w:rsidR="00CE6B8C">
        <w:t xml:space="preserve">was </w:t>
      </w:r>
      <w:r>
        <w:t>performed</w:t>
      </w:r>
      <w:r w:rsidR="00CE6B8C">
        <w:t xml:space="preserve"> to identify evidence for MSAC assessment 1434 (AMH testing) and 1435 part B (Ovarian</w:t>
      </w:r>
      <w:r w:rsidR="001410DA">
        <w:t xml:space="preserve"> cryopreservation) as both assessments </w:t>
      </w:r>
      <w:r w:rsidR="00582D49">
        <w:t xml:space="preserve">are linked and </w:t>
      </w:r>
      <w:r w:rsidR="001410DA">
        <w:t xml:space="preserve">include the same patient population. </w:t>
      </w:r>
      <w:r>
        <w:t>It was initially</w:t>
      </w:r>
      <w:r w:rsidR="00711A44">
        <w:t xml:space="preserve"> proposed that </w:t>
      </w:r>
      <w:r w:rsidR="001410DA">
        <w:t>MSAC assessment 1435 part B would be part of the final step of the linked analysis for MSAC assessment 1434</w:t>
      </w:r>
      <w:r w:rsidR="00582D49">
        <w:t>.</w:t>
      </w:r>
    </w:p>
    <w:p w14:paraId="2046C8AC" w14:textId="2C5DC76A" w:rsidR="007D30CD" w:rsidRDefault="007D30CD" w:rsidP="00A06CF4">
      <w:pPr>
        <w:jc w:val="both"/>
      </w:pPr>
      <w:r>
        <w:t>I</w:t>
      </w:r>
      <w:r w:rsidR="003145EE">
        <w:t xml:space="preserve">t </w:t>
      </w:r>
      <w:r w:rsidR="00FA6A3D">
        <w:t>was</w:t>
      </w:r>
      <w:r w:rsidR="003145EE">
        <w:t xml:space="preserve"> proposed that if evidence was identified regarding how AMH produces a change in patient management, unre</w:t>
      </w:r>
      <w:r w:rsidR="00FA6A3D">
        <w:t xml:space="preserve">lated to fertility preservation, </w:t>
      </w:r>
      <w:r>
        <w:t xml:space="preserve">i.e. change in treatment for delayed puberty or </w:t>
      </w:r>
      <w:r w:rsidR="00FA6A3D">
        <w:t>premature ovarian insufficiency</w:t>
      </w:r>
      <w:r>
        <w:t xml:space="preserve">, then targeted searches </w:t>
      </w:r>
      <w:r w:rsidR="003145EE">
        <w:t>would</w:t>
      </w:r>
      <w:r>
        <w:t xml:space="preserve"> </w:t>
      </w:r>
      <w:r w:rsidR="003145EE">
        <w:t xml:space="preserve">be </w:t>
      </w:r>
      <w:r>
        <w:t xml:space="preserve">performed to assess the health impact of these management strategies. </w:t>
      </w:r>
      <w:r w:rsidR="003145EE">
        <w:t>As no change in management data</w:t>
      </w:r>
      <w:r w:rsidR="00233EFF">
        <w:t xml:space="preserve"> in the target population</w:t>
      </w:r>
      <w:r w:rsidR="003145EE">
        <w:t xml:space="preserve"> were identified, no additional</w:t>
      </w:r>
      <w:r w:rsidR="00233EFF">
        <w:t xml:space="preserve"> systematic</w:t>
      </w:r>
      <w:r w:rsidR="003145EE">
        <w:t xml:space="preserve"> searches were performed.</w:t>
      </w:r>
    </w:p>
    <w:p w14:paraId="50AB3B17" w14:textId="5C050410" w:rsidR="00D5489B" w:rsidRPr="00183E4D" w:rsidRDefault="00DC5CE5" w:rsidP="00D366DE">
      <w:pPr>
        <w:pStyle w:val="Heading2"/>
        <w:numPr>
          <w:ilvl w:val="1"/>
          <w:numId w:val="13"/>
        </w:numPr>
      </w:pPr>
      <w:bookmarkStart w:id="192" w:name="_Toc502832914"/>
      <w:r>
        <w:t>Results of literature s</w:t>
      </w:r>
      <w:r w:rsidR="00D5489B" w:rsidRPr="00183E4D">
        <w:t>earch</w:t>
      </w:r>
      <w:bookmarkEnd w:id="192"/>
    </w:p>
    <w:p w14:paraId="5BBABBA1" w14:textId="06833CAE" w:rsidR="007518CF" w:rsidRDefault="00D5489B" w:rsidP="00AA708D">
      <w:pPr>
        <w:jc w:val="both"/>
      </w:pPr>
      <w:r w:rsidRPr="00183E4D">
        <w:t xml:space="preserve">A </w:t>
      </w:r>
      <w:r w:rsidR="007A2341" w:rsidRPr="00183E4D">
        <w:t>PRISMA flowchart (</w:t>
      </w:r>
      <w:r w:rsidR="001F23FD">
        <w:rPr>
          <w:highlight w:val="yellow"/>
        </w:rPr>
        <w:fldChar w:fldCharType="begin"/>
      </w:r>
      <w:r w:rsidR="001F23FD">
        <w:instrText xml:space="preserve"> REF _Ref501463944 \h </w:instrText>
      </w:r>
      <w:r w:rsidR="001F23FD">
        <w:rPr>
          <w:highlight w:val="yellow"/>
        </w:rPr>
      </w:r>
      <w:r w:rsidR="001F23FD">
        <w:rPr>
          <w:highlight w:val="yellow"/>
        </w:rPr>
        <w:fldChar w:fldCharType="separate"/>
      </w:r>
      <w:r w:rsidR="00AC4BE5" w:rsidRPr="00183E4D">
        <w:t xml:space="preserve">Figure </w:t>
      </w:r>
      <w:r w:rsidR="00AC4BE5">
        <w:rPr>
          <w:noProof/>
        </w:rPr>
        <w:t>5</w:t>
      </w:r>
      <w:r w:rsidR="001F23FD">
        <w:rPr>
          <w:highlight w:val="yellow"/>
        </w:rPr>
        <w:fldChar w:fldCharType="end"/>
      </w:r>
      <w:r w:rsidR="007A2341" w:rsidRPr="00A02714">
        <w:t>) provides</w:t>
      </w:r>
      <w:r w:rsidR="007A2341" w:rsidRPr="00183E4D">
        <w:t xml:space="preserve"> a </w:t>
      </w:r>
      <w:r w:rsidRPr="00183E4D">
        <w:t xml:space="preserve">graphic depiction of </w:t>
      </w:r>
      <w:r w:rsidR="00FA6A3D">
        <w:t>literature search results</w:t>
      </w:r>
      <w:r w:rsidRPr="00183E4D">
        <w:t xml:space="preserve"> and application o</w:t>
      </w:r>
      <w:r w:rsidR="00A02714">
        <w:t>f the study selection criteria (Liberati et al., 2009).</w:t>
      </w:r>
    </w:p>
    <w:p w14:paraId="77853DF0" w14:textId="443C9A78" w:rsidR="007A2341" w:rsidRPr="00183E4D" w:rsidRDefault="00E7775C" w:rsidP="00AA708D">
      <w:pPr>
        <w:jc w:val="both"/>
      </w:pPr>
      <w:r w:rsidRPr="00183E4D">
        <w:t xml:space="preserve">Studies were </w:t>
      </w:r>
      <w:r w:rsidRPr="00942881">
        <w:t>selected by a single reviewer with a second</w:t>
      </w:r>
      <w:r>
        <w:t xml:space="preserve"> reviewer </w:t>
      </w:r>
      <w:r w:rsidRPr="001F23FD">
        <w:t>assessing 10</w:t>
      </w:r>
      <w:r w:rsidR="00B169D7" w:rsidRPr="001F23FD">
        <w:t>%</w:t>
      </w:r>
      <w:r w:rsidRPr="001F23FD">
        <w:t xml:space="preserve"> of the</w:t>
      </w:r>
      <w:r>
        <w:t xml:space="preserve"> most relevant citations, as determined by </w:t>
      </w:r>
      <w:r w:rsidR="00FA6A3D">
        <w:t>an</w:t>
      </w:r>
      <w:r>
        <w:t xml:space="preserve"> algorithm within Rayyan</w:t>
      </w:r>
      <w:r w:rsidR="00FA6A3D">
        <w:t xml:space="preserve"> citation management software</w:t>
      </w:r>
      <w:r>
        <w:t xml:space="preserve">. </w:t>
      </w:r>
      <w:r w:rsidR="00FA6A3D">
        <w:t>Where there was d</w:t>
      </w:r>
      <w:r>
        <w:t xml:space="preserve">oubt </w:t>
      </w:r>
      <w:r w:rsidR="00FA6A3D">
        <w:t xml:space="preserve">about study inclusion, </w:t>
      </w:r>
      <w:r w:rsidR="007A2341" w:rsidRPr="00183E4D">
        <w:t>a third independent reviewer</w:t>
      </w:r>
      <w:r w:rsidR="00FA6A3D">
        <w:t xml:space="preserve"> was consulted</w:t>
      </w:r>
      <w:r w:rsidR="007A2341" w:rsidRPr="00183E4D">
        <w:t>.</w:t>
      </w:r>
    </w:p>
    <w:p w14:paraId="6026F572" w14:textId="203CDECC" w:rsidR="007518CF" w:rsidRDefault="00182C18" w:rsidP="00AA708D">
      <w:pPr>
        <w:jc w:val="both"/>
      </w:pPr>
      <w:r w:rsidRPr="00183E4D">
        <w:t>Studies that could not be retrieved</w:t>
      </w:r>
      <w:r w:rsidR="00FA6A3D">
        <w:t>,</w:t>
      </w:r>
      <w:r w:rsidRPr="00183E4D">
        <w:t xml:space="preserve"> or that met the inclusion criteria but </w:t>
      </w:r>
      <w:r w:rsidR="00FA6A3D">
        <w:t>had</w:t>
      </w:r>
      <w:r w:rsidRPr="00183E4D">
        <w:t xml:space="preserve"> </w:t>
      </w:r>
      <w:r w:rsidR="00FA6A3D">
        <w:t xml:space="preserve">data that were </w:t>
      </w:r>
      <w:r w:rsidRPr="00183E4D">
        <w:t xml:space="preserve">insufficient or </w:t>
      </w:r>
      <w:r w:rsidR="00FA6A3D">
        <w:t xml:space="preserve">of </w:t>
      </w:r>
      <w:r w:rsidRPr="00183E4D">
        <w:t xml:space="preserve">inadequate </w:t>
      </w:r>
      <w:r w:rsidR="00FA6A3D">
        <w:t>quality</w:t>
      </w:r>
      <w:r w:rsidRPr="00183E4D">
        <w:t xml:space="preserve"> for inclusion</w:t>
      </w:r>
      <w:r w:rsidR="00FA6A3D">
        <w:t>,</w:t>
      </w:r>
      <w:r w:rsidRPr="00183E4D">
        <w:t xml:space="preserve"> are listed </w:t>
      </w:r>
      <w:r w:rsidR="00B435E9" w:rsidRPr="00183E4D">
        <w:t xml:space="preserve">as Excluded Studies </w:t>
      </w:r>
      <w:r w:rsidRPr="00183E4D">
        <w:t>in</w:t>
      </w:r>
      <w:r w:rsidR="00A02714">
        <w:t xml:space="preserve"> </w:t>
      </w:r>
      <w:r w:rsidR="00A02714">
        <w:rPr>
          <w:highlight w:val="cyan"/>
        </w:rPr>
        <w:fldChar w:fldCharType="begin"/>
      </w:r>
      <w:r w:rsidR="00A02714">
        <w:instrText xml:space="preserve"> REF _Ref364237293 \h </w:instrText>
      </w:r>
      <w:r w:rsidR="00A02714">
        <w:rPr>
          <w:highlight w:val="cyan"/>
        </w:rPr>
      </w:r>
      <w:r w:rsidR="00A02714">
        <w:rPr>
          <w:highlight w:val="cyan"/>
        </w:rPr>
        <w:fldChar w:fldCharType="separate"/>
      </w:r>
      <w:r w:rsidR="00AC4BE5" w:rsidRPr="00183E4D">
        <w:t xml:space="preserve">Appendix </w:t>
      </w:r>
      <w:r w:rsidR="00AC4BE5">
        <w:rPr>
          <w:noProof/>
        </w:rPr>
        <w:t>E</w:t>
      </w:r>
      <w:r w:rsidR="00A02714">
        <w:rPr>
          <w:highlight w:val="cyan"/>
        </w:rPr>
        <w:fldChar w:fldCharType="end"/>
      </w:r>
      <w:r w:rsidRPr="00183E4D">
        <w:t>.</w:t>
      </w:r>
    </w:p>
    <w:p w14:paraId="15787A6A" w14:textId="6BD166AD" w:rsidR="00182C18" w:rsidRPr="00183E4D" w:rsidRDefault="00BD116F" w:rsidP="00AA708D">
      <w:pPr>
        <w:jc w:val="both"/>
      </w:pPr>
      <w:r>
        <w:rPr>
          <w:noProof/>
          <w:sz w:val="16"/>
        </w:rPr>
        <w:lastRenderedPageBreak/>
        <w:drawing>
          <wp:inline distT="0" distB="0" distL="0" distR="0" wp14:anchorId="5B5CE65E" wp14:editId="6B25E5DD">
            <wp:extent cx="5833581" cy="6437376"/>
            <wp:effectExtent l="0" t="0" r="0" b="1905"/>
            <wp:docPr id="1" name="Picture 1" descr="Summary of the process used to identify and select studies for the assessment" title="Summary of the process used to identify and select studies for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AMH.png"/>
                    <pic:cNvPicPr/>
                  </pic:nvPicPr>
                  <pic:blipFill>
                    <a:blip r:embed="rId27">
                      <a:extLst>
                        <a:ext uri="{28A0092B-C50C-407E-A947-70E740481C1C}">
                          <a14:useLocalDpi xmlns:a14="http://schemas.microsoft.com/office/drawing/2010/main" val="0"/>
                        </a:ext>
                      </a:extLst>
                    </a:blip>
                    <a:stretch>
                      <a:fillRect/>
                    </a:stretch>
                  </pic:blipFill>
                  <pic:spPr>
                    <a:xfrm>
                      <a:off x="0" y="0"/>
                      <a:ext cx="5858571" cy="6464953"/>
                    </a:xfrm>
                    <a:prstGeom prst="rect">
                      <a:avLst/>
                    </a:prstGeom>
                  </pic:spPr>
                </pic:pic>
              </a:graphicData>
            </a:graphic>
          </wp:inline>
        </w:drawing>
      </w:r>
    </w:p>
    <w:p w14:paraId="5B6429A4" w14:textId="2355EBF2" w:rsidR="009D137D" w:rsidRDefault="00182C18" w:rsidP="00FA6A3D">
      <w:pPr>
        <w:pStyle w:val="Caption"/>
      </w:pPr>
      <w:bookmarkStart w:id="193" w:name="_Ref501463944"/>
      <w:bookmarkStart w:id="194" w:name="_Toc381969892"/>
      <w:bookmarkStart w:id="195" w:name="_Toc502833119"/>
      <w:r w:rsidRPr="00183E4D">
        <w:t xml:space="preserve">Figure </w:t>
      </w:r>
      <w:r w:rsidR="00AC4BE5">
        <w:fldChar w:fldCharType="begin"/>
      </w:r>
      <w:r w:rsidR="00AC4BE5">
        <w:instrText xml:space="preserve"> SEQ Figure \* ARABIC </w:instrText>
      </w:r>
      <w:r w:rsidR="00AC4BE5">
        <w:fldChar w:fldCharType="separate"/>
      </w:r>
      <w:r w:rsidR="00AC4BE5">
        <w:rPr>
          <w:noProof/>
        </w:rPr>
        <w:t>5</w:t>
      </w:r>
      <w:r w:rsidR="00AC4BE5">
        <w:rPr>
          <w:noProof/>
        </w:rPr>
        <w:fldChar w:fldCharType="end"/>
      </w:r>
      <w:bookmarkEnd w:id="193"/>
      <w:r w:rsidR="00962983" w:rsidRPr="00183E4D">
        <w:tab/>
      </w:r>
      <w:r w:rsidRPr="00183E4D">
        <w:t xml:space="preserve">Summary of the process used to identify and select studies for the </w:t>
      </w:r>
      <w:bookmarkEnd w:id="194"/>
      <w:r w:rsidR="00E40529" w:rsidRPr="00183E4D">
        <w:t>assessment</w:t>
      </w:r>
      <w:bookmarkEnd w:id="195"/>
    </w:p>
    <w:p w14:paraId="57DC4C98" w14:textId="06442DD8" w:rsidR="007518CF" w:rsidRDefault="00B435E9" w:rsidP="00FA6A3D">
      <w:pPr>
        <w:spacing w:before="240"/>
        <w:jc w:val="both"/>
        <w:rPr>
          <w:color w:val="000000"/>
        </w:rPr>
      </w:pPr>
      <w:r w:rsidRPr="00183E4D">
        <w:t xml:space="preserve">A profile of each included study is </w:t>
      </w:r>
      <w:r w:rsidR="008D77C9" w:rsidRPr="00183E4D">
        <w:t>given</w:t>
      </w:r>
      <w:r w:rsidRPr="00183E4D">
        <w:t xml:space="preserve"> in </w:t>
      </w:r>
      <w:r w:rsidRPr="008633A5">
        <w:fldChar w:fldCharType="begin"/>
      </w:r>
      <w:r w:rsidRPr="008633A5">
        <w:instrText xml:space="preserve"> REF _Ref364237249 \h  \* MERGEFORMAT </w:instrText>
      </w:r>
      <w:r w:rsidRPr="008633A5">
        <w:fldChar w:fldCharType="separate"/>
      </w:r>
      <w:r w:rsidR="00AC4BE5" w:rsidRPr="00183E4D">
        <w:t xml:space="preserve">Appendix </w:t>
      </w:r>
      <w:r w:rsidR="00AC4BE5">
        <w:t>C</w:t>
      </w:r>
      <w:r w:rsidRPr="008633A5">
        <w:fldChar w:fldCharType="end"/>
      </w:r>
      <w:r w:rsidRPr="00183E4D">
        <w:t xml:space="preserve">. </w:t>
      </w:r>
      <w:r w:rsidRPr="00183E4D">
        <w:rPr>
          <w:color w:val="000000"/>
        </w:rPr>
        <w:t xml:space="preserve">This study profile </w:t>
      </w:r>
      <w:r w:rsidR="00FA6A3D">
        <w:rPr>
          <w:color w:val="000000"/>
        </w:rPr>
        <w:t>provides details of</w:t>
      </w:r>
      <w:r w:rsidRPr="00183E4D">
        <w:rPr>
          <w:color w:val="000000"/>
        </w:rPr>
        <w:t xml:space="preserve"> the authors, study </w:t>
      </w:r>
      <w:r w:rsidR="00FA6A3D">
        <w:rPr>
          <w:color w:val="000000"/>
        </w:rPr>
        <w:t>identification</w:t>
      </w:r>
      <w:r w:rsidRPr="00183E4D">
        <w:rPr>
          <w:color w:val="000000"/>
        </w:rPr>
        <w:t xml:space="preserve">, </w:t>
      </w:r>
      <w:r w:rsidR="00F7277A">
        <w:rPr>
          <w:color w:val="000000"/>
        </w:rPr>
        <w:t xml:space="preserve">publication year, study design </w:t>
      </w:r>
      <w:r w:rsidR="00FA6A3D">
        <w:rPr>
          <w:color w:val="000000"/>
        </w:rPr>
        <w:t xml:space="preserve">and quality, i.e. </w:t>
      </w:r>
      <w:r w:rsidRPr="00183E4D">
        <w:rPr>
          <w:color w:val="000000"/>
        </w:rPr>
        <w:t>level of evidence and risk</w:t>
      </w:r>
      <w:r w:rsidR="00F7277A">
        <w:rPr>
          <w:color w:val="000000"/>
        </w:rPr>
        <w:t xml:space="preserve"> of </w:t>
      </w:r>
      <w:r w:rsidR="00FA6A3D">
        <w:rPr>
          <w:color w:val="000000"/>
        </w:rPr>
        <w:t>bias</w:t>
      </w:r>
      <w:r w:rsidR="00F7277A">
        <w:rPr>
          <w:color w:val="000000"/>
        </w:rPr>
        <w:t>, study location</w:t>
      </w:r>
      <w:r w:rsidRPr="00183E4D">
        <w:rPr>
          <w:color w:val="000000"/>
        </w:rPr>
        <w:t xml:space="preserve">, length of follow-up of patients, study population characteristics, description of the </w:t>
      </w:r>
      <w:r w:rsidR="001C467D">
        <w:rPr>
          <w:color w:val="000000"/>
        </w:rPr>
        <w:t xml:space="preserve">test </w:t>
      </w:r>
      <w:r w:rsidR="00F7277A">
        <w:rPr>
          <w:color w:val="000000"/>
        </w:rPr>
        <w:t>and associated</w:t>
      </w:r>
      <w:r w:rsidR="001C467D">
        <w:rPr>
          <w:color w:val="000000"/>
        </w:rPr>
        <w:t xml:space="preserve"> interventions</w:t>
      </w:r>
      <w:r w:rsidR="00FA6A3D">
        <w:rPr>
          <w:color w:val="000000"/>
        </w:rPr>
        <w:t>,</w:t>
      </w:r>
      <w:r w:rsidR="00F7277A">
        <w:rPr>
          <w:color w:val="000000"/>
        </w:rPr>
        <w:t xml:space="preserve"> if relevant</w:t>
      </w:r>
      <w:r w:rsidR="001C467D">
        <w:rPr>
          <w:color w:val="000000"/>
        </w:rPr>
        <w:t>,</w:t>
      </w:r>
      <w:r w:rsidRPr="00183E4D">
        <w:rPr>
          <w:color w:val="000000"/>
        </w:rPr>
        <w:t xml:space="preserve"> description of the comparator</w:t>
      </w:r>
      <w:r w:rsidR="00FA6A3D">
        <w:rPr>
          <w:color w:val="000000"/>
        </w:rPr>
        <w:t xml:space="preserve">, </w:t>
      </w:r>
      <w:r w:rsidR="00F7277A">
        <w:rPr>
          <w:color w:val="000000"/>
        </w:rPr>
        <w:t>if available</w:t>
      </w:r>
      <w:r w:rsidR="009340C4">
        <w:rPr>
          <w:color w:val="000000"/>
        </w:rPr>
        <w:t>, description of the reference standard or evidentiary standard</w:t>
      </w:r>
      <w:r w:rsidR="008379E1">
        <w:rPr>
          <w:color w:val="000000"/>
        </w:rPr>
        <w:t>,</w:t>
      </w:r>
      <w:r w:rsidR="009340C4">
        <w:rPr>
          <w:color w:val="000000"/>
        </w:rPr>
        <w:t xml:space="preserve"> and</w:t>
      </w:r>
      <w:r w:rsidR="00F7277A">
        <w:rPr>
          <w:color w:val="000000"/>
        </w:rPr>
        <w:t xml:space="preserve"> </w:t>
      </w:r>
      <w:r w:rsidRPr="00183E4D">
        <w:rPr>
          <w:color w:val="000000"/>
        </w:rPr>
        <w:t>the relevant outcomes assessed.</w:t>
      </w:r>
    </w:p>
    <w:p w14:paraId="6B34EACF" w14:textId="4EBA3050" w:rsidR="000D328F" w:rsidRPr="00183E4D" w:rsidRDefault="000D328F" w:rsidP="004446E6">
      <w:pPr>
        <w:pStyle w:val="Heading3"/>
      </w:pPr>
      <w:bookmarkStart w:id="196" w:name="_Toc395200773"/>
      <w:bookmarkStart w:id="197" w:name="_Toc502832915"/>
      <w:r w:rsidRPr="00183E4D">
        <w:t>Appraisal of the evidence</w:t>
      </w:r>
      <w:bookmarkEnd w:id="196"/>
      <w:bookmarkEnd w:id="197"/>
    </w:p>
    <w:p w14:paraId="6821036E" w14:textId="7CA330EE" w:rsidR="000D328F" w:rsidRPr="00183E4D" w:rsidRDefault="000D328F" w:rsidP="000D328F">
      <w:pPr>
        <w:jc w:val="both"/>
      </w:pPr>
      <w:r w:rsidRPr="00183E4D">
        <w:t xml:space="preserve">Appraisal of the evidence was </w:t>
      </w:r>
      <w:r w:rsidRPr="001F23FD">
        <w:t xml:space="preserve">conducted in </w:t>
      </w:r>
      <w:r w:rsidR="008379E1" w:rsidRPr="001F23FD">
        <w:t>four</w:t>
      </w:r>
      <w:r w:rsidR="000E3E96" w:rsidRPr="001F23FD">
        <w:t xml:space="preserve"> </w:t>
      </w:r>
      <w:r w:rsidRPr="001F23FD">
        <w:t>stages</w:t>
      </w:r>
      <w:r w:rsidRPr="00183E4D">
        <w:t>:</w:t>
      </w:r>
    </w:p>
    <w:p w14:paraId="558D7318" w14:textId="6158720B" w:rsidR="000D328F" w:rsidRPr="00183E4D" w:rsidRDefault="000D328F" w:rsidP="000D328F">
      <w:pPr>
        <w:jc w:val="both"/>
      </w:pPr>
      <w:r w:rsidRPr="00183E4D">
        <w:lastRenderedPageBreak/>
        <w:t xml:space="preserve">Stage 1: </w:t>
      </w:r>
      <w:r w:rsidR="00AD66F7">
        <w:t>R</w:t>
      </w:r>
      <w:r w:rsidR="007B5C45">
        <w:t xml:space="preserve">isk of bias </w:t>
      </w:r>
      <w:r w:rsidR="00AD66F7">
        <w:t>appraisal for individual studies, or systematic reviews,</w:t>
      </w:r>
      <w:r w:rsidR="007B5C45" w:rsidRPr="00183E4D">
        <w:t xml:space="preserve"> included in the review</w:t>
      </w:r>
      <w:r w:rsidR="00464AB2">
        <w:t xml:space="preserve">. </w:t>
      </w:r>
      <w:r w:rsidR="007B5C45">
        <w:t>Some risk of bias items were assessed for the study as a whole, while others wer</w:t>
      </w:r>
      <w:r w:rsidR="0096697F">
        <w:t>e assessed at the outcome level</w:t>
      </w:r>
      <w:r w:rsidR="007B5C45" w:rsidRPr="00183E4D">
        <w:t xml:space="preserve">. </w:t>
      </w:r>
      <w:r w:rsidR="00AD66F7">
        <w:t xml:space="preserve">See </w:t>
      </w:r>
      <w:r w:rsidR="004D6709">
        <w:t>s</w:t>
      </w:r>
      <w:r w:rsidR="00E72356">
        <w:t>ubs</w:t>
      </w:r>
      <w:r w:rsidRPr="00183E4D">
        <w:t>ection</w:t>
      </w:r>
      <w:r w:rsidR="00E72356">
        <w:t>s</w:t>
      </w:r>
      <w:r w:rsidRPr="00183E4D">
        <w:t xml:space="preserve"> B</w:t>
      </w:r>
      <w:r w:rsidR="002360B8">
        <w:t>1.3</w:t>
      </w:r>
      <w:r w:rsidR="00E72356">
        <w:t>, B3.3, B4.1.2, B5.1.1</w:t>
      </w:r>
      <w:r w:rsidR="00AD66F7">
        <w:t>.</w:t>
      </w:r>
    </w:p>
    <w:p w14:paraId="186132F0" w14:textId="60C972B0" w:rsidR="007518CF" w:rsidRDefault="000D328F" w:rsidP="000D328F">
      <w:pPr>
        <w:jc w:val="both"/>
      </w:pPr>
      <w:r w:rsidRPr="00183E4D">
        <w:t>Stage 2: Appraisal of the precision, size of effect and clinical importance of the results reported in the evidence base as they relate to the pre-specified primary</w:t>
      </w:r>
      <w:r w:rsidR="00AD66F7">
        <w:t xml:space="preserve"> outcomes for this assessment. See </w:t>
      </w:r>
      <w:r w:rsidR="004D6709">
        <w:t>s</w:t>
      </w:r>
      <w:r w:rsidR="002C532B">
        <w:t>ubs</w:t>
      </w:r>
      <w:r w:rsidRPr="00183E4D">
        <w:t>ection</w:t>
      </w:r>
      <w:r w:rsidR="002C532B">
        <w:t>s</w:t>
      </w:r>
      <w:r w:rsidRPr="00183E4D">
        <w:t xml:space="preserve"> B</w:t>
      </w:r>
      <w:r w:rsidR="002360B8">
        <w:t>1.6</w:t>
      </w:r>
      <w:r w:rsidR="007617CB">
        <w:t>, B3.6, B4.1.5, B5.1.4, B</w:t>
      </w:r>
      <w:r w:rsidR="002C532B">
        <w:t>5.2.4</w:t>
      </w:r>
      <w:r w:rsidR="00AD66F7">
        <w:t>.</w:t>
      </w:r>
    </w:p>
    <w:p w14:paraId="484011A5" w14:textId="5535CFDA" w:rsidR="007B5C45" w:rsidRDefault="000D328F" w:rsidP="000D328F">
      <w:pPr>
        <w:jc w:val="both"/>
      </w:pPr>
      <w:r w:rsidRPr="00183E4D">
        <w:t xml:space="preserve">Stage 3: </w:t>
      </w:r>
      <w:r w:rsidR="007B5C45">
        <w:t xml:space="preserve">Rating the overall quality of the evidence per outcome, across studies, based on the study limitations (risk of bias), imprecision, inconsistency of results, indirectness of evidence, and the </w:t>
      </w:r>
      <w:r w:rsidR="00AD66F7">
        <w:t xml:space="preserve">likelihood of publication bias. See </w:t>
      </w:r>
      <w:r w:rsidR="007B5C45">
        <w:t>Evidence profile tables,</w:t>
      </w:r>
      <w:r w:rsidR="00A61D1E">
        <w:t xml:space="preserve"> </w:t>
      </w:r>
      <w:r w:rsidR="00A61D1E">
        <w:fldChar w:fldCharType="begin"/>
      </w:r>
      <w:r w:rsidR="00A61D1E">
        <w:instrText xml:space="preserve"> REF _Ref421611175 \h </w:instrText>
      </w:r>
      <w:r w:rsidR="00A61D1E">
        <w:fldChar w:fldCharType="separate"/>
      </w:r>
      <w:r w:rsidR="00AC4BE5">
        <w:t xml:space="preserve">Appendix </w:t>
      </w:r>
      <w:r w:rsidR="00AC4BE5">
        <w:rPr>
          <w:noProof/>
        </w:rPr>
        <w:t>D</w:t>
      </w:r>
      <w:r w:rsidR="00A61D1E">
        <w:fldChar w:fldCharType="end"/>
      </w:r>
      <w:r w:rsidR="007B5C45">
        <w:t>.</w:t>
      </w:r>
    </w:p>
    <w:p w14:paraId="5CF1D4A3" w14:textId="25898D79" w:rsidR="007A49EE" w:rsidRDefault="007B5C45" w:rsidP="000D328F">
      <w:pPr>
        <w:jc w:val="both"/>
      </w:pPr>
      <w:r>
        <w:t xml:space="preserve">Stage 4: </w:t>
      </w:r>
      <w:r w:rsidR="00AD66F7">
        <w:t>Evidence integration across outcomes</w:t>
      </w:r>
      <w:r w:rsidR="00F03B2E">
        <w:t xml:space="preserve"> </w:t>
      </w:r>
      <w:r w:rsidR="000D328F" w:rsidRPr="00183E4D">
        <w:t xml:space="preserve">for conclusions about the net clinical benefit of the </w:t>
      </w:r>
      <w:r w:rsidR="0071212A">
        <w:t>test and associated interventions</w:t>
      </w:r>
      <w:r w:rsidR="000D328F" w:rsidRPr="00183E4D">
        <w:t xml:space="preserve"> in the context of Australian clinical practice. </w:t>
      </w:r>
      <w:r w:rsidR="00AD66F7">
        <w:t xml:space="preserve">See </w:t>
      </w:r>
      <w:r w:rsidR="00706403">
        <w:t>Section</w:t>
      </w:r>
      <w:r w:rsidR="002C532B">
        <w:t xml:space="preserve"> B.</w:t>
      </w:r>
      <w:r w:rsidR="00AD66F7">
        <w:t>8.</w:t>
      </w:r>
    </w:p>
    <w:p w14:paraId="2F142EEF" w14:textId="0A417AC0" w:rsidR="009A76F8" w:rsidRPr="00183E4D" w:rsidRDefault="00DC5CE5" w:rsidP="00D366DE">
      <w:pPr>
        <w:pStyle w:val="Heading2"/>
        <w:numPr>
          <w:ilvl w:val="1"/>
          <w:numId w:val="13"/>
        </w:numPr>
      </w:pPr>
      <w:bookmarkStart w:id="198" w:name="_Toc502832916"/>
      <w:bookmarkStart w:id="199" w:name="_Toc381796464"/>
      <w:r>
        <w:t>Risk of b</w:t>
      </w:r>
      <w:r w:rsidR="009A76F8" w:rsidRPr="00183E4D">
        <w:t>ias</w:t>
      </w:r>
      <w:r>
        <w:t xml:space="preserve"> a</w:t>
      </w:r>
      <w:r w:rsidR="00B435E9" w:rsidRPr="00183E4D">
        <w:t>ssessment</w:t>
      </w:r>
      <w:bookmarkEnd w:id="198"/>
    </w:p>
    <w:bookmarkEnd w:id="199"/>
    <w:p w14:paraId="6BD11254" w14:textId="77777777" w:rsidR="007518CF" w:rsidRDefault="00465F9A" w:rsidP="00465F9A">
      <w:r>
        <w:t>No studies meeting the PICO criteria for direct evidence were identified.</w:t>
      </w:r>
    </w:p>
    <w:p w14:paraId="337CB670" w14:textId="0E775664" w:rsidR="008D77C9" w:rsidRPr="00183E4D" w:rsidRDefault="00DC5CE5" w:rsidP="00D366DE">
      <w:pPr>
        <w:pStyle w:val="Heading2"/>
        <w:numPr>
          <w:ilvl w:val="1"/>
          <w:numId w:val="13"/>
        </w:numPr>
      </w:pPr>
      <w:bookmarkStart w:id="200" w:name="_Toc502832917"/>
      <w:r>
        <w:t>Characteristics of the evidence b</w:t>
      </w:r>
      <w:r w:rsidR="008D77C9" w:rsidRPr="00183E4D">
        <w:t>ase</w:t>
      </w:r>
      <w:bookmarkEnd w:id="200"/>
    </w:p>
    <w:p w14:paraId="2E1DB0B2" w14:textId="77777777" w:rsidR="007518CF" w:rsidRDefault="00465F9A" w:rsidP="00465F9A">
      <w:r>
        <w:t>No studies meeting the PICO criteria for direct evidence were identified.</w:t>
      </w:r>
    </w:p>
    <w:p w14:paraId="1127FF6C" w14:textId="5D7FE416" w:rsidR="008D77C9" w:rsidRPr="00183E4D" w:rsidRDefault="008D77C9" w:rsidP="00D366DE">
      <w:pPr>
        <w:pStyle w:val="Heading2"/>
        <w:numPr>
          <w:ilvl w:val="1"/>
          <w:numId w:val="13"/>
        </w:numPr>
      </w:pPr>
      <w:bookmarkStart w:id="201" w:name="_Toc502832918"/>
      <w:r w:rsidRPr="00183E4D">
        <w:t>Outcome</w:t>
      </w:r>
      <w:r w:rsidR="00DC5CE5">
        <w:t xml:space="preserve"> m</w:t>
      </w:r>
      <w:r w:rsidR="0060025E" w:rsidRPr="00183E4D">
        <w:t>easure</w:t>
      </w:r>
      <w:r w:rsidRPr="00183E4D">
        <w:t>s</w:t>
      </w:r>
      <w:r w:rsidR="00DC5CE5">
        <w:t xml:space="preserve"> and a</w:t>
      </w:r>
      <w:r w:rsidR="0060025E" w:rsidRPr="00183E4D">
        <w:t>nalysis</w:t>
      </w:r>
      <w:bookmarkEnd w:id="201"/>
    </w:p>
    <w:p w14:paraId="270B255B" w14:textId="4CBA45E4" w:rsidR="003A50B9" w:rsidRDefault="00465F9A" w:rsidP="0060025E">
      <w:r>
        <w:t>No studies meeting the PICO criteria for direct evidence were identified.</w:t>
      </w:r>
    </w:p>
    <w:p w14:paraId="21182AE0" w14:textId="77777777" w:rsidR="003A50B9" w:rsidRDefault="003A50B9">
      <w:pPr>
        <w:spacing w:after="0" w:line="240" w:lineRule="auto"/>
      </w:pPr>
      <w:r>
        <w:br w:type="page"/>
      </w:r>
    </w:p>
    <w:p w14:paraId="6C67C06C" w14:textId="63B1BEEB" w:rsidR="00214F7B" w:rsidRPr="00183E4D" w:rsidRDefault="00214F7B" w:rsidP="00D366DE">
      <w:pPr>
        <w:pStyle w:val="Heading2"/>
        <w:numPr>
          <w:ilvl w:val="1"/>
          <w:numId w:val="13"/>
        </w:numPr>
      </w:pPr>
      <w:bookmarkStart w:id="202" w:name="_Toc502832919"/>
      <w:bookmarkStart w:id="203" w:name="_Toc122538326"/>
      <w:bookmarkStart w:id="204" w:name="_Toc143663862"/>
      <w:bookmarkStart w:id="205" w:name="_Ref144697268"/>
      <w:bookmarkStart w:id="206" w:name="_Ref144697275"/>
      <w:r w:rsidRPr="00183E4D">
        <w:lastRenderedPageBreak/>
        <w:t xml:space="preserve">Results of the </w:t>
      </w:r>
      <w:r w:rsidR="00DC5CE5">
        <w:t>s</w:t>
      </w:r>
      <w:r w:rsidRPr="00183E4D">
        <w:t xml:space="preserve">ystematic </w:t>
      </w:r>
      <w:r w:rsidR="00DC5CE5">
        <w:t>literature review</w:t>
      </w:r>
      <w:bookmarkEnd w:id="202"/>
    </w:p>
    <w:p w14:paraId="282925EF" w14:textId="77777777" w:rsidR="007518CF" w:rsidRDefault="008F59A8" w:rsidP="004446E6">
      <w:pPr>
        <w:pStyle w:val="Heading3"/>
      </w:pPr>
      <w:bookmarkStart w:id="207" w:name="_Toc502832920"/>
      <w:bookmarkEnd w:id="188"/>
      <w:bookmarkEnd w:id="203"/>
      <w:bookmarkEnd w:id="204"/>
      <w:bookmarkEnd w:id="205"/>
      <w:bookmarkEnd w:id="206"/>
      <w:r w:rsidRPr="00183E4D">
        <w:t>Is it safe?</w:t>
      </w:r>
      <w:bookmarkEnd w:id="189"/>
      <w:bookmarkEnd w:id="190"/>
      <w:bookmarkEnd w:id="207"/>
    </w:p>
    <w:p w14:paraId="33C13334" w14:textId="2C77B288" w:rsidR="007518CF" w:rsidRDefault="00DD53E7" w:rsidP="00B3564F">
      <w:pPr>
        <w:pStyle w:val="Summaryboxheading"/>
        <w:pBdr>
          <w:top w:val="single" w:sz="4" w:space="1" w:color="auto"/>
          <w:left w:val="single" w:sz="4" w:space="4" w:color="auto"/>
          <w:bottom w:val="single" w:sz="4" w:space="1" w:color="auto"/>
          <w:right w:val="single" w:sz="4" w:space="4" w:color="auto"/>
        </w:pBdr>
        <w:spacing w:before="0" w:after="120" w:afterAutospacing="0"/>
        <w:jc w:val="both"/>
      </w:pPr>
      <w:r>
        <w:t>Summary</w:t>
      </w:r>
    </w:p>
    <w:p w14:paraId="55300CE8" w14:textId="77777777" w:rsidR="007518CF" w:rsidRDefault="00797255" w:rsidP="00B3564F">
      <w:pPr>
        <w:pStyle w:val="Summaryboxheading"/>
        <w:pBdr>
          <w:top w:val="single" w:sz="4" w:space="1" w:color="auto"/>
          <w:left w:val="single" w:sz="4" w:space="4" w:color="auto"/>
          <w:bottom w:val="single" w:sz="4" w:space="1" w:color="auto"/>
          <w:right w:val="single" w:sz="4" w:space="4" w:color="auto"/>
        </w:pBdr>
        <w:spacing w:before="0" w:after="120" w:afterAutospacing="0"/>
        <w:jc w:val="both"/>
      </w:pPr>
      <w:r>
        <w:t>What is the safety of having an AMH test to measure ovarian reserve in addition to other standard tests, versus other standard tests alone, for determining the need for cryopreservation of ovarian tissue, oocytes or embryos, and predicting the success of fertility preservation, prior to receiving gonadotoxic treatment?</w:t>
      </w:r>
    </w:p>
    <w:p w14:paraId="6A807AAF" w14:textId="15D6315A" w:rsidR="00797255" w:rsidRPr="00797255" w:rsidRDefault="00797255" w:rsidP="00B3564F">
      <w:pPr>
        <w:pStyle w:val="Summaryboxheading"/>
        <w:pBdr>
          <w:top w:val="single" w:sz="4" w:space="1" w:color="auto"/>
          <w:left w:val="single" w:sz="4" w:space="4" w:color="auto"/>
          <w:bottom w:val="single" w:sz="4" w:space="1" w:color="auto"/>
          <w:right w:val="single" w:sz="4" w:space="4" w:color="auto"/>
        </w:pBdr>
        <w:spacing w:before="0" w:after="120" w:afterAutospacing="0"/>
        <w:jc w:val="both"/>
        <w:rPr>
          <w:b w:val="0"/>
        </w:rPr>
      </w:pPr>
      <w:r>
        <w:rPr>
          <w:b w:val="0"/>
        </w:rPr>
        <w:t>No studies on the safety of AMH testing were identified.</w:t>
      </w:r>
    </w:p>
    <w:p w14:paraId="5C02AD75" w14:textId="77777777" w:rsidR="007518CF" w:rsidRDefault="00797255" w:rsidP="00B3564F">
      <w:pPr>
        <w:pStyle w:val="Summaryboxheading"/>
        <w:pBdr>
          <w:top w:val="single" w:sz="4" w:space="1" w:color="auto"/>
          <w:left w:val="single" w:sz="4" w:space="4" w:color="auto"/>
          <w:bottom w:val="single" w:sz="4" w:space="1" w:color="auto"/>
          <w:right w:val="single" w:sz="4" w:space="4" w:color="auto"/>
        </w:pBdr>
        <w:spacing w:before="0" w:after="120" w:afterAutospacing="0"/>
        <w:jc w:val="both"/>
      </w:pPr>
      <w:r>
        <w:t>What is the safety of having an AMH test in addition to other standard tests, versus other standard tests alone, to predict response to superovulation and determine the level of hormones used, prior to receiving gonadotoxic treatment?</w:t>
      </w:r>
    </w:p>
    <w:p w14:paraId="5C75C033" w14:textId="2F6BF780" w:rsidR="00797255" w:rsidRPr="00797255" w:rsidRDefault="00797255" w:rsidP="00B3564F">
      <w:pPr>
        <w:pStyle w:val="Summaryboxheading"/>
        <w:pBdr>
          <w:top w:val="single" w:sz="4" w:space="1" w:color="auto"/>
          <w:left w:val="single" w:sz="4" w:space="4" w:color="auto"/>
          <w:bottom w:val="single" w:sz="4" w:space="1" w:color="auto"/>
          <w:right w:val="single" w:sz="4" w:space="4" w:color="auto"/>
        </w:pBdr>
        <w:spacing w:before="0" w:after="120" w:afterAutospacing="0"/>
        <w:jc w:val="both"/>
        <w:rPr>
          <w:b w:val="0"/>
        </w:rPr>
      </w:pPr>
      <w:r>
        <w:rPr>
          <w:b w:val="0"/>
        </w:rPr>
        <w:t>No studies on the safety of AMH testing were identified.</w:t>
      </w:r>
    </w:p>
    <w:p w14:paraId="4C4C61CF" w14:textId="3F1F30C5" w:rsidR="00797255" w:rsidRPr="00183E4D" w:rsidRDefault="00797255" w:rsidP="00B3564F">
      <w:pPr>
        <w:pStyle w:val="Summaryboxheading"/>
        <w:pBdr>
          <w:top w:val="single" w:sz="4" w:space="1" w:color="auto"/>
          <w:left w:val="single" w:sz="4" w:space="4" w:color="auto"/>
          <w:bottom w:val="single" w:sz="4" w:space="1" w:color="auto"/>
          <w:right w:val="single" w:sz="4" w:space="4" w:color="auto"/>
        </w:pBdr>
        <w:spacing w:before="0" w:after="120" w:afterAutospacing="0"/>
        <w:jc w:val="both"/>
      </w:pPr>
      <w:r>
        <w:t xml:space="preserve">What is the safety </w:t>
      </w:r>
      <w:r w:rsidRPr="00797255">
        <w:t>of having an AMH test in addition to other standard tests to measure ovarian function compared to other standard tests alone in female patients following completion of gonadotoxic treatment?</w:t>
      </w:r>
    </w:p>
    <w:p w14:paraId="7FC8B255" w14:textId="4548F8BD" w:rsidR="009048CB" w:rsidRPr="00797255" w:rsidRDefault="00797255" w:rsidP="00B3564F">
      <w:pPr>
        <w:pStyle w:val="Summaryboxheading"/>
        <w:pBdr>
          <w:top w:val="single" w:sz="4" w:space="1" w:color="auto"/>
          <w:left w:val="single" w:sz="4" w:space="4" w:color="auto"/>
          <w:bottom w:val="single" w:sz="4" w:space="1" w:color="auto"/>
          <w:right w:val="single" w:sz="4" w:space="4" w:color="auto"/>
        </w:pBdr>
        <w:spacing w:before="0" w:after="120" w:afterAutospacing="0"/>
        <w:jc w:val="both"/>
        <w:rPr>
          <w:b w:val="0"/>
        </w:rPr>
      </w:pPr>
      <w:r>
        <w:rPr>
          <w:b w:val="0"/>
        </w:rPr>
        <w:t>No studies on the safety of AMH testing were identified.</w:t>
      </w:r>
    </w:p>
    <w:p w14:paraId="46CF5F1C" w14:textId="77777777" w:rsidR="007518CF" w:rsidRDefault="00465F9A" w:rsidP="00465F9A">
      <w:r>
        <w:t>No studies meeting the PICO criteria for direct evidence were identified.</w:t>
      </w:r>
    </w:p>
    <w:p w14:paraId="0E8F878F" w14:textId="77777777" w:rsidR="007518CF" w:rsidRDefault="008F59A8" w:rsidP="004446E6">
      <w:pPr>
        <w:pStyle w:val="Heading3"/>
      </w:pPr>
      <w:bookmarkStart w:id="208" w:name="_Toc379118084"/>
      <w:bookmarkStart w:id="209" w:name="_Toc381796469"/>
      <w:bookmarkStart w:id="210" w:name="_Toc502832921"/>
      <w:r w:rsidRPr="00183E4D">
        <w:t>Is it effective?</w:t>
      </w:r>
      <w:bookmarkEnd w:id="208"/>
      <w:bookmarkEnd w:id="209"/>
      <w:bookmarkEnd w:id="210"/>
    </w:p>
    <w:p w14:paraId="258BA5DC" w14:textId="798F07BB" w:rsidR="007518CF" w:rsidRDefault="00DD53E7" w:rsidP="00B3564F">
      <w:pPr>
        <w:pStyle w:val="Summaryboxheading"/>
        <w:pBdr>
          <w:top w:val="single" w:sz="4" w:space="1" w:color="auto"/>
          <w:left w:val="single" w:sz="4" w:space="4" w:color="auto"/>
          <w:bottom w:val="single" w:sz="4" w:space="1" w:color="auto"/>
          <w:right w:val="single" w:sz="4" w:space="4" w:color="auto"/>
        </w:pBdr>
        <w:spacing w:before="0" w:afterLines="40" w:after="96" w:afterAutospacing="0"/>
        <w:jc w:val="both"/>
      </w:pPr>
      <w:r>
        <w:t>Summary</w:t>
      </w:r>
    </w:p>
    <w:p w14:paraId="7153FDAC" w14:textId="77777777" w:rsidR="007518CF" w:rsidRDefault="00797255" w:rsidP="00B3564F">
      <w:pPr>
        <w:pBdr>
          <w:top w:val="single" w:sz="4" w:space="1" w:color="auto"/>
          <w:left w:val="single" w:sz="4" w:space="4" w:color="auto"/>
          <w:bottom w:val="single" w:sz="4" w:space="1" w:color="auto"/>
          <w:right w:val="single" w:sz="4" w:space="4" w:color="auto"/>
        </w:pBdr>
        <w:spacing w:afterLines="40" w:after="96"/>
        <w:jc w:val="both"/>
        <w:rPr>
          <w:rFonts w:ascii="Arial Narrow" w:hAnsi="Arial Narrow"/>
          <w:b/>
        </w:rPr>
      </w:pPr>
      <w:r w:rsidRPr="00797255">
        <w:rPr>
          <w:rFonts w:ascii="Arial Narrow" w:hAnsi="Arial Narrow"/>
          <w:b/>
        </w:rPr>
        <w:t>What is the effectiveness of having an AMH test to measure ovarian reserve in addition to other standard tests, versus other standard tests alone, for determining the need for cryopreservation of ovarian tissue, oocytes or embryos, and predicting the success of fertility preservation, prior to receiving gonadotoxic treatment?</w:t>
      </w:r>
    </w:p>
    <w:p w14:paraId="048079E3" w14:textId="7966A1A4" w:rsidR="00797255" w:rsidRPr="00797255" w:rsidRDefault="00797255" w:rsidP="00B3564F">
      <w:pPr>
        <w:pBdr>
          <w:top w:val="single" w:sz="4" w:space="1" w:color="auto"/>
          <w:left w:val="single" w:sz="4" w:space="4" w:color="auto"/>
          <w:bottom w:val="single" w:sz="4" w:space="1" w:color="auto"/>
          <w:right w:val="single" w:sz="4" w:space="4" w:color="auto"/>
        </w:pBdr>
        <w:spacing w:afterLines="40" w:after="96"/>
        <w:jc w:val="both"/>
        <w:rPr>
          <w:rFonts w:ascii="Arial Narrow" w:hAnsi="Arial Narrow"/>
        </w:rPr>
      </w:pPr>
      <w:r w:rsidRPr="00797255">
        <w:rPr>
          <w:rFonts w:ascii="Arial Narrow" w:hAnsi="Arial Narrow"/>
        </w:rPr>
        <w:t>No studies meeting the PICO criteria for direct evidence were identified.</w:t>
      </w:r>
    </w:p>
    <w:p w14:paraId="7CB921A3" w14:textId="77777777" w:rsidR="00A00B06" w:rsidRDefault="00797255" w:rsidP="00B3564F">
      <w:pPr>
        <w:pBdr>
          <w:top w:val="single" w:sz="4" w:space="1" w:color="auto"/>
          <w:left w:val="single" w:sz="4" w:space="4" w:color="auto"/>
          <w:bottom w:val="single" w:sz="4" w:space="1" w:color="auto"/>
          <w:right w:val="single" w:sz="4" w:space="4" w:color="auto"/>
        </w:pBdr>
        <w:spacing w:afterLines="40" w:after="96"/>
        <w:jc w:val="both"/>
        <w:rPr>
          <w:rFonts w:ascii="Arial Narrow" w:hAnsi="Arial Narrow"/>
          <w:b/>
        </w:rPr>
      </w:pPr>
      <w:r w:rsidRPr="00797255">
        <w:rPr>
          <w:rFonts w:ascii="Arial Narrow" w:hAnsi="Arial Narrow"/>
          <w:b/>
        </w:rPr>
        <w:t>What is the effectiveness of having an AMH test in addition to other standard tests, versus other standard tests alone, to predict response to superovulation and determine the level of hormones used, prior to receiving gonadotoxic treatment?</w:t>
      </w:r>
    </w:p>
    <w:p w14:paraId="6CEEDD20" w14:textId="11C9907F" w:rsidR="00797255" w:rsidRPr="00797255" w:rsidRDefault="00797255" w:rsidP="00B3564F">
      <w:pPr>
        <w:pBdr>
          <w:top w:val="single" w:sz="4" w:space="1" w:color="auto"/>
          <w:left w:val="single" w:sz="4" w:space="4" w:color="auto"/>
          <w:bottom w:val="single" w:sz="4" w:space="1" w:color="auto"/>
          <w:right w:val="single" w:sz="4" w:space="4" w:color="auto"/>
        </w:pBdr>
        <w:spacing w:afterLines="40" w:after="96"/>
        <w:jc w:val="both"/>
        <w:rPr>
          <w:rFonts w:ascii="Arial Narrow" w:hAnsi="Arial Narrow"/>
        </w:rPr>
      </w:pPr>
      <w:r w:rsidRPr="00797255">
        <w:rPr>
          <w:rFonts w:ascii="Arial Narrow" w:hAnsi="Arial Narrow"/>
        </w:rPr>
        <w:t>No studies meeting the PICO criteria for direct evidence were identified.</w:t>
      </w:r>
    </w:p>
    <w:p w14:paraId="09462EFA" w14:textId="25F6785E" w:rsidR="00481428" w:rsidRDefault="00797255" w:rsidP="00B3564F">
      <w:pPr>
        <w:pBdr>
          <w:top w:val="single" w:sz="4" w:space="1" w:color="auto"/>
          <w:left w:val="single" w:sz="4" w:space="4" w:color="auto"/>
          <w:bottom w:val="single" w:sz="4" w:space="1" w:color="auto"/>
          <w:right w:val="single" w:sz="4" w:space="4" w:color="auto"/>
        </w:pBdr>
        <w:spacing w:afterLines="40" w:after="96"/>
        <w:jc w:val="both"/>
        <w:rPr>
          <w:rFonts w:ascii="Arial Narrow" w:hAnsi="Arial Narrow"/>
          <w:b/>
        </w:rPr>
      </w:pPr>
      <w:r w:rsidRPr="00797255">
        <w:rPr>
          <w:rFonts w:ascii="Arial Narrow" w:hAnsi="Arial Narrow"/>
          <w:b/>
        </w:rPr>
        <w:t>What is the effectiveness of having an AMH test in addition to other standard tests to measure ovarian function compared to other standard tests alone in female patients following completion of gonadotoxic treatment?</w:t>
      </w:r>
    </w:p>
    <w:p w14:paraId="37C603F5" w14:textId="7550E0E5" w:rsidR="00797255" w:rsidRPr="00797255" w:rsidRDefault="00797255" w:rsidP="00B3564F">
      <w:pPr>
        <w:pBdr>
          <w:top w:val="single" w:sz="4" w:space="1" w:color="auto"/>
          <w:left w:val="single" w:sz="4" w:space="4" w:color="auto"/>
          <w:bottom w:val="single" w:sz="4" w:space="1" w:color="auto"/>
          <w:right w:val="single" w:sz="4" w:space="4" w:color="auto"/>
        </w:pBdr>
        <w:spacing w:afterLines="40" w:after="96"/>
        <w:jc w:val="both"/>
        <w:rPr>
          <w:rFonts w:ascii="Arial Narrow" w:hAnsi="Arial Narrow"/>
        </w:rPr>
      </w:pPr>
      <w:r w:rsidRPr="00797255">
        <w:rPr>
          <w:rFonts w:ascii="Arial Narrow" w:hAnsi="Arial Narrow"/>
        </w:rPr>
        <w:t>No studies meeting the PICO criteria for direct evidence were identified.</w:t>
      </w:r>
    </w:p>
    <w:p w14:paraId="09C65CEE" w14:textId="77777777" w:rsidR="007518CF" w:rsidRDefault="00465F9A" w:rsidP="00465F9A">
      <w:r>
        <w:t>No studies meeting the PICO criteria for direct evidence were identified.</w:t>
      </w:r>
    </w:p>
    <w:p w14:paraId="1B20BA5F" w14:textId="28A0AC64" w:rsidR="007518CF" w:rsidRDefault="00A12062" w:rsidP="00D0630C">
      <w:pPr>
        <w:pStyle w:val="Heading1"/>
        <w:tabs>
          <w:tab w:val="left" w:pos="1134"/>
        </w:tabs>
      </w:pPr>
      <w:bookmarkStart w:id="211" w:name="_Toc502832922"/>
      <w:r>
        <w:lastRenderedPageBreak/>
        <w:t>B</w:t>
      </w:r>
      <w:r w:rsidR="00190673">
        <w:t>2</w:t>
      </w:r>
      <w:r w:rsidR="00D0630C">
        <w:tab/>
      </w:r>
      <w:r w:rsidR="007A49EE">
        <w:t xml:space="preserve">Linked evidence </w:t>
      </w:r>
      <w:r>
        <w:t>approach</w:t>
      </w:r>
      <w:bookmarkEnd w:id="211"/>
    </w:p>
    <w:p w14:paraId="0EB746F3" w14:textId="35550EAC" w:rsidR="00624302" w:rsidRDefault="009A17E2" w:rsidP="00D366DE">
      <w:pPr>
        <w:pStyle w:val="Heading2"/>
        <w:numPr>
          <w:ilvl w:val="1"/>
          <w:numId w:val="15"/>
        </w:numPr>
      </w:pPr>
      <w:bookmarkStart w:id="212" w:name="_Toc502832923"/>
      <w:r>
        <w:t>Basis for linked evidence</w:t>
      </w:r>
      <w:bookmarkEnd w:id="212"/>
    </w:p>
    <w:p w14:paraId="0B72A426" w14:textId="078A1041" w:rsidR="00BD1867" w:rsidRDefault="004F10E7" w:rsidP="00BD1867">
      <w:r>
        <w:t>N</w:t>
      </w:r>
      <w:r w:rsidR="00BD1867">
        <w:t>o direct evidence</w:t>
      </w:r>
      <w:r>
        <w:t xml:space="preserve"> was</w:t>
      </w:r>
      <w:r w:rsidR="00BD1867">
        <w:t xml:space="preserve"> identified; thus, a linked evidence approach was undertaken.</w:t>
      </w:r>
    </w:p>
    <w:p w14:paraId="012922F4" w14:textId="77777777" w:rsidR="009A17E2" w:rsidRDefault="00BB6CA8" w:rsidP="00D366DE">
      <w:pPr>
        <w:pStyle w:val="Heading2"/>
        <w:numPr>
          <w:ilvl w:val="1"/>
          <w:numId w:val="15"/>
        </w:numPr>
      </w:pPr>
      <w:bookmarkStart w:id="213" w:name="_Toc502832924"/>
      <w:r>
        <w:t>Steps for linked analysis</w:t>
      </w:r>
      <w:bookmarkEnd w:id="213"/>
    </w:p>
    <w:p w14:paraId="6137685F" w14:textId="57BE2006" w:rsidR="007518CF" w:rsidRDefault="007833D7" w:rsidP="00BD1867">
      <w:r>
        <w:t xml:space="preserve">To construct a linked evidence analysis, </w:t>
      </w:r>
      <w:r w:rsidR="00EC4F99">
        <w:t>the different evidentiary requirements considered are:</w:t>
      </w:r>
    </w:p>
    <w:p w14:paraId="72520C9C" w14:textId="73600178" w:rsidR="007833D7" w:rsidRPr="004F10E7" w:rsidRDefault="001A6B44" w:rsidP="00D366DE">
      <w:pPr>
        <w:pStyle w:val="ListParagraph"/>
        <w:numPr>
          <w:ilvl w:val="0"/>
          <w:numId w:val="11"/>
        </w:numPr>
        <w:rPr>
          <w:b/>
          <w:bCs/>
        </w:rPr>
      </w:pPr>
      <w:r>
        <w:t>the prognostic</w:t>
      </w:r>
      <w:r w:rsidR="007833D7">
        <w:t xml:space="preserve"> pe</w:t>
      </w:r>
      <w:r w:rsidR="00EC4F99">
        <w:t>rformance and clinical validity, where relevant,</w:t>
      </w:r>
      <w:r w:rsidR="00121CF0">
        <w:t xml:space="preserve"> of the investigative medical service</w:t>
      </w:r>
      <w:r w:rsidR="004D61AC">
        <w:t xml:space="preserve"> (Sections B3 and B4)</w:t>
      </w:r>
    </w:p>
    <w:p w14:paraId="3858A82D" w14:textId="6BB0490F" w:rsidR="004F10E7" w:rsidRDefault="004F10E7" w:rsidP="00D366DE">
      <w:pPr>
        <w:pStyle w:val="ListParagraph"/>
        <w:numPr>
          <w:ilvl w:val="0"/>
          <w:numId w:val="11"/>
        </w:numPr>
        <w:jc w:val="both"/>
      </w:pPr>
      <w:r>
        <w:t>the clinical utility of th</w:t>
      </w:r>
      <w:r w:rsidR="00EC4F99">
        <w:t xml:space="preserve">e investigative medical service, i.e. the </w:t>
      </w:r>
      <w:r>
        <w:t xml:space="preserve">impact of test results on patient management, the contribution and clinical importance of false negatives versus false positives, and the direct impact of each therapeutic model service option on health outcomes </w:t>
      </w:r>
      <w:r w:rsidR="00EC4F99">
        <w:t>(Section B5)</w:t>
      </w:r>
    </w:p>
    <w:p w14:paraId="4D8973D9" w14:textId="3FC4706F" w:rsidR="007518CF" w:rsidRDefault="004F10E7" w:rsidP="00D366DE">
      <w:pPr>
        <w:pStyle w:val="ListParagraph"/>
        <w:numPr>
          <w:ilvl w:val="0"/>
          <w:numId w:val="11"/>
        </w:numPr>
        <w:jc w:val="both"/>
      </w:pPr>
      <w:r>
        <w:t>the relative safety of performing the investigative service, both the immediate safety issues of direct</w:t>
      </w:r>
      <w:r w:rsidR="00EC4F99">
        <w:t>ly performing the test and the flow on</w:t>
      </w:r>
      <w:r>
        <w:t xml:space="preserve"> safety issues that arise as a result of conducting the investigative service (section B7).</w:t>
      </w:r>
    </w:p>
    <w:p w14:paraId="619E242B" w14:textId="77777777" w:rsidR="007518CF" w:rsidRDefault="004F10E7" w:rsidP="004F10E7">
      <w:pPr>
        <w:jc w:val="both"/>
      </w:pPr>
      <w:r>
        <w:t>Conclusions linking the different steps of the linked evidence approach can be found in section B8.</w:t>
      </w:r>
    </w:p>
    <w:p w14:paraId="30C3F050" w14:textId="1D032EF7" w:rsidR="007A49EE" w:rsidRDefault="00A12062" w:rsidP="00190673">
      <w:pPr>
        <w:pStyle w:val="Heading1"/>
        <w:ind w:left="1134" w:hanging="1134"/>
      </w:pPr>
      <w:bookmarkStart w:id="214" w:name="_Toc502832925"/>
      <w:r>
        <w:lastRenderedPageBreak/>
        <w:t>B</w:t>
      </w:r>
      <w:r w:rsidR="00190673">
        <w:t>3</w:t>
      </w:r>
      <w:r w:rsidR="00190673">
        <w:tab/>
      </w:r>
      <w:r w:rsidR="009978E1">
        <w:t>Analytical validity</w:t>
      </w:r>
      <w:bookmarkEnd w:id="214"/>
    </w:p>
    <w:p w14:paraId="159CCABD" w14:textId="0CDD23EA" w:rsidR="006343CE" w:rsidRPr="006343CE" w:rsidRDefault="006343CE" w:rsidP="000A3F2F">
      <w:pPr>
        <w:jc w:val="both"/>
      </w:pPr>
      <w:r w:rsidRPr="006343CE">
        <w:t>This section presents the evidence directly comparing AMH tests with one or more of the comparator tests, to determine the concordance and reliability of the tests</w:t>
      </w:r>
      <w:r w:rsidR="00EC4F99">
        <w:t xml:space="preserve">, i.e. </w:t>
      </w:r>
      <w:r w:rsidR="009978E1">
        <w:t>analytical validity</w:t>
      </w:r>
      <w:r w:rsidRPr="006343CE">
        <w:t>.</w:t>
      </w:r>
      <w:r w:rsidR="00C4079E">
        <w:t xml:space="preserve"> Studies investigating whether the tests predict a certain outcome in the future</w:t>
      </w:r>
      <w:r w:rsidR="00EC4F99">
        <w:t>, with the reference standard</w:t>
      </w:r>
      <w:r w:rsidR="009C068F">
        <w:t xml:space="preserve"> measured after a certain follow-u</w:t>
      </w:r>
      <w:r w:rsidR="00EC4F99">
        <w:t>p period,</w:t>
      </w:r>
      <w:r w:rsidR="00C4079E">
        <w:t xml:space="preserve"> are discussed in section B4.</w:t>
      </w:r>
      <w:r w:rsidR="00122E74">
        <w:t>1.5</w:t>
      </w:r>
      <w:r w:rsidR="00EC4F99">
        <w:t xml:space="preserve">. This is the </w:t>
      </w:r>
      <w:r w:rsidR="009C068F">
        <w:t>prognostic and predictive value of AMH</w:t>
      </w:r>
      <w:r w:rsidR="00122E74">
        <w:t xml:space="preserve"> testing</w:t>
      </w:r>
      <w:r w:rsidR="00C4079E">
        <w:t>.</w:t>
      </w:r>
      <w:r w:rsidR="009C068F">
        <w:t xml:space="preserve"> These outcomes included ovarian function, oocyte yield for cryopreservation, and pregnancy.</w:t>
      </w:r>
    </w:p>
    <w:p w14:paraId="3B1A7596" w14:textId="77777777" w:rsidR="006343CE" w:rsidRPr="006343CE" w:rsidRDefault="006343CE" w:rsidP="003F773B">
      <w:pPr>
        <w:pStyle w:val="Heading2"/>
        <w:numPr>
          <w:ilvl w:val="1"/>
          <w:numId w:val="57"/>
        </w:numPr>
      </w:pPr>
      <w:bookmarkStart w:id="215" w:name="_Toc502832926"/>
      <w:r w:rsidRPr="006343CE">
        <w:t>Reference standard</w:t>
      </w:r>
      <w:bookmarkEnd w:id="215"/>
    </w:p>
    <w:p w14:paraId="495F86B3" w14:textId="3FD1D7F9" w:rsidR="007518CF" w:rsidRDefault="006343CE" w:rsidP="006343CE">
      <w:pPr>
        <w:spacing w:after="0"/>
        <w:jc w:val="both"/>
      </w:pPr>
      <w:r w:rsidRPr="006343CE">
        <w:t xml:space="preserve">There is no true reference standard for measurement of ovarian reserve. The evidentiary standard </w:t>
      </w:r>
      <w:r w:rsidR="00AC58A0">
        <w:t>as per the PICO</w:t>
      </w:r>
      <w:r w:rsidRPr="006343CE">
        <w:t xml:space="preserve"> for determining ovarian reserve in post-pubertal women before or after treatment with gonadotoxic treatments is AFC via transvaginal ultrasound. However, the included literature often used a clinical reference standard for ovarian failure, defined as the absence of menses for at least one year.</w:t>
      </w:r>
      <w:r w:rsidR="008C4823">
        <w:t xml:space="preserve"> Studies using the clinical reference standard were also included.</w:t>
      </w:r>
    </w:p>
    <w:p w14:paraId="6FEE66B0" w14:textId="2F78D3BB" w:rsidR="006343CE" w:rsidRPr="006343CE" w:rsidRDefault="006343CE" w:rsidP="001A139E">
      <w:pPr>
        <w:pStyle w:val="Heading2"/>
        <w:numPr>
          <w:ilvl w:val="1"/>
          <w:numId w:val="57"/>
        </w:numPr>
      </w:pPr>
      <w:bookmarkStart w:id="216" w:name="_Toc502832927"/>
      <w:r w:rsidRPr="006343CE">
        <w:t>Literature sources and search strategies</w:t>
      </w:r>
      <w:bookmarkEnd w:id="216"/>
    </w:p>
    <w:p w14:paraId="27E668BF" w14:textId="77777777" w:rsidR="006343CE" w:rsidRPr="006343CE" w:rsidRDefault="006343CE" w:rsidP="006343CE">
      <w:pPr>
        <w:rPr>
          <w:color w:val="000000" w:themeColor="text1"/>
        </w:rPr>
      </w:pPr>
      <w:r w:rsidRPr="006343CE">
        <w:rPr>
          <w:color w:val="000000" w:themeColor="text1"/>
        </w:rPr>
        <w:t>See Section B.1 for details.</w:t>
      </w:r>
    </w:p>
    <w:p w14:paraId="4D4D41AD" w14:textId="14DF67A6" w:rsidR="006343CE" w:rsidRPr="006343CE" w:rsidRDefault="004446E6" w:rsidP="003F773B">
      <w:pPr>
        <w:pStyle w:val="Heading2"/>
        <w:numPr>
          <w:ilvl w:val="1"/>
          <w:numId w:val="57"/>
        </w:numPr>
      </w:pPr>
      <w:bookmarkStart w:id="217" w:name="_Toc502832928"/>
      <w:r>
        <w:t>Results of literature s</w:t>
      </w:r>
      <w:r w:rsidR="006343CE" w:rsidRPr="006343CE">
        <w:t>earch</w:t>
      </w:r>
      <w:bookmarkEnd w:id="217"/>
    </w:p>
    <w:p w14:paraId="52A31C07" w14:textId="0B3126CB" w:rsidR="007518CF" w:rsidRDefault="006343CE" w:rsidP="006343CE">
      <w:pPr>
        <w:jc w:val="both"/>
      </w:pPr>
      <w:r w:rsidRPr="006343CE">
        <w:t xml:space="preserve">Two studies were identified that provided sensitivity and specificity data for AMH tests, with </w:t>
      </w:r>
      <w:r w:rsidR="0076789D">
        <w:t>CRA</w:t>
      </w:r>
      <w:r w:rsidRPr="006343CE">
        <w:t xml:space="preserve"> as the clinical reference standard. Decanter et </w:t>
      </w:r>
      <w:r w:rsidRPr="00D26F2F">
        <w:t xml:space="preserve">al. </w:t>
      </w:r>
      <w:r w:rsidRPr="006343CE">
        <w:t>compared the ability of the AMH and AFC tests to diagnose resumption of menses in women who underwent chemotherapy for</w:t>
      </w:r>
      <w:r>
        <w:t xml:space="preserve"> </w:t>
      </w:r>
      <w:r w:rsidRPr="006343CE">
        <w:t>either breast cancer or haematological malignancies</w:t>
      </w:r>
      <w:r w:rsidR="00D26F2F">
        <w:t xml:space="preserve"> </w:t>
      </w:r>
      <w:r w:rsidR="00A109BA">
        <w:fldChar w:fldCharType="begin"/>
      </w:r>
      <w:r w:rsidR="00577E24">
        <w:instrText xml:space="preserve"> ADDIN EN.CITE &lt;EndNote&gt;&lt;Cite&gt;&lt;Author&gt;Decanter&lt;/Author&gt;&lt;Year&gt;2014&lt;/Year&gt;&lt;RecNum&gt;114&lt;/RecNum&gt;&lt;IDText&gt;483-7&lt;/IDText&gt;&lt;DisplayText&gt;(Decanter et al. 2014)&lt;/DisplayText&gt;&lt;record&gt;&lt;rec-number&gt;114&lt;/rec-number&gt;&lt;foreign-keys&gt;&lt;key app="EN" db-id="s2dftfxw1fvsr1efx58vfvxtvfwzxea0td02" timestamp="1511748069"&gt;114&lt;/key&gt;&lt;/foreign-keys&gt;&lt;ref-type name="Journal Article"&gt;17&lt;/ref-type&gt;&lt;contributors&gt;&lt;authors&gt;&lt;author&gt;Decanter, C.&lt;/author&gt;&lt;author&gt;Peigne, M.&lt;/author&gt;&lt;author&gt;Mailliez, A.&lt;/author&gt;&lt;author&gt;Morschhauser, F.&lt;/author&gt;&lt;author&gt;Dassonneville, A.&lt;/author&gt;&lt;author&gt;Dewailly, D.&lt;/author&gt;&lt;author&gt;Pigny, P.&lt;/author&gt;&lt;/authors&gt;&lt;/contributors&gt;&lt;titles&gt;&lt;title&gt;Toward a better follow-up of ovarian recovery in young women after chemotherapy with a hypersensitive antimullerian hormone assay&lt;/title&gt;&lt;secondary-title&gt;Fertil Steril&lt;/secondary-title&gt;&lt;/titles&gt;&lt;periodical&gt;&lt;full-title&gt;Fertil Steril&lt;/full-title&gt;&lt;/periodical&gt;&lt;pages&gt;483-7&lt;/pages&gt;&lt;volume&gt;102&lt;/volume&gt;&lt;number&gt;2&lt;/number&gt;&lt;keywords&gt;&lt;keyword&gt;Hematologic Neoplasms&lt;/keyword&gt;&lt;keyword&gt;Breast Neoplasms&lt;/keyword&gt;&lt;keyword&gt;Enzyme-Linked Immunosorbent Assay&lt;/keyword&gt;&lt;keyword&gt;Retrospective Studies&lt;/keyword&gt;&lt;keyword&gt;Humanism&lt;/keyword&gt;&lt;keyword&gt;Humanities&lt;/keyword&gt;&lt;keyword&gt;Humans&lt;/keyword&gt;&lt;/keywords&gt;&lt;dates&gt;&lt;year&gt;2014&lt;/year&gt;&lt;pub-dates&gt;&lt;date&gt;2014-1-1&lt;/date&gt;&lt;/pub-dates&gt;&lt;/dates&gt;&lt;isbn&gt;0015-0282&lt;/isbn&gt;&lt;accession-num&gt;rayyan-6673589&lt;/accession-num&gt;&lt;urls&gt;&lt;/urls&gt;&lt;custom1&gt;RAYYAN-INCLUSION: {&amp;quot;Sharon&amp;quot;=&amp;gt;true, &amp;quot;Joanne&amp;quot;=&amp;gt;true}&lt;/custom1&gt;&lt;language&gt;eng&lt;/language&gt;&lt;/record&gt;&lt;/Cite&gt;&lt;/EndNote&gt;</w:instrText>
      </w:r>
      <w:r w:rsidR="00A109BA">
        <w:fldChar w:fldCharType="separate"/>
      </w:r>
      <w:r w:rsidR="00A109BA">
        <w:rPr>
          <w:noProof/>
        </w:rPr>
        <w:t>(</w:t>
      </w:r>
      <w:hyperlink w:anchor="_ENREF_18" w:tooltip="Decanter, 2014 #114" w:history="1">
        <w:r w:rsidR="00835BA6">
          <w:rPr>
            <w:noProof/>
          </w:rPr>
          <w:t>Decanter et al. 2014</w:t>
        </w:r>
      </w:hyperlink>
      <w:r w:rsidR="00A109BA">
        <w:rPr>
          <w:noProof/>
        </w:rPr>
        <w:t>)</w:t>
      </w:r>
      <w:r w:rsidR="00A109BA">
        <w:fldChar w:fldCharType="end"/>
      </w:r>
      <w:r w:rsidRPr="006343CE">
        <w:t xml:space="preserve">. </w:t>
      </w:r>
      <w:r w:rsidR="00AC58A0">
        <w:t>Su and colleagues</w:t>
      </w:r>
      <w:r w:rsidRPr="00D26F2F">
        <w:t xml:space="preserve"> investigated</w:t>
      </w:r>
      <w:r w:rsidRPr="006343CE">
        <w:t xml:space="preserve"> the ability of AMH, AFC, FS</w:t>
      </w:r>
      <w:r>
        <w:t>H and inhibin B tests to diagnose</w:t>
      </w:r>
      <w:r w:rsidRPr="006343CE">
        <w:t xml:space="preserve"> CRA in post-chemotherapy breast cancer survivors</w:t>
      </w:r>
      <w:r w:rsidR="00D26F2F">
        <w:t xml:space="preserve"> </w:t>
      </w:r>
      <w:r w:rsidR="00A109BA">
        <w:fldChar w:fldCharType="begin"/>
      </w:r>
      <w:r w:rsidR="00577E24">
        <w:instrText xml:space="preserve"> ADDIN EN.CITE &lt;EndNote&gt;&lt;Cite&gt;&lt;Author&gt;Su&lt;/Author&gt;&lt;Year&gt;2011&lt;/Year&gt;&lt;RecNum&gt;335&lt;/RecNum&gt;&lt;IDText&gt;1857-9&lt;/IDText&gt;&lt;DisplayText&gt;(Su et al. 2011)&lt;/DisplayText&gt;&lt;record&gt;&lt;rec-number&gt;335&lt;/rec-number&gt;&lt;foreign-keys&gt;&lt;key app="EN" db-id="s2dftfxw1fvsr1efx58vfvxtvfwzxea0td02" timestamp="1511748097"&gt;335&lt;/key&gt;&lt;/foreign-keys&gt;&lt;ref-type name="Journal Article"&gt;17&lt;/ref-type&gt;&lt;contributors&gt;&lt;authors&gt;&lt;author&gt;Su, H. I.&lt;/author&gt;&lt;author&gt;Chung, K.&lt;/author&gt;&lt;author&gt;Sammel, M. D.&lt;/author&gt;&lt;author&gt;Gracia, C. R.&lt;/author&gt;&lt;author&gt;DeMichele, A.&lt;/author&gt;&lt;/authors&gt;&lt;/contributors&gt;&lt;titles&gt;&lt;title&gt;Antral follicle count provides additive information to hormone measures for determining ovarian function in breast cancer survivors&lt;/title&gt;&lt;secondary-title&gt;Fertil Steril&lt;/secondary-title&gt;&lt;/titles&gt;&lt;periodical&gt;&lt;full-title&gt;Fertil Steril&lt;/full-title&gt;&lt;/periodical&gt;&lt;pages&gt;1857-9&lt;/pages&gt;&lt;volume&gt;95&lt;/volume&gt;&lt;number&gt;5&lt;/number&gt;&lt;keywords&gt;&lt;keyword&gt;Survivors&lt;/keyword&gt;&lt;keyword&gt;Breast Neoplasms&lt;/keyword&gt;&lt;/keywords&gt;&lt;dates&gt;&lt;year&gt;2011&lt;/year&gt;&lt;pub-dates&gt;&lt;date&gt;2011-1-1&lt;/date&gt;&lt;/pub-dates&gt;&lt;/dates&gt;&lt;isbn&gt;0015-0282&lt;/isbn&gt;&lt;accession-num&gt;rayyan-6678839&lt;/accession-num&gt;&lt;urls&gt;&lt;related-urls&gt;&lt;url&gt;https://www.ncbi.nlm.nih.gov/pmc/articles/PMC3062716/pdf/nihms258233.pdf&lt;/url&gt;&lt;/related-urls&gt;&lt;/urls&gt;&lt;custom1&gt;RAYYAN-INCLUSION: {&amp;quot;Sharon&amp;quot;=&amp;gt;false, &amp;quot;Joanne&amp;quot;=&amp;gt;true}&lt;/custom1&gt;&lt;language&gt;eng&lt;/language&gt;&lt;/record&gt;&lt;/Cite&gt;&lt;/EndNote&gt;</w:instrText>
      </w:r>
      <w:r w:rsidR="00A109BA">
        <w:fldChar w:fldCharType="separate"/>
      </w:r>
      <w:r w:rsidR="00A109BA">
        <w:rPr>
          <w:noProof/>
        </w:rPr>
        <w:t>(</w:t>
      </w:r>
      <w:hyperlink w:anchor="_ENREF_65" w:tooltip="Su, 2011 #335" w:history="1">
        <w:r w:rsidR="00835BA6">
          <w:rPr>
            <w:noProof/>
          </w:rPr>
          <w:t>Su et al. 2011</w:t>
        </w:r>
      </w:hyperlink>
      <w:r w:rsidR="00A109BA">
        <w:rPr>
          <w:noProof/>
        </w:rPr>
        <w:t>)</w:t>
      </w:r>
      <w:r w:rsidR="00A109BA">
        <w:fldChar w:fldCharType="end"/>
      </w:r>
      <w:r w:rsidRPr="006343CE">
        <w:t xml:space="preserve">. </w:t>
      </w:r>
      <w:r w:rsidR="00AC58A0">
        <w:t xml:space="preserve">The </w:t>
      </w:r>
      <w:r w:rsidRPr="006343CE">
        <w:t>characteristics of the</w:t>
      </w:r>
      <w:r w:rsidR="00AC58A0">
        <w:t>se</w:t>
      </w:r>
      <w:r w:rsidRPr="006343CE">
        <w:t xml:space="preserve"> </w:t>
      </w:r>
      <w:r w:rsidR="008C4823" w:rsidRPr="006343CE">
        <w:t>t</w:t>
      </w:r>
      <w:r w:rsidR="008C4823">
        <w:t>wo</w:t>
      </w:r>
      <w:r w:rsidR="008C4823" w:rsidRPr="006343CE">
        <w:t xml:space="preserve"> </w:t>
      </w:r>
      <w:r w:rsidR="00A86490">
        <w:t>analytical validity</w:t>
      </w:r>
      <w:r w:rsidRPr="006343CE">
        <w:t xml:space="preserve"> studies </w:t>
      </w:r>
      <w:r w:rsidR="00AC58A0">
        <w:t>are summarised</w:t>
      </w:r>
      <w:r w:rsidRPr="00A86490">
        <w:t xml:space="preserve"> in </w:t>
      </w:r>
      <w:r w:rsidRPr="00A86490">
        <w:fldChar w:fldCharType="begin"/>
      </w:r>
      <w:r w:rsidRPr="00A86490">
        <w:instrText xml:space="preserve"> REF _Ref418589267 \h </w:instrText>
      </w:r>
      <w:r w:rsidR="00A86490">
        <w:instrText xml:space="preserve"> \* MERGEFORMAT </w:instrText>
      </w:r>
      <w:r w:rsidRPr="00A86490">
        <w:fldChar w:fldCharType="separate"/>
      </w:r>
      <w:r w:rsidR="00AC4BE5" w:rsidRPr="006343CE">
        <w:t xml:space="preserve">Table </w:t>
      </w:r>
      <w:r w:rsidR="00AC4BE5">
        <w:t>23</w:t>
      </w:r>
      <w:r w:rsidRPr="00A86490">
        <w:fldChar w:fldCharType="end"/>
      </w:r>
      <w:r w:rsidRPr="00A86490">
        <w:t>. A full profile</w:t>
      </w:r>
      <w:r w:rsidRPr="006343CE">
        <w:t xml:space="preserve"> of each included study is </w:t>
      </w:r>
      <w:r w:rsidR="00AC58A0">
        <w:t>also included in</w:t>
      </w:r>
      <w:r w:rsidRPr="006343CE">
        <w:t xml:space="preserve"> </w:t>
      </w:r>
      <w:r w:rsidR="00F319FB">
        <w:fldChar w:fldCharType="begin"/>
      </w:r>
      <w:r w:rsidR="00F319FB">
        <w:instrText xml:space="preserve"> REF _Ref364237249 \h </w:instrText>
      </w:r>
      <w:r w:rsidR="00F319FB">
        <w:fldChar w:fldCharType="separate"/>
      </w:r>
      <w:r w:rsidR="00AC4BE5" w:rsidRPr="00183E4D">
        <w:t xml:space="preserve">Appendix </w:t>
      </w:r>
      <w:r w:rsidR="00AC4BE5">
        <w:rPr>
          <w:noProof/>
        </w:rPr>
        <w:t>C</w:t>
      </w:r>
      <w:r w:rsidR="00F319FB">
        <w:fldChar w:fldCharType="end"/>
      </w:r>
      <w:r w:rsidRPr="006343CE">
        <w:t>.</w:t>
      </w:r>
    </w:p>
    <w:p w14:paraId="729110C1" w14:textId="41E03D79" w:rsidR="006343CE" w:rsidRPr="006343CE" w:rsidRDefault="006343CE" w:rsidP="00634539">
      <w:pPr>
        <w:pStyle w:val="TableHeading"/>
        <w:ind w:left="1134" w:hanging="1134"/>
      </w:pPr>
      <w:bookmarkStart w:id="218" w:name="_Ref418589267"/>
      <w:bookmarkStart w:id="219" w:name="_Ref418589262"/>
      <w:bookmarkStart w:id="220" w:name="_Toc432677283"/>
      <w:bookmarkStart w:id="221" w:name="_Toc502833041"/>
      <w:r w:rsidRPr="006343CE">
        <w:t xml:space="preserve">Table </w:t>
      </w:r>
      <w:r w:rsidR="00AC4BE5">
        <w:fldChar w:fldCharType="begin"/>
      </w:r>
      <w:r w:rsidR="00AC4BE5">
        <w:instrText xml:space="preserve"> SEQ Table \* ARABIC </w:instrText>
      </w:r>
      <w:r w:rsidR="00AC4BE5">
        <w:fldChar w:fldCharType="separate"/>
      </w:r>
      <w:r w:rsidR="00AC4BE5">
        <w:rPr>
          <w:noProof/>
        </w:rPr>
        <w:t>23</w:t>
      </w:r>
      <w:r w:rsidR="00AC4BE5">
        <w:rPr>
          <w:noProof/>
        </w:rPr>
        <w:fldChar w:fldCharType="end"/>
      </w:r>
      <w:bookmarkEnd w:id="218"/>
      <w:r w:rsidRPr="006343CE">
        <w:tab/>
        <w:t>Key features of the included evidence comparing intervention with comparator against reference standard</w:t>
      </w:r>
      <w:bookmarkEnd w:id="219"/>
      <w:bookmarkEnd w:id="220"/>
      <w:bookmarkEnd w:id="221"/>
    </w:p>
    <w:tbl>
      <w:tblPr>
        <w:tblStyle w:val="TableGrid1"/>
        <w:tblW w:w="5000" w:type="pct"/>
        <w:tblLayout w:type="fixed"/>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884"/>
        <w:gridCol w:w="872"/>
        <w:gridCol w:w="1207"/>
        <w:gridCol w:w="826"/>
        <w:gridCol w:w="2035"/>
        <w:gridCol w:w="1098"/>
        <w:gridCol w:w="1320"/>
      </w:tblGrid>
      <w:tr w:rsidR="006343CE" w:rsidRPr="006343CE" w14:paraId="7B57002C" w14:textId="77777777" w:rsidTr="005F1001">
        <w:trPr>
          <w:cnfStyle w:val="100000000000" w:firstRow="1" w:lastRow="0" w:firstColumn="0" w:lastColumn="0" w:oddVBand="0" w:evenVBand="0" w:oddHBand="0" w:evenHBand="0" w:firstRowFirstColumn="0" w:firstRowLastColumn="0" w:lastRowFirstColumn="0" w:lastRowLastColumn="0"/>
          <w:tblHeader/>
        </w:trPr>
        <w:tc>
          <w:tcPr>
            <w:tcW w:w="1019" w:type="pct"/>
          </w:tcPr>
          <w:p w14:paraId="423CB2F3" w14:textId="62E429E7" w:rsidR="006343CE" w:rsidRPr="001B2A30" w:rsidRDefault="007C7765" w:rsidP="001B2A30">
            <w:pPr>
              <w:pStyle w:val="Tabletext1"/>
              <w:rPr>
                <w:b/>
                <w:snapToGrid w:val="0"/>
                <w:lang w:eastAsia="en-US"/>
              </w:rPr>
            </w:pPr>
            <w:r w:rsidRPr="001B2A30">
              <w:rPr>
                <w:b/>
                <w:snapToGrid w:val="0"/>
                <w:lang w:eastAsia="en-US"/>
              </w:rPr>
              <w:t>Trial/study</w:t>
            </w:r>
          </w:p>
        </w:tc>
        <w:tc>
          <w:tcPr>
            <w:tcW w:w="472" w:type="pct"/>
          </w:tcPr>
          <w:p w14:paraId="2DA9F16A" w14:textId="77777777" w:rsidR="006343CE" w:rsidRPr="001B2A30" w:rsidRDefault="006343CE" w:rsidP="001B2A30">
            <w:pPr>
              <w:pStyle w:val="Tabletext1"/>
              <w:rPr>
                <w:b/>
                <w:snapToGrid w:val="0"/>
                <w:lang w:eastAsia="en-US"/>
              </w:rPr>
            </w:pPr>
            <w:r w:rsidRPr="001B2A30">
              <w:rPr>
                <w:b/>
                <w:snapToGrid w:val="0"/>
                <w:lang w:eastAsia="en-US"/>
              </w:rPr>
              <w:t>N</w:t>
            </w:r>
          </w:p>
        </w:tc>
        <w:tc>
          <w:tcPr>
            <w:tcW w:w="653" w:type="pct"/>
          </w:tcPr>
          <w:p w14:paraId="6B9F40E1" w14:textId="77777777" w:rsidR="006343CE" w:rsidRPr="001B2A30" w:rsidRDefault="006343CE" w:rsidP="001B2A30">
            <w:pPr>
              <w:pStyle w:val="Tabletext1"/>
              <w:rPr>
                <w:b/>
                <w:snapToGrid w:val="0"/>
                <w:lang w:eastAsia="en-US"/>
              </w:rPr>
            </w:pPr>
            <w:r w:rsidRPr="001B2A30">
              <w:rPr>
                <w:b/>
                <w:snapToGrid w:val="0"/>
                <w:lang w:eastAsia="en-US"/>
              </w:rPr>
              <w:t>Level of evidence</w:t>
            </w:r>
          </w:p>
        </w:tc>
        <w:tc>
          <w:tcPr>
            <w:tcW w:w="447" w:type="pct"/>
          </w:tcPr>
          <w:p w14:paraId="5788DB9E" w14:textId="77777777" w:rsidR="006343CE" w:rsidRPr="001B2A30" w:rsidRDefault="006343CE" w:rsidP="001B2A30">
            <w:pPr>
              <w:pStyle w:val="Tabletext1"/>
              <w:rPr>
                <w:b/>
                <w:snapToGrid w:val="0"/>
                <w:lang w:eastAsia="en-US"/>
              </w:rPr>
            </w:pPr>
            <w:r w:rsidRPr="001B2A30">
              <w:rPr>
                <w:b/>
                <w:snapToGrid w:val="0"/>
                <w:lang w:eastAsia="en-US"/>
              </w:rPr>
              <w:t>Risk of bias</w:t>
            </w:r>
          </w:p>
        </w:tc>
        <w:tc>
          <w:tcPr>
            <w:tcW w:w="1101" w:type="pct"/>
          </w:tcPr>
          <w:p w14:paraId="385E1B2F" w14:textId="77777777" w:rsidR="006343CE" w:rsidRPr="001B2A30" w:rsidRDefault="006343CE" w:rsidP="001B2A30">
            <w:pPr>
              <w:pStyle w:val="Tabletext1"/>
              <w:rPr>
                <w:b/>
                <w:snapToGrid w:val="0"/>
                <w:lang w:eastAsia="en-US"/>
              </w:rPr>
            </w:pPr>
            <w:r w:rsidRPr="001B2A30">
              <w:rPr>
                <w:b/>
                <w:snapToGrid w:val="0"/>
                <w:lang w:eastAsia="en-US"/>
              </w:rPr>
              <w:t>Patient population</w:t>
            </w:r>
          </w:p>
        </w:tc>
        <w:tc>
          <w:tcPr>
            <w:tcW w:w="594" w:type="pct"/>
          </w:tcPr>
          <w:p w14:paraId="0D45AB4D" w14:textId="19E4F09C" w:rsidR="006343CE" w:rsidRPr="001B2A30" w:rsidRDefault="007C7765" w:rsidP="001B2A30">
            <w:pPr>
              <w:pStyle w:val="Tabletext1"/>
              <w:rPr>
                <w:b/>
                <w:snapToGrid w:val="0"/>
                <w:lang w:eastAsia="en-US"/>
              </w:rPr>
            </w:pPr>
            <w:r w:rsidRPr="001B2A30">
              <w:rPr>
                <w:b/>
                <w:snapToGrid w:val="0"/>
                <w:lang w:eastAsia="en-US"/>
              </w:rPr>
              <w:t>Key outcome</w:t>
            </w:r>
            <w:r w:rsidR="006343CE" w:rsidRPr="001B2A30">
              <w:rPr>
                <w:b/>
                <w:snapToGrid w:val="0"/>
                <w:lang w:eastAsia="en-US"/>
              </w:rPr>
              <w:t>(s)</w:t>
            </w:r>
          </w:p>
        </w:tc>
        <w:tc>
          <w:tcPr>
            <w:tcW w:w="714" w:type="pct"/>
          </w:tcPr>
          <w:p w14:paraId="44C9588D" w14:textId="77777777" w:rsidR="006343CE" w:rsidRPr="001B2A30" w:rsidRDefault="006343CE" w:rsidP="001B2A30">
            <w:pPr>
              <w:pStyle w:val="Tabletext1"/>
              <w:rPr>
                <w:b/>
                <w:snapToGrid w:val="0"/>
                <w:lang w:eastAsia="en-US"/>
              </w:rPr>
            </w:pPr>
            <w:r w:rsidRPr="001B2A30">
              <w:rPr>
                <w:b/>
                <w:snapToGrid w:val="0"/>
                <w:lang w:eastAsia="en-US"/>
              </w:rPr>
              <w:t>Result used in meta-analysis</w:t>
            </w:r>
          </w:p>
        </w:tc>
      </w:tr>
      <w:tr w:rsidR="006343CE" w:rsidRPr="006343CE" w14:paraId="4DF627D1" w14:textId="77777777" w:rsidTr="005F1001">
        <w:tc>
          <w:tcPr>
            <w:tcW w:w="1019" w:type="pct"/>
          </w:tcPr>
          <w:p w14:paraId="23E4F7AF" w14:textId="77777777" w:rsidR="006343CE" w:rsidRPr="006343CE" w:rsidRDefault="006343CE" w:rsidP="001B2A30">
            <w:pPr>
              <w:pStyle w:val="Tabletext1"/>
              <w:rPr>
                <w:snapToGrid w:val="0"/>
                <w:lang w:eastAsia="en-US"/>
              </w:rPr>
            </w:pPr>
            <w:r w:rsidRPr="006343CE">
              <w:rPr>
                <w:snapToGrid w:val="0"/>
                <w:lang w:eastAsia="en-US"/>
              </w:rPr>
              <w:t>Decanter et al. (</w:t>
            </w:r>
            <w:r w:rsidRPr="00D26F2F">
              <w:rPr>
                <w:snapToGrid w:val="0"/>
                <w:lang w:eastAsia="en-US"/>
              </w:rPr>
              <w:t>2014)</w:t>
            </w:r>
          </w:p>
        </w:tc>
        <w:tc>
          <w:tcPr>
            <w:tcW w:w="472" w:type="pct"/>
          </w:tcPr>
          <w:p w14:paraId="21FECA38" w14:textId="77777777" w:rsidR="006343CE" w:rsidRPr="006343CE" w:rsidRDefault="006343CE" w:rsidP="001B2A30">
            <w:pPr>
              <w:pStyle w:val="Tabletext1"/>
              <w:rPr>
                <w:snapToGrid w:val="0"/>
                <w:lang w:eastAsia="en-US"/>
              </w:rPr>
            </w:pPr>
            <w:r w:rsidRPr="006343CE">
              <w:rPr>
                <w:snapToGrid w:val="0"/>
                <w:lang w:eastAsia="en-US"/>
              </w:rPr>
              <w:t>58</w:t>
            </w:r>
          </w:p>
        </w:tc>
        <w:tc>
          <w:tcPr>
            <w:tcW w:w="653" w:type="pct"/>
          </w:tcPr>
          <w:p w14:paraId="46A0916C" w14:textId="77777777" w:rsidR="006343CE" w:rsidRPr="006343CE" w:rsidRDefault="006343CE" w:rsidP="001B2A30">
            <w:pPr>
              <w:pStyle w:val="Tabletext1"/>
              <w:rPr>
                <w:snapToGrid w:val="0"/>
                <w:lang w:eastAsia="en-US"/>
              </w:rPr>
            </w:pPr>
            <w:r w:rsidRPr="006343CE">
              <w:rPr>
                <w:snapToGrid w:val="0"/>
                <w:lang w:eastAsia="en-US"/>
              </w:rPr>
              <w:t>III-2</w:t>
            </w:r>
          </w:p>
        </w:tc>
        <w:tc>
          <w:tcPr>
            <w:tcW w:w="447" w:type="pct"/>
          </w:tcPr>
          <w:p w14:paraId="18F7B63A" w14:textId="77777777" w:rsidR="006343CE" w:rsidRPr="006343CE" w:rsidRDefault="006343CE" w:rsidP="001B2A30">
            <w:pPr>
              <w:pStyle w:val="Tabletext1"/>
              <w:rPr>
                <w:snapToGrid w:val="0"/>
                <w:lang w:eastAsia="en-US"/>
              </w:rPr>
            </w:pPr>
            <w:r w:rsidRPr="006343CE">
              <w:rPr>
                <w:snapToGrid w:val="0"/>
                <w:lang w:eastAsia="en-US"/>
              </w:rPr>
              <w:t>Low</w:t>
            </w:r>
          </w:p>
        </w:tc>
        <w:tc>
          <w:tcPr>
            <w:tcW w:w="1101" w:type="pct"/>
          </w:tcPr>
          <w:p w14:paraId="72168850" w14:textId="77777777" w:rsidR="006343CE" w:rsidRPr="006343CE" w:rsidRDefault="006343CE" w:rsidP="001B2A30">
            <w:pPr>
              <w:pStyle w:val="Tabletext1"/>
              <w:rPr>
                <w:snapToGrid w:val="0"/>
                <w:lang w:eastAsia="en-US"/>
              </w:rPr>
            </w:pPr>
            <w:r w:rsidRPr="006343CE">
              <w:rPr>
                <w:snapToGrid w:val="0"/>
                <w:lang w:eastAsia="en-US"/>
              </w:rPr>
              <w:t>Women who had had chemotherapy</w:t>
            </w:r>
          </w:p>
        </w:tc>
        <w:tc>
          <w:tcPr>
            <w:tcW w:w="594" w:type="pct"/>
          </w:tcPr>
          <w:p w14:paraId="65785C92" w14:textId="77777777" w:rsidR="006343CE" w:rsidRPr="006343CE" w:rsidRDefault="006343CE" w:rsidP="001B2A30">
            <w:pPr>
              <w:pStyle w:val="Tabletext1"/>
              <w:rPr>
                <w:snapToGrid w:val="0"/>
                <w:lang w:eastAsia="en-US"/>
              </w:rPr>
            </w:pPr>
            <w:r w:rsidRPr="006343CE">
              <w:rPr>
                <w:snapToGrid w:val="0"/>
                <w:lang w:eastAsia="en-US"/>
              </w:rPr>
              <w:t>Sensitivity/</w:t>
            </w:r>
            <w:r w:rsidRPr="006343CE">
              <w:rPr>
                <w:snapToGrid w:val="0"/>
                <w:lang w:eastAsia="en-US"/>
              </w:rPr>
              <w:br/>
              <w:t>Specificity</w:t>
            </w:r>
          </w:p>
        </w:tc>
        <w:tc>
          <w:tcPr>
            <w:tcW w:w="714" w:type="pct"/>
          </w:tcPr>
          <w:p w14:paraId="55844273" w14:textId="77777777" w:rsidR="006343CE" w:rsidRPr="006343CE" w:rsidRDefault="006343CE" w:rsidP="001B2A30">
            <w:pPr>
              <w:pStyle w:val="Tabletext1"/>
              <w:rPr>
                <w:snapToGrid w:val="0"/>
                <w:lang w:eastAsia="en-US"/>
              </w:rPr>
            </w:pPr>
            <w:r w:rsidRPr="006343CE">
              <w:rPr>
                <w:snapToGrid w:val="0"/>
                <w:lang w:eastAsia="en-US"/>
              </w:rPr>
              <w:t>Not used</w:t>
            </w:r>
          </w:p>
        </w:tc>
      </w:tr>
      <w:tr w:rsidR="006343CE" w:rsidRPr="006343CE" w14:paraId="601BD77D" w14:textId="77777777" w:rsidTr="005F1001">
        <w:trPr>
          <w:trHeight w:val="848"/>
        </w:trPr>
        <w:tc>
          <w:tcPr>
            <w:tcW w:w="1019" w:type="pct"/>
          </w:tcPr>
          <w:p w14:paraId="7762684C" w14:textId="77777777" w:rsidR="006343CE" w:rsidRPr="006343CE" w:rsidRDefault="006343CE" w:rsidP="001B2A30">
            <w:pPr>
              <w:pStyle w:val="Tabletext1"/>
              <w:rPr>
                <w:snapToGrid w:val="0"/>
                <w:lang w:eastAsia="en-US"/>
              </w:rPr>
            </w:pPr>
            <w:r w:rsidRPr="006343CE">
              <w:rPr>
                <w:snapToGrid w:val="0"/>
                <w:lang w:eastAsia="en-US"/>
              </w:rPr>
              <w:t>Su et al</w:t>
            </w:r>
            <w:r w:rsidRPr="00D26F2F">
              <w:rPr>
                <w:snapToGrid w:val="0"/>
                <w:lang w:eastAsia="en-US"/>
              </w:rPr>
              <w:t>. (2011)</w:t>
            </w:r>
          </w:p>
        </w:tc>
        <w:tc>
          <w:tcPr>
            <w:tcW w:w="472" w:type="pct"/>
          </w:tcPr>
          <w:p w14:paraId="1548109E" w14:textId="77777777" w:rsidR="006343CE" w:rsidRPr="006343CE" w:rsidRDefault="006343CE" w:rsidP="001B2A30">
            <w:pPr>
              <w:pStyle w:val="Tabletext1"/>
              <w:rPr>
                <w:snapToGrid w:val="0"/>
                <w:lang w:eastAsia="en-US"/>
              </w:rPr>
            </w:pPr>
            <w:r w:rsidRPr="006343CE">
              <w:rPr>
                <w:snapToGrid w:val="0"/>
                <w:lang w:eastAsia="en-US"/>
              </w:rPr>
              <w:t>55</w:t>
            </w:r>
          </w:p>
        </w:tc>
        <w:tc>
          <w:tcPr>
            <w:tcW w:w="653" w:type="pct"/>
          </w:tcPr>
          <w:p w14:paraId="08B22B2F" w14:textId="77777777" w:rsidR="006343CE" w:rsidRPr="006343CE" w:rsidRDefault="006343CE" w:rsidP="001B2A30">
            <w:pPr>
              <w:pStyle w:val="Tabletext1"/>
              <w:rPr>
                <w:snapToGrid w:val="0"/>
                <w:lang w:eastAsia="en-US"/>
              </w:rPr>
            </w:pPr>
            <w:r w:rsidRPr="006343CE">
              <w:rPr>
                <w:snapToGrid w:val="0"/>
                <w:lang w:eastAsia="en-US"/>
              </w:rPr>
              <w:t>III-2</w:t>
            </w:r>
          </w:p>
        </w:tc>
        <w:tc>
          <w:tcPr>
            <w:tcW w:w="447" w:type="pct"/>
          </w:tcPr>
          <w:p w14:paraId="362F5CE0" w14:textId="77777777" w:rsidR="006343CE" w:rsidRPr="006343CE" w:rsidRDefault="006343CE" w:rsidP="001B2A30">
            <w:pPr>
              <w:pStyle w:val="Tabletext1"/>
              <w:rPr>
                <w:snapToGrid w:val="0"/>
                <w:lang w:eastAsia="en-US"/>
              </w:rPr>
            </w:pPr>
            <w:r w:rsidRPr="006343CE">
              <w:rPr>
                <w:snapToGrid w:val="0"/>
                <w:lang w:eastAsia="en-US"/>
              </w:rPr>
              <w:t>Low</w:t>
            </w:r>
          </w:p>
        </w:tc>
        <w:tc>
          <w:tcPr>
            <w:tcW w:w="1101" w:type="pct"/>
          </w:tcPr>
          <w:p w14:paraId="520ADD0F" w14:textId="77777777" w:rsidR="006343CE" w:rsidRPr="006343CE" w:rsidRDefault="006343CE" w:rsidP="001B2A30">
            <w:pPr>
              <w:pStyle w:val="Tabletext1"/>
              <w:rPr>
                <w:snapToGrid w:val="0"/>
                <w:lang w:eastAsia="en-US"/>
              </w:rPr>
            </w:pPr>
            <w:r w:rsidRPr="006343CE">
              <w:rPr>
                <w:snapToGrid w:val="0"/>
                <w:lang w:eastAsia="en-US"/>
              </w:rPr>
              <w:t>Female post-chemotherapy breast cancer survivors</w:t>
            </w:r>
          </w:p>
        </w:tc>
        <w:tc>
          <w:tcPr>
            <w:tcW w:w="594" w:type="pct"/>
          </w:tcPr>
          <w:p w14:paraId="05CF6092" w14:textId="77777777" w:rsidR="006343CE" w:rsidRPr="006343CE" w:rsidRDefault="006343CE" w:rsidP="001B2A30">
            <w:pPr>
              <w:pStyle w:val="Tabletext1"/>
              <w:rPr>
                <w:snapToGrid w:val="0"/>
                <w:lang w:eastAsia="en-US"/>
              </w:rPr>
            </w:pPr>
            <w:r w:rsidRPr="006343CE">
              <w:rPr>
                <w:snapToGrid w:val="0"/>
                <w:lang w:eastAsia="en-US"/>
              </w:rPr>
              <w:t>Sensitivity/</w:t>
            </w:r>
            <w:r w:rsidRPr="006343CE">
              <w:rPr>
                <w:snapToGrid w:val="0"/>
                <w:lang w:eastAsia="en-US"/>
              </w:rPr>
              <w:br/>
              <w:t>Specificity</w:t>
            </w:r>
          </w:p>
        </w:tc>
        <w:tc>
          <w:tcPr>
            <w:tcW w:w="714" w:type="pct"/>
          </w:tcPr>
          <w:p w14:paraId="7FB86587" w14:textId="77777777" w:rsidR="006343CE" w:rsidRPr="006343CE" w:rsidRDefault="006343CE" w:rsidP="001B2A30">
            <w:pPr>
              <w:pStyle w:val="Tabletext1"/>
              <w:rPr>
                <w:snapToGrid w:val="0"/>
                <w:lang w:eastAsia="en-US"/>
              </w:rPr>
            </w:pPr>
            <w:r w:rsidRPr="006343CE">
              <w:rPr>
                <w:snapToGrid w:val="0"/>
                <w:lang w:eastAsia="en-US"/>
              </w:rPr>
              <w:t>Not used</w:t>
            </w:r>
          </w:p>
        </w:tc>
      </w:tr>
    </w:tbl>
    <w:p w14:paraId="2726C289" w14:textId="77777777" w:rsidR="006343CE" w:rsidRPr="006343CE" w:rsidRDefault="006343CE" w:rsidP="006343CE">
      <w:pPr>
        <w:widowControl w:val="0"/>
        <w:spacing w:line="240" w:lineRule="auto"/>
        <w:contextualSpacing/>
        <w:jc w:val="both"/>
        <w:rPr>
          <w:rFonts w:ascii="Arial Narrow" w:hAnsi="Arial Narrow" w:cs="Arial"/>
          <w:sz w:val="18"/>
          <w:szCs w:val="20"/>
          <w:lang w:eastAsia="en-US"/>
        </w:rPr>
      </w:pPr>
      <w:r w:rsidRPr="006343CE">
        <w:rPr>
          <w:rFonts w:ascii="Arial Narrow" w:hAnsi="Arial Narrow" w:cs="Arial"/>
          <w:sz w:val="18"/>
          <w:szCs w:val="20"/>
          <w:lang w:eastAsia="en-US"/>
        </w:rPr>
        <w:t>III-2 = a comparison with non-blinded reference standard</w:t>
      </w:r>
    </w:p>
    <w:p w14:paraId="1501B95F" w14:textId="37A5BC00" w:rsidR="006343CE" w:rsidRPr="006343CE" w:rsidRDefault="006343CE" w:rsidP="00AE66C3">
      <w:pPr>
        <w:jc w:val="both"/>
      </w:pPr>
      <w:r w:rsidRPr="006343CE">
        <w:lastRenderedPageBreak/>
        <w:t xml:space="preserve">Myoshi et al </w:t>
      </w:r>
      <w:r w:rsidR="00A109BA">
        <w:fldChar w:fldCharType="begin"/>
      </w:r>
      <w:r w:rsidR="00577E24">
        <w:instrText xml:space="preserve"> ADDIN EN.CITE &lt;EndNote&gt;&lt;Cite ExcludeAuth="1"&gt;&lt;Author&gt;Miyoshi&lt;/Author&gt;&lt;Year&gt;2013&lt;/Year&gt;&lt;RecNum&gt;251&lt;/RecNum&gt;&lt;IDText&gt;17-21&lt;/IDText&gt;&lt;DisplayText&gt;(2013)&lt;/DisplayText&gt;&lt;record&gt;&lt;rec-number&gt;251&lt;/rec-number&gt;&lt;foreign-keys&gt;&lt;key app="EN" db-id="s2dftfxw1fvsr1efx58vfvxtvfwzxea0td02" timestamp="1511748087"&gt;251&lt;/key&gt;&lt;/foreign-keys&gt;&lt;ref-type name="Journal Article"&gt;17&lt;/ref-type&gt;&lt;contributors&gt;&lt;authors&gt;&lt;author&gt;Miyoshi, Y.&lt;/author&gt;&lt;author&gt;Ohta, H.&lt;/author&gt;&lt;author&gt;Namba, N.&lt;/author&gt;&lt;author&gt;Tachibana, M.&lt;/author&gt;&lt;author&gt;Miyamura, T.&lt;/author&gt;&lt;author&gt;Miyashita, E.&lt;/author&gt;&lt;author&gt;Hashii, Y.&lt;/author&gt;&lt;author&gt;Oue, T.&lt;/author&gt;&lt;author&gt;Isobe, A.&lt;/author&gt;&lt;author&gt;Tsutsui, T.&lt;/author&gt;&lt;author&gt;Kimura, T.&lt;/author&gt;&lt;author&gt;Ozono, K.&lt;/author&gt;&lt;/authors&gt;&lt;/contributors&gt;&lt;titles&gt;&lt;title&gt;Low serum concentrations of anti-müllerian hormone are common in 53 female childhood cancer survivors&lt;/title&gt;&lt;secondary-title&gt;Hormone Research in Paediatrics&lt;/secondary-title&gt;&lt;/titles&gt;&lt;periodical&gt;&lt;full-title&gt;Hormone Research in Paediatrics&lt;/full-title&gt;&lt;/periodical&gt;&lt;pages&gt;17-21&lt;/pages&gt;&lt;volume&gt;79&lt;/volume&gt;&lt;number&gt;1&lt;/number&gt;&lt;keywords&gt;&lt;keyword&gt;Follicle Stimulating Hormone&lt;/keyword&gt;&lt;keyword&gt;Cross-Sectional Studies&lt;/keyword&gt;&lt;keyword&gt;Gonads&lt;/keyword&gt;&lt;/keywords&gt;&lt;dates&gt;&lt;year&gt;2013&lt;/year&gt;&lt;pub-dates&gt;&lt;date&gt;2013-1-1&lt;/date&gt;&lt;/pub-dates&gt;&lt;/dates&gt;&lt;isbn&gt;1663-2818&lt;/isbn&gt;&lt;accession-num&gt;rayyan-6676735&lt;/accession-num&gt;&lt;urls&gt;&lt;related-urls&gt;&lt;url&gt;http://www.embase.com/search/results?subaction=viewrecord&amp;amp;from=export&amp;amp;id=L52382713 http://dx.doi.org/10.1159/000346139&lt;/url&gt;&lt;/related-urls&gt;&lt;/urls&gt;&lt;custom1&gt;RAYYAN-INCLUSION: {&amp;quot;Sharon&amp;quot;=&amp;gt;true, &amp;quot;Joanne&amp;quot;=&amp;gt;true}&lt;/custom1&gt;&lt;/record&gt;&lt;/Cite&gt;&lt;/EndNote&gt;</w:instrText>
      </w:r>
      <w:r w:rsidR="00A109BA">
        <w:fldChar w:fldCharType="separate"/>
      </w:r>
      <w:r w:rsidR="00A109BA">
        <w:rPr>
          <w:noProof/>
        </w:rPr>
        <w:t>(</w:t>
      </w:r>
      <w:hyperlink w:anchor="_ENREF_43" w:tooltip="Miyoshi, 2013 #251" w:history="1">
        <w:r w:rsidR="00835BA6">
          <w:rPr>
            <w:noProof/>
          </w:rPr>
          <w:t>2013</w:t>
        </w:r>
      </w:hyperlink>
      <w:r w:rsidR="00A109BA">
        <w:rPr>
          <w:noProof/>
        </w:rPr>
        <w:t>)</w:t>
      </w:r>
      <w:r w:rsidR="00A109BA">
        <w:fldChar w:fldCharType="end"/>
      </w:r>
      <w:r w:rsidRPr="00D26F2F">
        <w:t xml:space="preserve"> compared</w:t>
      </w:r>
      <w:r w:rsidRPr="006343CE">
        <w:t xml:space="preserve"> the ability of the AMH test to predict high FSH levels in women who had survived childhood cancer. This was the only study to provide the concordance of two tests to identify a clinically relevant outcome. Eleven studies reported on the correlation between AMH levels and the AFC or other hormones (</w:t>
      </w:r>
      <w:r w:rsidRPr="006343CE">
        <w:fldChar w:fldCharType="begin"/>
      </w:r>
      <w:r w:rsidRPr="006343CE">
        <w:instrText xml:space="preserve"> REF _Ref493596403 \h </w:instrText>
      </w:r>
      <w:r w:rsidR="00801B0E">
        <w:instrText xml:space="preserve"> \* MERGEFORMAT </w:instrText>
      </w:r>
      <w:r w:rsidRPr="006343CE">
        <w:fldChar w:fldCharType="separate"/>
      </w:r>
      <w:r w:rsidR="00AC4BE5" w:rsidRPr="006343CE">
        <w:t xml:space="preserve">Table </w:t>
      </w:r>
      <w:r w:rsidR="00AC4BE5">
        <w:t>24</w:t>
      </w:r>
      <w:r w:rsidRPr="006343CE">
        <w:fldChar w:fldCharType="end"/>
      </w:r>
      <w:r w:rsidRPr="006343CE">
        <w:t>).</w:t>
      </w:r>
    </w:p>
    <w:p w14:paraId="7E311C71" w14:textId="1FEA02A3" w:rsidR="006343CE" w:rsidRPr="006343CE" w:rsidRDefault="006343CE" w:rsidP="00801B0E">
      <w:r w:rsidRPr="006343CE">
        <w:t>Additionally, two studies reported on the correlation between different AMH tests (</w:t>
      </w:r>
      <w:r w:rsidRPr="006343CE">
        <w:fldChar w:fldCharType="begin"/>
      </w:r>
      <w:r w:rsidRPr="006343CE">
        <w:instrText xml:space="preserve"> REF _Ref493596403 \h </w:instrText>
      </w:r>
      <w:r w:rsidR="00801B0E">
        <w:instrText xml:space="preserve"> \* MERGEFORMAT </w:instrText>
      </w:r>
      <w:r w:rsidRPr="006343CE">
        <w:fldChar w:fldCharType="separate"/>
      </w:r>
      <w:r w:rsidR="00AC4BE5" w:rsidRPr="006343CE">
        <w:t xml:space="preserve">Table </w:t>
      </w:r>
      <w:r w:rsidR="00AC4BE5">
        <w:t>24</w:t>
      </w:r>
      <w:r w:rsidRPr="006343CE">
        <w:fldChar w:fldCharType="end"/>
      </w:r>
      <w:r w:rsidRPr="006343CE">
        <w:t>).</w:t>
      </w:r>
    </w:p>
    <w:p w14:paraId="3D1D1E53" w14:textId="77777777" w:rsidR="006343CE" w:rsidRPr="006343CE" w:rsidRDefault="006343CE" w:rsidP="00634539">
      <w:pPr>
        <w:pStyle w:val="TableHeading"/>
      </w:pPr>
      <w:bookmarkStart w:id="222" w:name="_Ref493596403"/>
      <w:bookmarkStart w:id="223" w:name="_Toc502833042"/>
      <w:r w:rsidRPr="006343CE">
        <w:t xml:space="preserve">Table </w:t>
      </w:r>
      <w:r w:rsidR="00AC4BE5">
        <w:fldChar w:fldCharType="begin"/>
      </w:r>
      <w:r w:rsidR="00AC4BE5">
        <w:instrText xml:space="preserve"> SEQ Table \* ARABIC </w:instrText>
      </w:r>
      <w:r w:rsidR="00AC4BE5">
        <w:fldChar w:fldCharType="separate"/>
      </w:r>
      <w:r w:rsidR="00AC4BE5">
        <w:rPr>
          <w:noProof/>
        </w:rPr>
        <w:t>24</w:t>
      </w:r>
      <w:r w:rsidR="00AC4BE5">
        <w:rPr>
          <w:noProof/>
        </w:rPr>
        <w:fldChar w:fldCharType="end"/>
      </w:r>
      <w:bookmarkEnd w:id="222"/>
      <w:r w:rsidRPr="006343CE">
        <w:tab/>
        <w:t>Studies reporting on the correlation between the AMH test and other tests</w:t>
      </w:r>
      <w:bookmarkEnd w:id="223"/>
    </w:p>
    <w:tbl>
      <w:tblPr>
        <w:tblStyle w:val="TableGrid31"/>
        <w:tblW w:w="9067" w:type="dxa"/>
        <w:tblLook w:val="04A0" w:firstRow="1" w:lastRow="0" w:firstColumn="1" w:lastColumn="0" w:noHBand="0" w:noVBand="1"/>
        <w:tblCaption w:val="Studies reporting on the correlation between the AMH test and other tests"/>
        <w:tblDescription w:val="Studies reporting on the correlation between the AMH test and other tests"/>
      </w:tblPr>
      <w:tblGrid>
        <w:gridCol w:w="3114"/>
        <w:gridCol w:w="5953"/>
      </w:tblGrid>
      <w:tr w:rsidR="006343CE" w:rsidRPr="008A26FB" w14:paraId="4ED5642F" w14:textId="77777777" w:rsidTr="00C22CC2">
        <w:trPr>
          <w:tblHeader/>
        </w:trPr>
        <w:tc>
          <w:tcPr>
            <w:tcW w:w="3114" w:type="dxa"/>
            <w:tcBorders>
              <w:bottom w:val="single" w:sz="4" w:space="0" w:color="auto"/>
            </w:tcBorders>
          </w:tcPr>
          <w:p w14:paraId="212138FC" w14:textId="77777777" w:rsidR="006343CE" w:rsidRPr="001B2A30" w:rsidRDefault="006343CE" w:rsidP="001B2A30">
            <w:pPr>
              <w:pStyle w:val="Tabletext1"/>
              <w:rPr>
                <w:b/>
                <w:lang w:eastAsia="en-US"/>
              </w:rPr>
            </w:pPr>
            <w:r w:rsidRPr="001B2A30">
              <w:rPr>
                <w:b/>
                <w:lang w:eastAsia="en-US"/>
              </w:rPr>
              <w:t>Comparison</w:t>
            </w:r>
          </w:p>
        </w:tc>
        <w:tc>
          <w:tcPr>
            <w:tcW w:w="5953" w:type="dxa"/>
            <w:tcBorders>
              <w:bottom w:val="single" w:sz="4" w:space="0" w:color="auto"/>
            </w:tcBorders>
          </w:tcPr>
          <w:p w14:paraId="1293E56E" w14:textId="77777777" w:rsidR="006343CE" w:rsidRPr="001B2A30" w:rsidRDefault="006343CE" w:rsidP="001B2A30">
            <w:pPr>
              <w:pStyle w:val="Tabletext1"/>
              <w:rPr>
                <w:b/>
                <w:lang w:eastAsia="en-US"/>
              </w:rPr>
            </w:pPr>
            <w:r w:rsidRPr="001B2A30">
              <w:rPr>
                <w:b/>
                <w:lang w:eastAsia="en-US"/>
              </w:rPr>
              <w:t>Studies reporting correlation</w:t>
            </w:r>
          </w:p>
        </w:tc>
      </w:tr>
      <w:tr w:rsidR="006343CE" w:rsidRPr="008A26FB" w14:paraId="74E747FF" w14:textId="77777777" w:rsidTr="006343CE">
        <w:tc>
          <w:tcPr>
            <w:tcW w:w="3114" w:type="dxa"/>
          </w:tcPr>
          <w:p w14:paraId="6B7133E4" w14:textId="77777777" w:rsidR="006343CE" w:rsidRPr="008A26FB" w:rsidRDefault="006343CE" w:rsidP="001B2A30">
            <w:pPr>
              <w:pStyle w:val="Tabletext1"/>
              <w:rPr>
                <w:lang w:eastAsia="en-US"/>
              </w:rPr>
            </w:pPr>
            <w:r w:rsidRPr="008A26FB">
              <w:rPr>
                <w:lang w:eastAsia="en-US"/>
              </w:rPr>
              <w:t>Two different AMH tests</w:t>
            </w:r>
          </w:p>
        </w:tc>
        <w:tc>
          <w:tcPr>
            <w:tcW w:w="5953" w:type="dxa"/>
          </w:tcPr>
          <w:p w14:paraId="70E0A358" w14:textId="12B481BC" w:rsidR="006343CE" w:rsidRPr="008A26FB" w:rsidRDefault="006343CE" w:rsidP="001B2A30">
            <w:pPr>
              <w:pStyle w:val="Tabletext1"/>
              <w:rPr>
                <w:lang w:eastAsia="en-US"/>
              </w:rPr>
            </w:pPr>
            <w:r w:rsidRPr="008A26FB">
              <w:rPr>
                <w:lang w:eastAsia="en-US"/>
              </w:rPr>
              <w:t xml:space="preserve">de </w:t>
            </w:r>
            <w:r w:rsidR="0026261C" w:rsidRPr="008A26FB">
              <w:rPr>
                <w:lang w:eastAsia="en-US"/>
              </w:rPr>
              <w:t>S</w:t>
            </w:r>
            <w:r w:rsidRPr="008A26FB">
              <w:rPr>
                <w:lang w:eastAsia="en-US"/>
              </w:rPr>
              <w:t>ouza et al. (2015), Su et al. (2014)</w:t>
            </w:r>
          </w:p>
        </w:tc>
      </w:tr>
      <w:tr w:rsidR="006343CE" w:rsidRPr="008A26FB" w14:paraId="12D794E0" w14:textId="77777777" w:rsidTr="006343CE">
        <w:tc>
          <w:tcPr>
            <w:tcW w:w="3114" w:type="dxa"/>
          </w:tcPr>
          <w:p w14:paraId="67C20A87" w14:textId="77777777" w:rsidR="006343CE" w:rsidRPr="008A26FB" w:rsidRDefault="006343CE" w:rsidP="001B2A30">
            <w:pPr>
              <w:pStyle w:val="Tabletext1"/>
              <w:rPr>
                <w:lang w:eastAsia="en-US"/>
              </w:rPr>
            </w:pPr>
            <w:r w:rsidRPr="008A26FB">
              <w:rPr>
                <w:lang w:eastAsia="en-US"/>
              </w:rPr>
              <w:t>AMH vs AFC</w:t>
            </w:r>
          </w:p>
        </w:tc>
        <w:tc>
          <w:tcPr>
            <w:tcW w:w="5953" w:type="dxa"/>
          </w:tcPr>
          <w:p w14:paraId="1A1AD7DA" w14:textId="77777777" w:rsidR="006343CE" w:rsidRPr="008A26FB" w:rsidRDefault="006343CE" w:rsidP="001B2A30">
            <w:pPr>
              <w:pStyle w:val="Tabletext1"/>
              <w:rPr>
                <w:lang w:eastAsia="en-US"/>
              </w:rPr>
            </w:pPr>
            <w:r w:rsidRPr="008A26FB">
              <w:rPr>
                <w:lang w:eastAsia="en-US"/>
              </w:rPr>
              <w:t>Biacchiardi et al. (2011), Lee et al. (2011), Nielsen et al. (2013), Paradisi et al. (2016), Partridge et al. (2010)</w:t>
            </w:r>
          </w:p>
        </w:tc>
      </w:tr>
      <w:tr w:rsidR="006343CE" w:rsidRPr="008A26FB" w14:paraId="116AB591" w14:textId="77777777" w:rsidTr="006343CE">
        <w:tc>
          <w:tcPr>
            <w:tcW w:w="3114" w:type="dxa"/>
          </w:tcPr>
          <w:p w14:paraId="7376FE35" w14:textId="77777777" w:rsidR="006343CE" w:rsidRPr="008A26FB" w:rsidRDefault="006343CE" w:rsidP="001B2A30">
            <w:pPr>
              <w:pStyle w:val="Tabletext1"/>
              <w:rPr>
                <w:lang w:eastAsia="en-US"/>
              </w:rPr>
            </w:pPr>
            <w:r w:rsidRPr="008A26FB">
              <w:rPr>
                <w:lang w:eastAsia="en-US"/>
              </w:rPr>
              <w:t>AMH vs density of primordial follicles</w:t>
            </w:r>
          </w:p>
        </w:tc>
        <w:tc>
          <w:tcPr>
            <w:tcW w:w="5953" w:type="dxa"/>
          </w:tcPr>
          <w:p w14:paraId="3703373B" w14:textId="77777777" w:rsidR="006343CE" w:rsidRPr="008A26FB" w:rsidRDefault="006343CE" w:rsidP="001B2A30">
            <w:pPr>
              <w:pStyle w:val="Tabletext1"/>
              <w:rPr>
                <w:lang w:eastAsia="en-US"/>
              </w:rPr>
            </w:pPr>
            <w:r w:rsidRPr="008A26FB">
              <w:rPr>
                <w:lang w:eastAsia="en-US"/>
              </w:rPr>
              <w:t>Fabbri et al. (2014)</w:t>
            </w:r>
          </w:p>
        </w:tc>
      </w:tr>
      <w:tr w:rsidR="006343CE" w:rsidRPr="008A26FB" w14:paraId="6282221C" w14:textId="77777777" w:rsidTr="006343CE">
        <w:tc>
          <w:tcPr>
            <w:tcW w:w="3114" w:type="dxa"/>
          </w:tcPr>
          <w:p w14:paraId="45C43B11" w14:textId="77777777" w:rsidR="006343CE" w:rsidRPr="008A26FB" w:rsidRDefault="006343CE" w:rsidP="001B2A30">
            <w:pPr>
              <w:pStyle w:val="Tabletext1"/>
              <w:rPr>
                <w:lang w:eastAsia="en-US"/>
              </w:rPr>
            </w:pPr>
            <w:r w:rsidRPr="008A26FB">
              <w:rPr>
                <w:lang w:eastAsia="en-US"/>
              </w:rPr>
              <w:t>AMH vs FSH</w:t>
            </w:r>
          </w:p>
        </w:tc>
        <w:tc>
          <w:tcPr>
            <w:tcW w:w="5953" w:type="dxa"/>
          </w:tcPr>
          <w:p w14:paraId="141AC848" w14:textId="77777777" w:rsidR="006343CE" w:rsidRPr="008A26FB" w:rsidRDefault="006343CE" w:rsidP="001B2A30">
            <w:pPr>
              <w:pStyle w:val="Tabletext1"/>
              <w:rPr>
                <w:lang w:eastAsia="en-US"/>
              </w:rPr>
            </w:pPr>
            <w:r w:rsidRPr="008A26FB">
              <w:rPr>
                <w:lang w:eastAsia="en-US"/>
              </w:rPr>
              <w:t>Decanter et al. (2014), Fabbri et al. (2014), Kim et al. (2016), Lee et al. (2011), Lutchman Singh et al. (2007), Paradisi et al. (2016), van Beek et al. (2007)</w:t>
            </w:r>
          </w:p>
        </w:tc>
      </w:tr>
      <w:tr w:rsidR="006343CE" w:rsidRPr="008A26FB" w14:paraId="71A1CE3B" w14:textId="77777777" w:rsidTr="006343CE">
        <w:tc>
          <w:tcPr>
            <w:tcW w:w="3114" w:type="dxa"/>
          </w:tcPr>
          <w:p w14:paraId="35636F9A" w14:textId="77601476" w:rsidR="006343CE" w:rsidRPr="008A26FB" w:rsidRDefault="009F0C44" w:rsidP="001B2A30">
            <w:pPr>
              <w:pStyle w:val="Tabletext1"/>
              <w:rPr>
                <w:lang w:eastAsia="en-US"/>
              </w:rPr>
            </w:pPr>
            <w:r>
              <w:rPr>
                <w:lang w:eastAsia="en-US"/>
              </w:rPr>
              <w:t>AMH vs i</w:t>
            </w:r>
            <w:r w:rsidR="006343CE" w:rsidRPr="008A26FB">
              <w:rPr>
                <w:lang w:eastAsia="en-US"/>
              </w:rPr>
              <w:t>nhibin B</w:t>
            </w:r>
          </w:p>
        </w:tc>
        <w:tc>
          <w:tcPr>
            <w:tcW w:w="5953" w:type="dxa"/>
          </w:tcPr>
          <w:p w14:paraId="42BD4235" w14:textId="77777777" w:rsidR="006343CE" w:rsidRPr="008A26FB" w:rsidRDefault="006343CE" w:rsidP="001B2A30">
            <w:pPr>
              <w:pStyle w:val="Tabletext1"/>
              <w:rPr>
                <w:lang w:eastAsia="en-US"/>
              </w:rPr>
            </w:pPr>
            <w:r w:rsidRPr="008A26FB">
              <w:rPr>
                <w:lang w:eastAsia="en-US"/>
              </w:rPr>
              <w:t>Beneventi et al. (2014), Kim et al. (2016), Lee et al. (2011), Lutchman Singh et al. (2007), Paradisi et al. (2016), van Beek et al. (2007)</w:t>
            </w:r>
          </w:p>
        </w:tc>
      </w:tr>
      <w:tr w:rsidR="006343CE" w:rsidRPr="006343CE" w14:paraId="15770DCF" w14:textId="77777777" w:rsidTr="006343CE">
        <w:tc>
          <w:tcPr>
            <w:tcW w:w="3114" w:type="dxa"/>
          </w:tcPr>
          <w:p w14:paraId="6771AB9C" w14:textId="77777777" w:rsidR="006343CE" w:rsidRPr="008A26FB" w:rsidRDefault="006343CE" w:rsidP="001B2A30">
            <w:pPr>
              <w:pStyle w:val="Tabletext1"/>
              <w:rPr>
                <w:lang w:eastAsia="en-US"/>
              </w:rPr>
            </w:pPr>
            <w:r w:rsidRPr="008A26FB">
              <w:rPr>
                <w:lang w:eastAsia="en-US"/>
              </w:rPr>
              <w:t>AMH vs E2</w:t>
            </w:r>
          </w:p>
        </w:tc>
        <w:tc>
          <w:tcPr>
            <w:tcW w:w="5953" w:type="dxa"/>
          </w:tcPr>
          <w:p w14:paraId="0ED17B62" w14:textId="77777777" w:rsidR="006343CE" w:rsidRPr="006343CE" w:rsidRDefault="006343CE" w:rsidP="001B2A30">
            <w:pPr>
              <w:pStyle w:val="Tabletext1"/>
              <w:rPr>
                <w:lang w:eastAsia="en-US"/>
              </w:rPr>
            </w:pPr>
            <w:r w:rsidRPr="008A26FB">
              <w:rPr>
                <w:lang w:eastAsia="en-US"/>
              </w:rPr>
              <w:t>Fabbri et al. (2014), Kim et al. (2016), Lutchman Singh et al. (2007), Paradisi et al. (2016)</w:t>
            </w:r>
          </w:p>
        </w:tc>
      </w:tr>
    </w:tbl>
    <w:p w14:paraId="13598250" w14:textId="4E5426B0" w:rsidR="006343CE" w:rsidRDefault="006343CE" w:rsidP="008A7CC1">
      <w:pPr>
        <w:pStyle w:val="Tablenotes0"/>
        <w:spacing w:after="240"/>
      </w:pPr>
      <w:r w:rsidRPr="006343CE">
        <w:t>AFC = antral follicle count; AMH = anti-Mülle</w:t>
      </w:r>
      <w:r w:rsidR="009D0F25">
        <w:t xml:space="preserve">rian hormone; E2 = </w:t>
      </w:r>
      <w:r w:rsidR="00A70795">
        <w:t>estradiol</w:t>
      </w:r>
      <w:r w:rsidRPr="006343CE">
        <w:t>; FSH = follicle-stimulating hormo</w:t>
      </w:r>
      <w:r w:rsidR="00C64C5D">
        <w:t>ne</w:t>
      </w:r>
    </w:p>
    <w:p w14:paraId="6BE8EECF" w14:textId="54E8DCC9" w:rsidR="006343CE" w:rsidRPr="006343CE" w:rsidRDefault="006343CE" w:rsidP="001A139E">
      <w:pPr>
        <w:pStyle w:val="Heading2"/>
        <w:numPr>
          <w:ilvl w:val="1"/>
          <w:numId w:val="57"/>
        </w:numPr>
      </w:pPr>
      <w:bookmarkStart w:id="224" w:name="_Toc502832929"/>
      <w:r w:rsidRPr="006343CE">
        <w:t xml:space="preserve">Risk of </w:t>
      </w:r>
      <w:r w:rsidR="00DC5CE5">
        <w:t>b</w:t>
      </w:r>
      <w:r w:rsidRPr="006343CE">
        <w:t xml:space="preserve">ias </w:t>
      </w:r>
      <w:r w:rsidR="00DC5CE5">
        <w:t>a</w:t>
      </w:r>
      <w:r w:rsidRPr="006343CE">
        <w:t>ssessment</w:t>
      </w:r>
      <w:bookmarkEnd w:id="224"/>
    </w:p>
    <w:p w14:paraId="621E5A6E" w14:textId="534A08E9" w:rsidR="006343CE" w:rsidRPr="006343CE" w:rsidRDefault="006343CE" w:rsidP="006343CE">
      <w:pPr>
        <w:jc w:val="both"/>
      </w:pPr>
      <w:r w:rsidRPr="006343CE">
        <w:t>The Quality Assessment of Diag</w:t>
      </w:r>
      <w:r w:rsidR="00B532A4">
        <w:t>nostic Accuracy Studies (QUADAS-</w:t>
      </w:r>
      <w:r w:rsidRPr="006343CE">
        <w:t>2) tool was u</w:t>
      </w:r>
      <w:r w:rsidR="00FB1D94">
        <w:t xml:space="preserve">sed to assess the risk of bias </w:t>
      </w:r>
      <w:r w:rsidR="00577E24">
        <w:fldChar w:fldCharType="begin"/>
      </w:r>
      <w:r w:rsidR="00577E24">
        <w:instrText xml:space="preserve"> ADDIN EN.CITE &lt;EndNote&gt;&lt;Cite&gt;&lt;Author&gt;Whiting&lt;/Author&gt;&lt;Year&gt;2011&lt;/Year&gt;&lt;RecNum&gt;407&lt;/RecNum&gt;&lt;IDText&gt;529-36&lt;/IDText&gt;&lt;DisplayText&gt;(Whiting et al. 2011)&lt;/DisplayText&gt;&lt;record&gt;&lt;rec-number&gt;407&lt;/rec-number&gt;&lt;foreign-keys&gt;&lt;key app="EN" db-id="s2dftfxw1fvsr1efx58vfvxtvfwzxea0td02" timestamp="1512340506"&gt;407&lt;/key&gt;&lt;/foreign-keys&gt;&lt;ref-type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00577E24">
        <w:fldChar w:fldCharType="separate"/>
      </w:r>
      <w:r w:rsidR="00577E24">
        <w:rPr>
          <w:noProof/>
        </w:rPr>
        <w:t>(</w:t>
      </w:r>
      <w:hyperlink w:anchor="_ENREF_75" w:tooltip="Whiting, 2011 #407" w:history="1">
        <w:r w:rsidR="00835BA6">
          <w:rPr>
            <w:noProof/>
          </w:rPr>
          <w:t>Whiting et al. 2011</w:t>
        </w:r>
      </w:hyperlink>
      <w:r w:rsidR="00577E24">
        <w:rPr>
          <w:noProof/>
        </w:rPr>
        <w:t>)</w:t>
      </w:r>
      <w:r w:rsidR="00577E24">
        <w:fldChar w:fldCharType="end"/>
      </w:r>
      <w:r w:rsidRPr="006343CE">
        <w:t xml:space="preserve">. It was modified </w:t>
      </w:r>
      <w:r w:rsidR="00FC5927">
        <w:t xml:space="preserve">to include a comparator </w:t>
      </w:r>
      <w:r w:rsidR="00FC5927" w:rsidRPr="00A86490">
        <w:t>for the</w:t>
      </w:r>
      <w:r w:rsidRPr="00A86490">
        <w:t xml:space="preserve"> studies assessing diagnostic accuracy data and the concordance study. The results are summarised in </w:t>
      </w:r>
      <w:r w:rsidRPr="00A86490">
        <w:fldChar w:fldCharType="begin"/>
      </w:r>
      <w:r w:rsidRPr="00A86490">
        <w:instrText xml:space="preserve"> REF _Ref494112809 \h </w:instrText>
      </w:r>
      <w:r w:rsidR="00A86490">
        <w:instrText xml:space="preserve"> \* MERGEFORMAT </w:instrText>
      </w:r>
      <w:r w:rsidRPr="00A86490">
        <w:fldChar w:fldCharType="separate"/>
      </w:r>
      <w:r w:rsidR="00AC4BE5" w:rsidRPr="006343CE">
        <w:t xml:space="preserve">Table </w:t>
      </w:r>
      <w:r w:rsidR="00AC4BE5">
        <w:t>25</w:t>
      </w:r>
      <w:r w:rsidRPr="00A86490">
        <w:fldChar w:fldCharType="end"/>
      </w:r>
      <w:r w:rsidRPr="00A86490">
        <w:t>. Su et al. (2011</w:t>
      </w:r>
      <w:r w:rsidRPr="006343CE">
        <w:t>) included FSH and inhibin B as comparators to AMH. Decanter et al. (2014) compared AMH tests to the clinica</w:t>
      </w:r>
      <w:r w:rsidR="00DA7F3E">
        <w:t>l reference standard, CRA</w:t>
      </w:r>
      <w:r w:rsidRPr="006343CE">
        <w:t>. According to QUADAS</w:t>
      </w:r>
      <w:r w:rsidR="00B532A4">
        <w:t>-</w:t>
      </w:r>
      <w:r w:rsidRPr="006343CE">
        <w:t>2, the risk o</w:t>
      </w:r>
      <w:r w:rsidR="00DA7F3E">
        <w:t>f bias associated with the AMH index</w:t>
      </w:r>
      <w:r w:rsidRPr="006343CE">
        <w:t xml:space="preserve"> test and the comparators is unclear. This is </w:t>
      </w:r>
      <w:r w:rsidR="00DA7F3E">
        <w:t xml:space="preserve">because the studies were not </w:t>
      </w:r>
      <w:r w:rsidRPr="006343CE">
        <w:t>blinded</w:t>
      </w:r>
      <w:r w:rsidR="00DA7F3E">
        <w:t xml:space="preserve">, though because </w:t>
      </w:r>
      <w:r w:rsidRPr="006343CE">
        <w:t xml:space="preserve">these tests are immunoassays, mostly ELISAs, and reading the result is automated, the risk of bias is </w:t>
      </w:r>
      <w:r w:rsidR="00DA7F3E">
        <w:t xml:space="preserve">considered </w:t>
      </w:r>
      <w:r w:rsidRPr="006343CE">
        <w:t xml:space="preserve">low. </w:t>
      </w:r>
      <w:r w:rsidR="00DA7F3E">
        <w:t>However</w:t>
      </w:r>
      <w:r w:rsidRPr="006343CE">
        <w:t xml:space="preserve">, there may be applicability issues when using these results for a linked evidence analysis. These studies used clinical reference standards that were valid clinical outcomes for interventional studies, but they were not included in the PICO for </w:t>
      </w:r>
      <w:r w:rsidR="00A86490">
        <w:t>analytical validity</w:t>
      </w:r>
      <w:r w:rsidRPr="006343CE">
        <w:t xml:space="preserve"> studies. The concordance study did not include a reference standard.</w:t>
      </w:r>
    </w:p>
    <w:p w14:paraId="41802911" w14:textId="5C1BA6DF" w:rsidR="006343CE" w:rsidRPr="006343CE" w:rsidRDefault="006343CE" w:rsidP="00634539">
      <w:pPr>
        <w:pStyle w:val="TableHeading"/>
      </w:pPr>
      <w:bookmarkStart w:id="225" w:name="_Ref494112809"/>
      <w:bookmarkStart w:id="226" w:name="_Toc502833043"/>
      <w:r w:rsidRPr="006343CE">
        <w:t xml:space="preserve">Table </w:t>
      </w:r>
      <w:r w:rsidR="00AC4BE5">
        <w:fldChar w:fldCharType="begin"/>
      </w:r>
      <w:r w:rsidR="00AC4BE5">
        <w:instrText xml:space="preserve"> SEQ Table \* ARABIC </w:instrText>
      </w:r>
      <w:r w:rsidR="00AC4BE5">
        <w:fldChar w:fldCharType="separate"/>
      </w:r>
      <w:r w:rsidR="00AC4BE5">
        <w:rPr>
          <w:noProof/>
        </w:rPr>
        <w:t>25</w:t>
      </w:r>
      <w:r w:rsidR="00AC4BE5">
        <w:rPr>
          <w:noProof/>
        </w:rPr>
        <w:fldChar w:fldCharType="end"/>
      </w:r>
      <w:bookmarkEnd w:id="225"/>
      <w:r w:rsidRPr="006343CE">
        <w:tab/>
        <w:t xml:space="preserve">Modified </w:t>
      </w:r>
      <w:bookmarkStart w:id="227" w:name="_Toc432677284"/>
      <w:r w:rsidR="00B532A4">
        <w:t>QUADAS-</w:t>
      </w:r>
      <w:r w:rsidRPr="006343CE">
        <w:t>2 risk of bias results</w:t>
      </w:r>
      <w:bookmarkEnd w:id="227"/>
      <w:r w:rsidRPr="006343CE">
        <w:t xml:space="preserve"> for </w:t>
      </w:r>
      <w:r w:rsidR="00A86490">
        <w:t>analytical validity</w:t>
      </w:r>
      <w:r w:rsidRPr="006343CE">
        <w:t xml:space="preserve"> and concordance studies</w:t>
      </w:r>
      <w:bookmarkEnd w:id="226"/>
    </w:p>
    <w:tbl>
      <w:tblPr>
        <w:tblStyle w:val="TableGrid1"/>
        <w:tblW w:w="9185" w:type="dxa"/>
        <w:tblLayout w:type="fixed"/>
        <w:tblLook w:val="00A0" w:firstRow="1" w:lastRow="0" w:firstColumn="1" w:lastColumn="0" w:noHBand="0" w:noVBand="0"/>
        <w:tblDescription w:val="Modified QUADAS-2 risk of bias results for analytical validity and concordance studies"/>
      </w:tblPr>
      <w:tblGrid>
        <w:gridCol w:w="1560"/>
        <w:gridCol w:w="850"/>
        <w:gridCol w:w="567"/>
        <w:gridCol w:w="1134"/>
        <w:gridCol w:w="851"/>
        <w:gridCol w:w="850"/>
        <w:gridCol w:w="851"/>
        <w:gridCol w:w="567"/>
        <w:gridCol w:w="1134"/>
        <w:gridCol w:w="821"/>
      </w:tblGrid>
      <w:tr w:rsidR="006343CE" w:rsidRPr="006343CE" w14:paraId="3D8E99D9" w14:textId="77777777" w:rsidTr="005F1001">
        <w:trPr>
          <w:cnfStyle w:val="100000000000" w:firstRow="1" w:lastRow="0" w:firstColumn="0" w:lastColumn="0" w:oddVBand="0" w:evenVBand="0" w:oddHBand="0" w:evenHBand="0" w:firstRowFirstColumn="0" w:firstRowLastColumn="0" w:lastRowFirstColumn="0" w:lastRowLastColumn="0"/>
          <w:trHeight w:val="415"/>
          <w:tblHeader/>
        </w:trPr>
        <w:tc>
          <w:tcPr>
            <w:tcW w:w="1560" w:type="dxa"/>
          </w:tcPr>
          <w:p w14:paraId="6CB45BB9" w14:textId="77777777" w:rsidR="006343CE" w:rsidRPr="00DA7F3E" w:rsidRDefault="006343CE" w:rsidP="006343CE">
            <w:pPr>
              <w:spacing w:after="40" w:line="240" w:lineRule="auto"/>
              <w:ind w:left="-57" w:right="-57"/>
              <w:rPr>
                <w:rFonts w:ascii="Arial Narrow" w:hAnsi="Arial Narrow" w:cs="Calibri"/>
                <w:sz w:val="20"/>
                <w:lang w:eastAsia="en-GB"/>
              </w:rPr>
            </w:pPr>
            <w:r w:rsidRPr="00DA7F3E">
              <w:rPr>
                <w:rFonts w:ascii="Arial Narrow" w:hAnsi="Arial Narrow" w:cs="Calibri"/>
                <w:b/>
                <w:sz w:val="20"/>
                <w:lang w:eastAsia="en-GB"/>
              </w:rPr>
              <w:t>Study</w:t>
            </w:r>
          </w:p>
        </w:tc>
        <w:tc>
          <w:tcPr>
            <w:tcW w:w="850" w:type="dxa"/>
          </w:tcPr>
          <w:p w14:paraId="5E2FAD49" w14:textId="77777777" w:rsidR="006343CE" w:rsidRPr="00DA7F3E" w:rsidRDefault="006343CE" w:rsidP="009C0DD0">
            <w:pPr>
              <w:spacing w:after="40" w:line="240" w:lineRule="auto"/>
              <w:ind w:left="-57" w:right="-57"/>
              <w:rPr>
                <w:rFonts w:ascii="Arial Narrow" w:hAnsi="Arial Narrow" w:cs="Calibri"/>
                <w:b/>
                <w:sz w:val="20"/>
                <w:lang w:eastAsia="en-GB"/>
              </w:rPr>
            </w:pPr>
          </w:p>
        </w:tc>
        <w:tc>
          <w:tcPr>
            <w:tcW w:w="567" w:type="dxa"/>
          </w:tcPr>
          <w:p w14:paraId="6617A4B5" w14:textId="77777777" w:rsidR="006343CE" w:rsidRPr="00DA7F3E" w:rsidRDefault="006343CE" w:rsidP="009C0DD0">
            <w:pPr>
              <w:spacing w:after="40" w:line="240" w:lineRule="auto"/>
              <w:ind w:left="-57" w:right="-57"/>
              <w:rPr>
                <w:rFonts w:ascii="Arial Narrow" w:hAnsi="Arial Narrow" w:cs="Calibri"/>
                <w:b/>
                <w:sz w:val="20"/>
                <w:lang w:eastAsia="en-GB"/>
              </w:rPr>
            </w:pPr>
          </w:p>
        </w:tc>
        <w:tc>
          <w:tcPr>
            <w:tcW w:w="1134" w:type="dxa"/>
          </w:tcPr>
          <w:p w14:paraId="34168FC4" w14:textId="77777777" w:rsidR="006343CE" w:rsidRPr="00DA7F3E" w:rsidRDefault="006343CE" w:rsidP="009C0DD0">
            <w:pPr>
              <w:spacing w:after="40" w:line="240" w:lineRule="auto"/>
              <w:ind w:left="-57" w:right="-57"/>
              <w:rPr>
                <w:rFonts w:ascii="Arial Narrow" w:hAnsi="Arial Narrow" w:cs="Calibri"/>
                <w:b/>
                <w:sz w:val="20"/>
                <w:lang w:eastAsia="en-GB"/>
              </w:rPr>
            </w:pPr>
            <w:r w:rsidRPr="00DA7F3E">
              <w:rPr>
                <w:rFonts w:ascii="Arial Narrow" w:hAnsi="Arial Narrow" w:cs="Calibri"/>
                <w:b/>
                <w:sz w:val="20"/>
                <w:lang w:eastAsia="en-GB"/>
              </w:rPr>
              <w:t>Risk of bias</w:t>
            </w:r>
          </w:p>
        </w:tc>
        <w:tc>
          <w:tcPr>
            <w:tcW w:w="851" w:type="dxa"/>
          </w:tcPr>
          <w:p w14:paraId="60962E23" w14:textId="77777777" w:rsidR="006343CE" w:rsidRPr="00DA7F3E" w:rsidRDefault="006343CE" w:rsidP="009C0DD0">
            <w:pPr>
              <w:spacing w:after="40" w:line="240" w:lineRule="auto"/>
              <w:ind w:left="-57" w:right="-57"/>
              <w:rPr>
                <w:rFonts w:ascii="Arial Narrow" w:hAnsi="Arial Narrow" w:cs="Calibri"/>
                <w:b/>
                <w:sz w:val="20"/>
                <w:lang w:eastAsia="en-GB"/>
              </w:rPr>
            </w:pPr>
          </w:p>
        </w:tc>
        <w:tc>
          <w:tcPr>
            <w:tcW w:w="850" w:type="dxa"/>
          </w:tcPr>
          <w:p w14:paraId="7C74F00B" w14:textId="77777777" w:rsidR="006343CE" w:rsidRPr="00DA7F3E" w:rsidRDefault="006343CE" w:rsidP="009C0DD0">
            <w:pPr>
              <w:spacing w:after="40" w:line="240" w:lineRule="auto"/>
              <w:ind w:left="-57" w:right="-57"/>
              <w:rPr>
                <w:rFonts w:ascii="Arial Narrow" w:hAnsi="Arial Narrow" w:cs="Calibri"/>
                <w:b/>
                <w:sz w:val="20"/>
                <w:lang w:eastAsia="en-GB"/>
              </w:rPr>
            </w:pPr>
          </w:p>
        </w:tc>
        <w:tc>
          <w:tcPr>
            <w:tcW w:w="851" w:type="dxa"/>
          </w:tcPr>
          <w:p w14:paraId="2D29D573" w14:textId="77777777" w:rsidR="006343CE" w:rsidRPr="00DA7F3E" w:rsidRDefault="006343CE" w:rsidP="009C0DD0">
            <w:pPr>
              <w:spacing w:after="40" w:line="240" w:lineRule="auto"/>
              <w:ind w:left="-57" w:right="-57"/>
              <w:rPr>
                <w:rFonts w:ascii="Arial Narrow" w:hAnsi="Arial Narrow" w:cs="Calibri"/>
                <w:b/>
                <w:sz w:val="20"/>
                <w:lang w:eastAsia="en-GB"/>
              </w:rPr>
            </w:pPr>
          </w:p>
        </w:tc>
        <w:tc>
          <w:tcPr>
            <w:tcW w:w="567" w:type="dxa"/>
          </w:tcPr>
          <w:p w14:paraId="38EE7591" w14:textId="77777777" w:rsidR="006343CE" w:rsidRPr="00DA7F3E" w:rsidRDefault="006343CE" w:rsidP="009C0DD0">
            <w:pPr>
              <w:spacing w:after="40" w:line="240" w:lineRule="auto"/>
              <w:ind w:left="-57" w:right="-57"/>
              <w:rPr>
                <w:rFonts w:ascii="Arial Narrow" w:hAnsi="Arial Narrow" w:cs="Calibri"/>
                <w:b/>
                <w:sz w:val="20"/>
                <w:lang w:eastAsia="en-GB"/>
              </w:rPr>
            </w:pPr>
          </w:p>
        </w:tc>
        <w:tc>
          <w:tcPr>
            <w:tcW w:w="1134" w:type="dxa"/>
          </w:tcPr>
          <w:p w14:paraId="2F211EE2" w14:textId="77777777" w:rsidR="006343CE" w:rsidRPr="00DA7F3E" w:rsidRDefault="006343CE" w:rsidP="009C0DD0">
            <w:pPr>
              <w:spacing w:after="40" w:line="240" w:lineRule="auto"/>
              <w:ind w:left="-57" w:right="-57"/>
              <w:rPr>
                <w:rFonts w:ascii="Arial Narrow" w:hAnsi="Arial Narrow" w:cs="Calibri"/>
                <w:b/>
                <w:sz w:val="20"/>
                <w:lang w:eastAsia="en-GB"/>
              </w:rPr>
            </w:pPr>
            <w:r w:rsidRPr="00DA7F3E">
              <w:rPr>
                <w:rFonts w:ascii="Arial Narrow" w:hAnsi="Arial Narrow" w:cs="Calibri"/>
                <w:b/>
                <w:sz w:val="20"/>
                <w:lang w:eastAsia="en-GB"/>
              </w:rPr>
              <w:t>Applicability</w:t>
            </w:r>
          </w:p>
        </w:tc>
        <w:tc>
          <w:tcPr>
            <w:tcW w:w="821" w:type="dxa"/>
          </w:tcPr>
          <w:p w14:paraId="24AA8A76" w14:textId="77777777" w:rsidR="006343CE" w:rsidRPr="00DA7F3E" w:rsidRDefault="006343CE" w:rsidP="009C0DD0">
            <w:pPr>
              <w:spacing w:after="40" w:line="240" w:lineRule="auto"/>
              <w:ind w:left="-57" w:right="-57"/>
              <w:rPr>
                <w:rFonts w:ascii="Arial Narrow" w:hAnsi="Arial Narrow" w:cs="Calibri"/>
                <w:b/>
                <w:sz w:val="20"/>
                <w:lang w:eastAsia="en-GB"/>
              </w:rPr>
            </w:pPr>
          </w:p>
        </w:tc>
      </w:tr>
      <w:tr w:rsidR="006343CE" w:rsidRPr="006343CE" w14:paraId="13E76A6C" w14:textId="77777777" w:rsidTr="005F1001">
        <w:trPr>
          <w:trHeight w:val="295"/>
        </w:trPr>
        <w:tc>
          <w:tcPr>
            <w:tcW w:w="1560" w:type="dxa"/>
          </w:tcPr>
          <w:p w14:paraId="22B0F087" w14:textId="77777777" w:rsidR="006343CE" w:rsidRPr="00DA7F3E" w:rsidRDefault="006343CE" w:rsidP="006343CE">
            <w:pPr>
              <w:spacing w:after="40" w:line="240" w:lineRule="auto"/>
              <w:ind w:left="-57" w:right="-57"/>
              <w:jc w:val="center"/>
              <w:rPr>
                <w:rFonts w:ascii="Arial Narrow" w:hAnsi="Arial Narrow" w:cs="Calibri"/>
                <w:b/>
                <w:color w:val="FFFFFF" w:themeColor="background1"/>
                <w:sz w:val="20"/>
                <w:lang w:eastAsia="en-GB"/>
              </w:rPr>
            </w:pPr>
            <w:r w:rsidRPr="00DA7F3E">
              <w:rPr>
                <w:rFonts w:ascii="Arial Narrow" w:hAnsi="Arial Narrow" w:cs="Calibri"/>
                <w:b/>
                <w:color w:val="FFFFFF" w:themeColor="background1"/>
                <w:sz w:val="20"/>
                <w:lang w:eastAsia="en-GB"/>
              </w:rPr>
              <w:t>-</w:t>
            </w:r>
          </w:p>
        </w:tc>
        <w:tc>
          <w:tcPr>
            <w:tcW w:w="850" w:type="dxa"/>
          </w:tcPr>
          <w:p w14:paraId="79082496"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Patient selection</w:t>
            </w:r>
          </w:p>
        </w:tc>
        <w:tc>
          <w:tcPr>
            <w:tcW w:w="567" w:type="dxa"/>
          </w:tcPr>
          <w:p w14:paraId="48707B83"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Index test</w:t>
            </w:r>
          </w:p>
        </w:tc>
        <w:tc>
          <w:tcPr>
            <w:tcW w:w="1134" w:type="dxa"/>
          </w:tcPr>
          <w:p w14:paraId="1E3F3585"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Comparator</w:t>
            </w:r>
          </w:p>
        </w:tc>
        <w:tc>
          <w:tcPr>
            <w:tcW w:w="851" w:type="dxa"/>
          </w:tcPr>
          <w:p w14:paraId="79F4FC7D"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Reference standard</w:t>
            </w:r>
          </w:p>
        </w:tc>
        <w:tc>
          <w:tcPr>
            <w:tcW w:w="850" w:type="dxa"/>
          </w:tcPr>
          <w:p w14:paraId="46874B0F"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Flow and timing</w:t>
            </w:r>
          </w:p>
        </w:tc>
        <w:tc>
          <w:tcPr>
            <w:tcW w:w="851" w:type="dxa"/>
          </w:tcPr>
          <w:p w14:paraId="4F575DD5"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Patient selection</w:t>
            </w:r>
          </w:p>
        </w:tc>
        <w:tc>
          <w:tcPr>
            <w:tcW w:w="567" w:type="dxa"/>
          </w:tcPr>
          <w:p w14:paraId="65B796FC"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Index test</w:t>
            </w:r>
          </w:p>
        </w:tc>
        <w:tc>
          <w:tcPr>
            <w:tcW w:w="1134" w:type="dxa"/>
          </w:tcPr>
          <w:p w14:paraId="4F281CE2"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Comparator</w:t>
            </w:r>
          </w:p>
        </w:tc>
        <w:tc>
          <w:tcPr>
            <w:tcW w:w="821" w:type="dxa"/>
          </w:tcPr>
          <w:p w14:paraId="50E8F40D" w14:textId="77777777" w:rsidR="006343CE" w:rsidRPr="00DA7F3E" w:rsidRDefault="006343CE" w:rsidP="009C0DD0">
            <w:pPr>
              <w:spacing w:after="40" w:line="240" w:lineRule="auto"/>
              <w:ind w:left="-57" w:right="-57"/>
              <w:rPr>
                <w:rFonts w:ascii="Arial Narrow" w:hAnsi="Arial Narrow" w:cs="Calibri"/>
                <w:b/>
                <w:sz w:val="18"/>
                <w:lang w:eastAsia="en-GB"/>
              </w:rPr>
            </w:pPr>
            <w:r w:rsidRPr="00DA7F3E">
              <w:rPr>
                <w:rFonts w:ascii="Arial Narrow" w:hAnsi="Arial Narrow" w:cs="Calibri"/>
                <w:b/>
                <w:sz w:val="18"/>
                <w:lang w:eastAsia="en-GB"/>
              </w:rPr>
              <w:t>Reference standard</w:t>
            </w:r>
          </w:p>
        </w:tc>
      </w:tr>
      <w:tr w:rsidR="006343CE" w:rsidRPr="008A26FB" w14:paraId="374FCFF4" w14:textId="77777777" w:rsidTr="005F1001">
        <w:trPr>
          <w:trHeight w:val="138"/>
        </w:trPr>
        <w:tc>
          <w:tcPr>
            <w:tcW w:w="1560" w:type="dxa"/>
          </w:tcPr>
          <w:p w14:paraId="62FE91FE" w14:textId="77777777" w:rsidR="006343CE" w:rsidRPr="00DA7F3E" w:rsidRDefault="006343CE" w:rsidP="001B2A30">
            <w:pPr>
              <w:pStyle w:val="Tabletext1"/>
              <w:rPr>
                <w:lang w:eastAsia="en-GB"/>
              </w:rPr>
            </w:pPr>
            <w:r w:rsidRPr="00DA7F3E">
              <w:rPr>
                <w:lang w:eastAsia="en-GB"/>
              </w:rPr>
              <w:t>Decanter et al. (2014)</w:t>
            </w:r>
          </w:p>
        </w:tc>
        <w:tc>
          <w:tcPr>
            <w:tcW w:w="850" w:type="dxa"/>
          </w:tcPr>
          <w:p w14:paraId="5B339E61" w14:textId="77777777" w:rsidR="006343CE" w:rsidRPr="00DA7F3E" w:rsidRDefault="006343CE" w:rsidP="001B2A30">
            <w:pPr>
              <w:pStyle w:val="Tabletext1"/>
              <w:rPr>
                <w:b/>
              </w:rPr>
            </w:pPr>
            <w:r w:rsidRPr="00DA7F3E">
              <w:rPr>
                <w:b/>
                <w:color w:val="00B050"/>
              </w:rPr>
              <w:sym w:font="Wingdings" w:char="F04A"/>
            </w:r>
          </w:p>
        </w:tc>
        <w:tc>
          <w:tcPr>
            <w:tcW w:w="567" w:type="dxa"/>
          </w:tcPr>
          <w:p w14:paraId="664FD8A9" w14:textId="77777777" w:rsidR="006343CE" w:rsidRPr="00DA7F3E" w:rsidRDefault="006343CE" w:rsidP="001B2A30">
            <w:pPr>
              <w:pStyle w:val="Tabletext1"/>
              <w:rPr>
                <w:b/>
              </w:rPr>
            </w:pPr>
            <w:r w:rsidRPr="00DA7F3E">
              <w:rPr>
                <w:b/>
                <w:color w:val="0070C0"/>
              </w:rPr>
              <w:t>?</w:t>
            </w:r>
          </w:p>
        </w:tc>
        <w:tc>
          <w:tcPr>
            <w:tcW w:w="1134" w:type="dxa"/>
          </w:tcPr>
          <w:p w14:paraId="2037BB0A" w14:textId="77777777" w:rsidR="006343CE" w:rsidRPr="00DA7F3E" w:rsidRDefault="006343CE" w:rsidP="001B2A30">
            <w:pPr>
              <w:pStyle w:val="Tabletext1"/>
              <w:rPr>
                <w:b/>
              </w:rPr>
            </w:pPr>
            <w:r w:rsidRPr="00DA7F3E">
              <w:rPr>
                <w:b/>
                <w:color w:val="0070C0"/>
              </w:rPr>
              <w:t>?</w:t>
            </w:r>
          </w:p>
        </w:tc>
        <w:tc>
          <w:tcPr>
            <w:tcW w:w="851" w:type="dxa"/>
          </w:tcPr>
          <w:p w14:paraId="150F3AD6" w14:textId="77777777" w:rsidR="006343CE" w:rsidRPr="00DA7F3E" w:rsidRDefault="006343CE" w:rsidP="001B2A30">
            <w:pPr>
              <w:pStyle w:val="Tabletext1"/>
              <w:rPr>
                <w:b/>
              </w:rPr>
            </w:pPr>
            <w:r w:rsidRPr="00DA7F3E">
              <w:rPr>
                <w:b/>
                <w:color w:val="00B050"/>
              </w:rPr>
              <w:sym w:font="Wingdings" w:char="F04A"/>
            </w:r>
          </w:p>
        </w:tc>
        <w:tc>
          <w:tcPr>
            <w:tcW w:w="850" w:type="dxa"/>
          </w:tcPr>
          <w:p w14:paraId="0450F32C" w14:textId="77777777" w:rsidR="006343CE" w:rsidRPr="00DA7F3E" w:rsidRDefault="006343CE" w:rsidP="001B2A30">
            <w:pPr>
              <w:pStyle w:val="Tabletext1"/>
              <w:rPr>
                <w:b/>
              </w:rPr>
            </w:pPr>
            <w:r w:rsidRPr="00DA7F3E">
              <w:rPr>
                <w:b/>
                <w:color w:val="00B050"/>
              </w:rPr>
              <w:sym w:font="Wingdings" w:char="F04A"/>
            </w:r>
          </w:p>
        </w:tc>
        <w:tc>
          <w:tcPr>
            <w:tcW w:w="851" w:type="dxa"/>
          </w:tcPr>
          <w:p w14:paraId="308D80C7" w14:textId="77777777" w:rsidR="006343CE" w:rsidRPr="00DA7F3E" w:rsidRDefault="006343CE" w:rsidP="001B2A30">
            <w:pPr>
              <w:pStyle w:val="Tabletext1"/>
              <w:rPr>
                <w:b/>
              </w:rPr>
            </w:pPr>
            <w:r w:rsidRPr="00DA7F3E">
              <w:rPr>
                <w:b/>
                <w:color w:val="00B050"/>
              </w:rPr>
              <w:sym w:font="Wingdings" w:char="F04A"/>
            </w:r>
          </w:p>
        </w:tc>
        <w:tc>
          <w:tcPr>
            <w:tcW w:w="567" w:type="dxa"/>
          </w:tcPr>
          <w:p w14:paraId="3F92290F" w14:textId="77777777" w:rsidR="006343CE" w:rsidRPr="00DA7F3E" w:rsidRDefault="006343CE" w:rsidP="001B2A30">
            <w:pPr>
              <w:pStyle w:val="Tabletext1"/>
              <w:rPr>
                <w:b/>
              </w:rPr>
            </w:pPr>
            <w:r w:rsidRPr="00DA7F3E">
              <w:rPr>
                <w:b/>
                <w:color w:val="00B050"/>
              </w:rPr>
              <w:sym w:font="Wingdings" w:char="F04A"/>
            </w:r>
          </w:p>
        </w:tc>
        <w:tc>
          <w:tcPr>
            <w:tcW w:w="1134" w:type="dxa"/>
          </w:tcPr>
          <w:p w14:paraId="653E0B53" w14:textId="77777777" w:rsidR="006343CE" w:rsidRPr="00DA7F3E" w:rsidRDefault="006343CE" w:rsidP="001B2A30">
            <w:pPr>
              <w:pStyle w:val="Tabletext1"/>
              <w:rPr>
                <w:b/>
              </w:rPr>
            </w:pPr>
            <w:r w:rsidRPr="00DA7F3E">
              <w:rPr>
                <w:b/>
                <w:color w:val="00B050"/>
              </w:rPr>
              <w:sym w:font="Wingdings" w:char="F04A"/>
            </w:r>
          </w:p>
        </w:tc>
        <w:tc>
          <w:tcPr>
            <w:tcW w:w="821" w:type="dxa"/>
          </w:tcPr>
          <w:p w14:paraId="1845580E" w14:textId="77777777" w:rsidR="006343CE" w:rsidRPr="00DA7F3E" w:rsidRDefault="006343CE" w:rsidP="001B2A30">
            <w:pPr>
              <w:pStyle w:val="Tabletext1"/>
              <w:rPr>
                <w:b/>
              </w:rPr>
            </w:pPr>
            <w:r w:rsidRPr="00DA7F3E">
              <w:rPr>
                <w:b/>
                <w:color w:val="FF0000"/>
              </w:rPr>
              <w:sym w:font="Wingdings" w:char="F04C"/>
            </w:r>
          </w:p>
        </w:tc>
      </w:tr>
      <w:tr w:rsidR="006343CE" w:rsidRPr="008A26FB" w14:paraId="1812F48C" w14:textId="77777777" w:rsidTr="005F1001">
        <w:trPr>
          <w:trHeight w:val="138"/>
        </w:trPr>
        <w:tc>
          <w:tcPr>
            <w:tcW w:w="1560" w:type="dxa"/>
          </w:tcPr>
          <w:p w14:paraId="0BE98655" w14:textId="77777777" w:rsidR="006343CE" w:rsidRPr="00DA7F3E" w:rsidRDefault="006343CE" w:rsidP="001B2A30">
            <w:pPr>
              <w:pStyle w:val="Tabletext1"/>
              <w:rPr>
                <w:lang w:eastAsia="en-GB"/>
              </w:rPr>
            </w:pPr>
            <w:r w:rsidRPr="00DA7F3E">
              <w:rPr>
                <w:lang w:eastAsia="en-GB"/>
              </w:rPr>
              <w:t>Su et al. (2011)</w:t>
            </w:r>
          </w:p>
        </w:tc>
        <w:tc>
          <w:tcPr>
            <w:tcW w:w="850" w:type="dxa"/>
          </w:tcPr>
          <w:p w14:paraId="18D31152" w14:textId="77777777" w:rsidR="006343CE" w:rsidRPr="00DA7F3E" w:rsidRDefault="006343CE" w:rsidP="001B2A30">
            <w:pPr>
              <w:pStyle w:val="Tabletext1"/>
              <w:rPr>
                <w:b/>
                <w:lang w:eastAsia="en-GB"/>
              </w:rPr>
            </w:pPr>
            <w:r w:rsidRPr="00DA7F3E">
              <w:rPr>
                <w:b/>
                <w:color w:val="00B050"/>
              </w:rPr>
              <w:sym w:font="Wingdings" w:char="F04A"/>
            </w:r>
          </w:p>
        </w:tc>
        <w:tc>
          <w:tcPr>
            <w:tcW w:w="567" w:type="dxa"/>
          </w:tcPr>
          <w:p w14:paraId="744C313B" w14:textId="77777777" w:rsidR="006343CE" w:rsidRPr="00DA7F3E" w:rsidRDefault="006343CE" w:rsidP="001B2A30">
            <w:pPr>
              <w:pStyle w:val="Tabletext1"/>
              <w:rPr>
                <w:b/>
                <w:lang w:eastAsia="en-GB"/>
              </w:rPr>
            </w:pPr>
            <w:r w:rsidRPr="00DA7F3E">
              <w:rPr>
                <w:b/>
                <w:color w:val="0070C0"/>
              </w:rPr>
              <w:t>?</w:t>
            </w:r>
          </w:p>
        </w:tc>
        <w:tc>
          <w:tcPr>
            <w:tcW w:w="1134" w:type="dxa"/>
          </w:tcPr>
          <w:p w14:paraId="2A099859" w14:textId="77777777" w:rsidR="006343CE" w:rsidRPr="00DA7F3E" w:rsidRDefault="006343CE" w:rsidP="001B2A30">
            <w:pPr>
              <w:pStyle w:val="Tabletext1"/>
              <w:rPr>
                <w:b/>
                <w:lang w:eastAsia="en-GB"/>
              </w:rPr>
            </w:pPr>
            <w:r w:rsidRPr="00DA7F3E">
              <w:rPr>
                <w:b/>
                <w:color w:val="00B050"/>
              </w:rPr>
              <w:sym w:font="Wingdings" w:char="F04A"/>
            </w:r>
          </w:p>
        </w:tc>
        <w:tc>
          <w:tcPr>
            <w:tcW w:w="851" w:type="dxa"/>
          </w:tcPr>
          <w:p w14:paraId="4D26682C" w14:textId="77777777" w:rsidR="006343CE" w:rsidRPr="00DA7F3E" w:rsidRDefault="006343CE" w:rsidP="001B2A30">
            <w:pPr>
              <w:pStyle w:val="Tabletext1"/>
              <w:rPr>
                <w:b/>
                <w:lang w:eastAsia="en-GB"/>
              </w:rPr>
            </w:pPr>
            <w:r w:rsidRPr="00DA7F3E">
              <w:rPr>
                <w:b/>
                <w:color w:val="0070C0"/>
              </w:rPr>
              <w:t>?</w:t>
            </w:r>
          </w:p>
        </w:tc>
        <w:tc>
          <w:tcPr>
            <w:tcW w:w="850" w:type="dxa"/>
          </w:tcPr>
          <w:p w14:paraId="557731A8" w14:textId="77777777" w:rsidR="006343CE" w:rsidRPr="00DA7F3E" w:rsidRDefault="006343CE" w:rsidP="001B2A30">
            <w:pPr>
              <w:pStyle w:val="Tabletext1"/>
              <w:rPr>
                <w:b/>
                <w:lang w:eastAsia="en-GB"/>
              </w:rPr>
            </w:pPr>
            <w:r w:rsidRPr="00DA7F3E">
              <w:rPr>
                <w:b/>
                <w:color w:val="00B050"/>
              </w:rPr>
              <w:sym w:font="Wingdings" w:char="F04A"/>
            </w:r>
          </w:p>
        </w:tc>
        <w:tc>
          <w:tcPr>
            <w:tcW w:w="851" w:type="dxa"/>
          </w:tcPr>
          <w:p w14:paraId="58B8D36B" w14:textId="77777777" w:rsidR="006343CE" w:rsidRPr="00DA7F3E" w:rsidRDefault="006343CE" w:rsidP="001B2A30">
            <w:pPr>
              <w:pStyle w:val="Tabletext1"/>
              <w:rPr>
                <w:b/>
                <w:lang w:eastAsia="en-GB"/>
              </w:rPr>
            </w:pPr>
            <w:r w:rsidRPr="00DA7F3E">
              <w:rPr>
                <w:b/>
                <w:color w:val="00B050"/>
              </w:rPr>
              <w:sym w:font="Wingdings" w:char="F04A"/>
            </w:r>
          </w:p>
        </w:tc>
        <w:tc>
          <w:tcPr>
            <w:tcW w:w="567" w:type="dxa"/>
          </w:tcPr>
          <w:p w14:paraId="4593A476" w14:textId="77777777" w:rsidR="006343CE" w:rsidRPr="00DA7F3E" w:rsidRDefault="006343CE" w:rsidP="001B2A30">
            <w:pPr>
              <w:pStyle w:val="Tabletext1"/>
              <w:rPr>
                <w:b/>
                <w:lang w:eastAsia="en-GB"/>
              </w:rPr>
            </w:pPr>
            <w:r w:rsidRPr="00DA7F3E">
              <w:rPr>
                <w:b/>
                <w:color w:val="00B050"/>
              </w:rPr>
              <w:sym w:font="Wingdings" w:char="F04A"/>
            </w:r>
          </w:p>
        </w:tc>
        <w:tc>
          <w:tcPr>
            <w:tcW w:w="1134" w:type="dxa"/>
          </w:tcPr>
          <w:p w14:paraId="4C190E9F" w14:textId="77777777" w:rsidR="006343CE" w:rsidRPr="00DA7F3E" w:rsidRDefault="006343CE" w:rsidP="001B2A30">
            <w:pPr>
              <w:pStyle w:val="Tabletext1"/>
              <w:rPr>
                <w:b/>
                <w:lang w:eastAsia="en-GB"/>
              </w:rPr>
            </w:pPr>
            <w:r w:rsidRPr="00DA7F3E">
              <w:rPr>
                <w:b/>
                <w:color w:val="00B050"/>
              </w:rPr>
              <w:sym w:font="Wingdings" w:char="F04A"/>
            </w:r>
          </w:p>
        </w:tc>
        <w:tc>
          <w:tcPr>
            <w:tcW w:w="821" w:type="dxa"/>
          </w:tcPr>
          <w:p w14:paraId="7852B5BC" w14:textId="77777777" w:rsidR="006343CE" w:rsidRPr="00DA7F3E" w:rsidRDefault="006343CE" w:rsidP="001B2A30">
            <w:pPr>
              <w:pStyle w:val="Tabletext1"/>
              <w:rPr>
                <w:b/>
                <w:lang w:eastAsia="en-GB"/>
              </w:rPr>
            </w:pPr>
            <w:r w:rsidRPr="00DA7F3E">
              <w:rPr>
                <w:b/>
                <w:color w:val="FF0000"/>
              </w:rPr>
              <w:sym w:font="Wingdings" w:char="F04C"/>
            </w:r>
          </w:p>
        </w:tc>
      </w:tr>
      <w:tr w:rsidR="006343CE" w:rsidRPr="006343CE" w14:paraId="0CB7DBFE" w14:textId="77777777" w:rsidTr="005F1001">
        <w:trPr>
          <w:trHeight w:val="138"/>
        </w:trPr>
        <w:tc>
          <w:tcPr>
            <w:tcW w:w="1560" w:type="dxa"/>
          </w:tcPr>
          <w:p w14:paraId="2A3C4D17" w14:textId="77777777" w:rsidR="006343CE" w:rsidRPr="00DA7F3E" w:rsidRDefault="006343CE" w:rsidP="001B2A30">
            <w:pPr>
              <w:pStyle w:val="Tabletext1"/>
              <w:rPr>
                <w:lang w:eastAsia="en-GB"/>
              </w:rPr>
            </w:pPr>
            <w:r w:rsidRPr="00DA7F3E">
              <w:rPr>
                <w:lang w:eastAsia="en-GB"/>
              </w:rPr>
              <w:t>Miyoshi et al. (2013)</w:t>
            </w:r>
          </w:p>
        </w:tc>
        <w:tc>
          <w:tcPr>
            <w:tcW w:w="850" w:type="dxa"/>
          </w:tcPr>
          <w:p w14:paraId="666647F7" w14:textId="77777777" w:rsidR="006343CE" w:rsidRPr="00DA7F3E" w:rsidRDefault="006343CE" w:rsidP="001B2A30">
            <w:pPr>
              <w:pStyle w:val="Tabletext1"/>
              <w:rPr>
                <w:b/>
                <w:lang w:eastAsia="en-GB"/>
              </w:rPr>
            </w:pPr>
            <w:r w:rsidRPr="00DA7F3E">
              <w:rPr>
                <w:b/>
                <w:color w:val="00B050"/>
              </w:rPr>
              <w:sym w:font="Wingdings" w:char="F04A"/>
            </w:r>
          </w:p>
        </w:tc>
        <w:tc>
          <w:tcPr>
            <w:tcW w:w="567" w:type="dxa"/>
          </w:tcPr>
          <w:p w14:paraId="7CE3BC0C" w14:textId="77777777" w:rsidR="006343CE" w:rsidRPr="00DA7F3E" w:rsidRDefault="006343CE" w:rsidP="001B2A30">
            <w:pPr>
              <w:pStyle w:val="Tabletext1"/>
              <w:rPr>
                <w:b/>
                <w:lang w:eastAsia="en-GB"/>
              </w:rPr>
            </w:pPr>
            <w:r w:rsidRPr="00DA7F3E">
              <w:rPr>
                <w:b/>
                <w:color w:val="0070C0"/>
              </w:rPr>
              <w:t>?</w:t>
            </w:r>
          </w:p>
        </w:tc>
        <w:tc>
          <w:tcPr>
            <w:tcW w:w="1134" w:type="dxa"/>
          </w:tcPr>
          <w:p w14:paraId="47B21916" w14:textId="77777777" w:rsidR="006343CE" w:rsidRPr="00DA7F3E" w:rsidRDefault="006343CE" w:rsidP="001B2A30">
            <w:pPr>
              <w:pStyle w:val="Tabletext1"/>
              <w:rPr>
                <w:b/>
                <w:lang w:eastAsia="en-GB"/>
              </w:rPr>
            </w:pPr>
            <w:r w:rsidRPr="00DA7F3E">
              <w:rPr>
                <w:b/>
                <w:color w:val="00B050"/>
              </w:rPr>
              <w:sym w:font="Wingdings" w:char="F04A"/>
            </w:r>
          </w:p>
        </w:tc>
        <w:tc>
          <w:tcPr>
            <w:tcW w:w="851" w:type="dxa"/>
          </w:tcPr>
          <w:p w14:paraId="16793D3B" w14:textId="77777777" w:rsidR="006343CE" w:rsidRPr="00DA7F3E" w:rsidRDefault="006343CE" w:rsidP="001B2A30">
            <w:pPr>
              <w:pStyle w:val="Tabletext1"/>
              <w:rPr>
                <w:lang w:eastAsia="en-GB"/>
              </w:rPr>
            </w:pPr>
            <w:r w:rsidRPr="00DA7F3E">
              <w:rPr>
                <w:lang w:eastAsia="en-GB"/>
              </w:rPr>
              <w:t>NA</w:t>
            </w:r>
          </w:p>
        </w:tc>
        <w:tc>
          <w:tcPr>
            <w:tcW w:w="850" w:type="dxa"/>
          </w:tcPr>
          <w:p w14:paraId="442ECAEA" w14:textId="77777777" w:rsidR="006343CE" w:rsidRPr="00DA7F3E" w:rsidRDefault="006343CE" w:rsidP="001B2A30">
            <w:pPr>
              <w:pStyle w:val="Tabletext1"/>
              <w:rPr>
                <w:b/>
                <w:lang w:eastAsia="en-GB"/>
              </w:rPr>
            </w:pPr>
            <w:r w:rsidRPr="00DA7F3E">
              <w:rPr>
                <w:b/>
                <w:color w:val="00B050"/>
              </w:rPr>
              <w:sym w:font="Wingdings" w:char="F04A"/>
            </w:r>
          </w:p>
        </w:tc>
        <w:tc>
          <w:tcPr>
            <w:tcW w:w="851" w:type="dxa"/>
          </w:tcPr>
          <w:p w14:paraId="522B3B9D" w14:textId="77777777" w:rsidR="006343CE" w:rsidRPr="00DA7F3E" w:rsidRDefault="006343CE" w:rsidP="001B2A30">
            <w:pPr>
              <w:pStyle w:val="Tabletext1"/>
              <w:rPr>
                <w:b/>
                <w:lang w:eastAsia="en-GB"/>
              </w:rPr>
            </w:pPr>
            <w:r w:rsidRPr="00DA7F3E">
              <w:rPr>
                <w:b/>
                <w:color w:val="00B050"/>
              </w:rPr>
              <w:sym w:font="Wingdings" w:char="F04A"/>
            </w:r>
          </w:p>
        </w:tc>
        <w:tc>
          <w:tcPr>
            <w:tcW w:w="567" w:type="dxa"/>
          </w:tcPr>
          <w:p w14:paraId="5F9AD03F" w14:textId="77777777" w:rsidR="006343CE" w:rsidRPr="00DA7F3E" w:rsidRDefault="006343CE" w:rsidP="001B2A30">
            <w:pPr>
              <w:pStyle w:val="Tabletext1"/>
              <w:rPr>
                <w:b/>
                <w:lang w:eastAsia="en-GB"/>
              </w:rPr>
            </w:pPr>
            <w:r w:rsidRPr="00DA7F3E">
              <w:rPr>
                <w:b/>
                <w:color w:val="00B050"/>
              </w:rPr>
              <w:sym w:font="Wingdings" w:char="F04A"/>
            </w:r>
          </w:p>
        </w:tc>
        <w:tc>
          <w:tcPr>
            <w:tcW w:w="1134" w:type="dxa"/>
          </w:tcPr>
          <w:p w14:paraId="5133F566" w14:textId="77777777" w:rsidR="006343CE" w:rsidRPr="00DA7F3E" w:rsidRDefault="006343CE" w:rsidP="001B2A30">
            <w:pPr>
              <w:pStyle w:val="Tabletext1"/>
              <w:rPr>
                <w:b/>
                <w:lang w:eastAsia="en-GB"/>
              </w:rPr>
            </w:pPr>
            <w:r w:rsidRPr="00DA7F3E">
              <w:rPr>
                <w:b/>
                <w:color w:val="00B050"/>
              </w:rPr>
              <w:sym w:font="Wingdings" w:char="F04A"/>
            </w:r>
          </w:p>
        </w:tc>
        <w:tc>
          <w:tcPr>
            <w:tcW w:w="821" w:type="dxa"/>
          </w:tcPr>
          <w:p w14:paraId="515A3534" w14:textId="77777777" w:rsidR="006343CE" w:rsidRPr="00DA7F3E" w:rsidRDefault="006343CE" w:rsidP="001B2A30">
            <w:pPr>
              <w:pStyle w:val="Tabletext1"/>
              <w:rPr>
                <w:lang w:eastAsia="en-GB"/>
              </w:rPr>
            </w:pPr>
            <w:r w:rsidRPr="00DA7F3E">
              <w:rPr>
                <w:lang w:eastAsia="en-GB"/>
              </w:rPr>
              <w:t>NA</w:t>
            </w:r>
          </w:p>
        </w:tc>
      </w:tr>
    </w:tbl>
    <w:p w14:paraId="047F596C" w14:textId="48D4A769" w:rsidR="006343CE" w:rsidRDefault="006343CE" w:rsidP="00C33D8A">
      <w:pPr>
        <w:widowControl w:val="0"/>
        <w:spacing w:line="240" w:lineRule="auto"/>
        <w:contextualSpacing/>
        <w:jc w:val="both"/>
        <w:rPr>
          <w:rFonts w:ascii="Arial Narrow" w:hAnsi="Arial Narrow" w:cs="Arial"/>
          <w:snapToGrid w:val="0"/>
          <w:sz w:val="18"/>
          <w:szCs w:val="20"/>
          <w:lang w:eastAsia="en-US"/>
        </w:rPr>
      </w:pPr>
      <w:r w:rsidRPr="00DA7F3E">
        <w:rPr>
          <w:rFonts w:ascii="Arial Narrow" w:hAnsi="Arial Narrow" w:cs="Arial"/>
          <w:b/>
          <w:snapToGrid w:val="0"/>
          <w:color w:val="00B050"/>
          <w:sz w:val="18"/>
          <w:szCs w:val="20"/>
          <w:lang w:eastAsia="en-US"/>
        </w:rPr>
        <w:sym w:font="Wingdings" w:char="F04A"/>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low risk</w:t>
      </w:r>
      <w:r w:rsidRPr="006343CE">
        <w:rPr>
          <w:rFonts w:ascii="Arial Narrow" w:hAnsi="Arial Narrow" w:cs="Arial"/>
          <w:snapToGrid w:val="0"/>
          <w:sz w:val="18"/>
          <w:szCs w:val="20"/>
          <w:lang w:eastAsia="en-US"/>
        </w:rPr>
        <w:t xml:space="preserve">; </w:t>
      </w:r>
      <w:r w:rsidRPr="00DA7F3E">
        <w:rPr>
          <w:rFonts w:ascii="Arial Narrow" w:hAnsi="Arial Narrow" w:cs="Arial"/>
          <w:b/>
          <w:snapToGrid w:val="0"/>
          <w:color w:val="FF0000"/>
          <w:sz w:val="18"/>
          <w:szCs w:val="20"/>
          <w:lang w:eastAsia="en-US"/>
        </w:rPr>
        <w:sym w:font="Wingdings" w:char="F04C"/>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high risk</w:t>
      </w:r>
      <w:r w:rsidRPr="006343CE">
        <w:rPr>
          <w:rFonts w:ascii="Arial Narrow" w:hAnsi="Arial Narrow" w:cs="Arial"/>
          <w:snapToGrid w:val="0"/>
          <w:sz w:val="18"/>
          <w:szCs w:val="20"/>
          <w:lang w:eastAsia="en-US"/>
        </w:rPr>
        <w:t>;</w:t>
      </w:r>
      <w:r w:rsidR="00DA7F3E" w:rsidRPr="008A26FB">
        <w:rPr>
          <w:rFonts w:ascii="Arial Narrow" w:hAnsi="Arial Narrow"/>
          <w:b/>
          <w:color w:val="0070C0"/>
          <w:sz w:val="20"/>
        </w:rPr>
        <w:t>?</w:t>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unclear risk</w:t>
      </w:r>
      <w:r w:rsidRPr="006343CE">
        <w:rPr>
          <w:rFonts w:ascii="Arial Narrow" w:hAnsi="Arial Narrow" w:cs="Arial"/>
          <w:snapToGrid w:val="0"/>
          <w:sz w:val="18"/>
          <w:szCs w:val="20"/>
          <w:lang w:eastAsia="en-US"/>
        </w:rPr>
        <w:t>; NA = not applicable</w:t>
      </w:r>
    </w:p>
    <w:p w14:paraId="249635EA" w14:textId="6E5ADAA1" w:rsidR="006343CE" w:rsidRPr="006343CE" w:rsidRDefault="006343CE" w:rsidP="006343CE">
      <w:pPr>
        <w:jc w:val="both"/>
      </w:pPr>
      <w:r w:rsidRPr="00A86490">
        <w:lastRenderedPageBreak/>
        <w:fldChar w:fldCharType="begin"/>
      </w:r>
      <w:r w:rsidRPr="00A86490">
        <w:instrText xml:space="preserve"> REF _Ref494113033 \h </w:instrText>
      </w:r>
      <w:r w:rsidR="00A86490">
        <w:instrText xml:space="preserve"> \* MERGEFORMAT </w:instrText>
      </w:r>
      <w:r w:rsidRPr="00A86490">
        <w:fldChar w:fldCharType="separate"/>
      </w:r>
      <w:r w:rsidR="00AC4BE5" w:rsidRPr="006343CE">
        <w:t xml:space="preserve">Table </w:t>
      </w:r>
      <w:r w:rsidR="00AC4BE5">
        <w:t>26</w:t>
      </w:r>
      <w:r w:rsidRPr="00A86490">
        <w:fldChar w:fldCharType="end"/>
      </w:r>
      <w:r w:rsidRPr="00A86490">
        <w:t xml:space="preserve"> and </w:t>
      </w:r>
      <w:r w:rsidRPr="00A86490">
        <w:fldChar w:fldCharType="begin"/>
      </w:r>
      <w:r w:rsidRPr="00A86490">
        <w:instrText xml:space="preserve"> REF _Ref494113061 \h </w:instrText>
      </w:r>
      <w:r w:rsidR="00A86490">
        <w:instrText xml:space="preserve"> \* MERGEFORMAT </w:instrText>
      </w:r>
      <w:r w:rsidRPr="00A86490">
        <w:fldChar w:fldCharType="separate"/>
      </w:r>
      <w:r w:rsidR="00AC4BE5" w:rsidRPr="006343CE">
        <w:t xml:space="preserve">Table </w:t>
      </w:r>
      <w:r w:rsidR="00AC4BE5">
        <w:t>27</w:t>
      </w:r>
      <w:r w:rsidRPr="00A86490">
        <w:fldChar w:fldCharType="end"/>
      </w:r>
      <w:r w:rsidRPr="00A86490">
        <w:t xml:space="preserve"> summarise the risk of bias for patient selection and for each test conducted in the</w:t>
      </w:r>
      <w:r w:rsidRPr="006343CE">
        <w:t xml:space="preserve"> concordance studies. Again, the risk of bias associated with the biochemical tests (AMH, FSH, E2 and </w:t>
      </w:r>
      <w:r w:rsidRPr="008A26FB">
        <w:t>inhibin B) is unclear due to the lack of blinding in all but the study by de Souza et al. (2015). However,</w:t>
      </w:r>
      <w:r w:rsidRPr="006343CE">
        <w:t xml:space="preserve"> as these tests are immunoassays, mostly ELISAs, and the reading of the result is automated, the risk of bias is low. The studies with a hig</w:t>
      </w:r>
      <w:r w:rsidR="008F3565">
        <w:t xml:space="preserve">h risk of bias for the FSH test, </w:t>
      </w:r>
      <w:r w:rsidRPr="006343CE">
        <w:t>inhibin B test</w:t>
      </w:r>
      <w:r w:rsidR="008F3565">
        <w:t xml:space="preserve"> or both these tests</w:t>
      </w:r>
      <w:r w:rsidRPr="006343CE">
        <w:t xml:space="preserve"> did </w:t>
      </w:r>
      <w:r w:rsidR="008F3565">
        <w:t xml:space="preserve">not </w:t>
      </w:r>
      <w:r w:rsidR="002F60BC">
        <w:t xml:space="preserve">provide </w:t>
      </w:r>
      <w:r w:rsidRPr="006343CE">
        <w:t>details about the testing.</w:t>
      </w:r>
    </w:p>
    <w:p w14:paraId="319F15E5" w14:textId="178FB9A1" w:rsidR="006343CE" w:rsidRPr="006343CE" w:rsidRDefault="006343CE" w:rsidP="00634539">
      <w:pPr>
        <w:pStyle w:val="TableHeading"/>
        <w:ind w:left="1134" w:hanging="1134"/>
      </w:pPr>
      <w:bookmarkStart w:id="228" w:name="_Ref494113033"/>
      <w:bookmarkStart w:id="229" w:name="_Toc502833044"/>
      <w:r w:rsidRPr="006343CE">
        <w:t xml:space="preserve">Table </w:t>
      </w:r>
      <w:r w:rsidR="00AC4BE5">
        <w:fldChar w:fldCharType="begin"/>
      </w:r>
      <w:r w:rsidR="00AC4BE5">
        <w:instrText xml:space="preserve"> SEQ Table \* ARABIC </w:instrText>
      </w:r>
      <w:r w:rsidR="00AC4BE5">
        <w:fldChar w:fldCharType="separate"/>
      </w:r>
      <w:r w:rsidR="00AC4BE5">
        <w:rPr>
          <w:noProof/>
        </w:rPr>
        <w:t>26</w:t>
      </w:r>
      <w:r w:rsidR="00AC4BE5">
        <w:rPr>
          <w:noProof/>
        </w:rPr>
        <w:fldChar w:fldCharType="end"/>
      </w:r>
      <w:bookmarkEnd w:id="228"/>
      <w:r w:rsidRPr="006343CE">
        <w:tab/>
        <w:t xml:space="preserve">Modified </w:t>
      </w:r>
      <w:r w:rsidR="00B532A4">
        <w:t>QUADAS-</w:t>
      </w:r>
      <w:r w:rsidRPr="006343CE">
        <w:t>2 risk of bias results for studies reporting correlations between AMH and other tests</w:t>
      </w:r>
      <w:bookmarkEnd w:id="229"/>
    </w:p>
    <w:tbl>
      <w:tblPr>
        <w:tblStyle w:val="TableGrid1"/>
        <w:tblW w:w="9214" w:type="dxa"/>
        <w:tblLayout w:type="fixed"/>
        <w:tblLook w:val="00A0" w:firstRow="1" w:lastRow="0" w:firstColumn="1" w:lastColumn="0" w:noHBand="0" w:noVBand="0"/>
        <w:tblDescription w:val="Modified QUADAS-2 risk of bias results for studies reporting correlations between AMH and other tests"/>
      </w:tblPr>
      <w:tblGrid>
        <w:gridCol w:w="2410"/>
        <w:gridCol w:w="972"/>
        <w:gridCol w:w="972"/>
        <w:gridCol w:w="972"/>
        <w:gridCol w:w="972"/>
        <w:gridCol w:w="972"/>
        <w:gridCol w:w="972"/>
        <w:gridCol w:w="972"/>
      </w:tblGrid>
      <w:tr w:rsidR="006343CE" w:rsidRPr="006343CE" w14:paraId="76618E56" w14:textId="77777777" w:rsidTr="005F1001">
        <w:trPr>
          <w:cnfStyle w:val="100000000000" w:firstRow="1" w:lastRow="0" w:firstColumn="0" w:lastColumn="0" w:oddVBand="0" w:evenVBand="0" w:oddHBand="0" w:evenHBand="0" w:firstRowFirstColumn="0" w:firstRowLastColumn="0" w:lastRowFirstColumn="0" w:lastRowLastColumn="0"/>
          <w:trHeight w:val="295"/>
          <w:tblHeader/>
        </w:trPr>
        <w:tc>
          <w:tcPr>
            <w:tcW w:w="2410" w:type="dxa"/>
          </w:tcPr>
          <w:p w14:paraId="3F17BB66" w14:textId="77777777" w:rsidR="006343CE" w:rsidRPr="006343CE" w:rsidRDefault="006343CE" w:rsidP="009C0DD0">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Study</w:t>
            </w:r>
          </w:p>
        </w:tc>
        <w:tc>
          <w:tcPr>
            <w:tcW w:w="972" w:type="dxa"/>
          </w:tcPr>
          <w:p w14:paraId="0C7CFD4B" w14:textId="77777777" w:rsidR="006343CE" w:rsidRPr="006343CE" w:rsidRDefault="006343CE" w:rsidP="009C0DD0">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Patient selection</w:t>
            </w:r>
          </w:p>
        </w:tc>
        <w:tc>
          <w:tcPr>
            <w:tcW w:w="972" w:type="dxa"/>
          </w:tcPr>
          <w:p w14:paraId="320DD36E" w14:textId="77777777" w:rsidR="006343CE" w:rsidRPr="006343CE" w:rsidRDefault="006343CE" w:rsidP="009C0DD0">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AMH test</w:t>
            </w:r>
          </w:p>
        </w:tc>
        <w:tc>
          <w:tcPr>
            <w:tcW w:w="972" w:type="dxa"/>
          </w:tcPr>
          <w:p w14:paraId="5774EABE" w14:textId="77777777" w:rsidR="006343CE" w:rsidRPr="006343CE" w:rsidRDefault="006343CE" w:rsidP="009C0DD0">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AFC test</w:t>
            </w:r>
          </w:p>
        </w:tc>
        <w:tc>
          <w:tcPr>
            <w:tcW w:w="972" w:type="dxa"/>
          </w:tcPr>
          <w:p w14:paraId="3B5E5550" w14:textId="77777777" w:rsidR="006343CE" w:rsidRPr="006343CE" w:rsidRDefault="006343CE" w:rsidP="009C0DD0">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Ovarian biopsy</w:t>
            </w:r>
          </w:p>
        </w:tc>
        <w:tc>
          <w:tcPr>
            <w:tcW w:w="972" w:type="dxa"/>
          </w:tcPr>
          <w:p w14:paraId="2CFBB32F" w14:textId="77777777" w:rsidR="006343CE" w:rsidRPr="006343CE" w:rsidRDefault="006343CE" w:rsidP="009C0DD0">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FSH test</w:t>
            </w:r>
          </w:p>
        </w:tc>
        <w:tc>
          <w:tcPr>
            <w:tcW w:w="972" w:type="dxa"/>
          </w:tcPr>
          <w:p w14:paraId="4F15D2BD" w14:textId="77777777" w:rsidR="006343CE" w:rsidRPr="006343CE" w:rsidRDefault="006343CE" w:rsidP="009C0DD0">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E2 test</w:t>
            </w:r>
          </w:p>
        </w:tc>
        <w:tc>
          <w:tcPr>
            <w:tcW w:w="972" w:type="dxa"/>
          </w:tcPr>
          <w:p w14:paraId="13426D23" w14:textId="77777777" w:rsidR="006343CE" w:rsidRPr="006343CE" w:rsidRDefault="006343CE" w:rsidP="009C0DD0">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Inhibin B test</w:t>
            </w:r>
          </w:p>
        </w:tc>
      </w:tr>
      <w:tr w:rsidR="006343CE" w:rsidRPr="006343CE" w14:paraId="114EEFA6" w14:textId="77777777" w:rsidTr="005F1001">
        <w:trPr>
          <w:trHeight w:val="53"/>
        </w:trPr>
        <w:tc>
          <w:tcPr>
            <w:tcW w:w="2410" w:type="dxa"/>
          </w:tcPr>
          <w:p w14:paraId="179E630B" w14:textId="77777777" w:rsidR="006343CE" w:rsidRPr="006343CE" w:rsidRDefault="006343CE" w:rsidP="001B2A30">
            <w:pPr>
              <w:pStyle w:val="Tabletext1"/>
              <w:rPr>
                <w:lang w:eastAsia="en-GB"/>
              </w:rPr>
            </w:pPr>
            <w:r w:rsidRPr="006343CE">
              <w:rPr>
                <w:lang w:eastAsia="en-GB"/>
              </w:rPr>
              <w:t>Beneventi et al. (2014)</w:t>
            </w:r>
          </w:p>
        </w:tc>
        <w:tc>
          <w:tcPr>
            <w:tcW w:w="972" w:type="dxa"/>
          </w:tcPr>
          <w:p w14:paraId="324A62C1" w14:textId="77777777" w:rsidR="006343CE" w:rsidRPr="006343CE" w:rsidRDefault="006343CE" w:rsidP="001B2A30">
            <w:pPr>
              <w:pStyle w:val="Tabletext1"/>
              <w:rPr>
                <w:b/>
                <w:lang w:eastAsia="en-GB"/>
              </w:rPr>
            </w:pPr>
            <w:r w:rsidRPr="006343CE">
              <w:rPr>
                <w:b/>
                <w:color w:val="00B050"/>
              </w:rPr>
              <w:sym w:font="Wingdings" w:char="F04A"/>
            </w:r>
          </w:p>
        </w:tc>
        <w:tc>
          <w:tcPr>
            <w:tcW w:w="972" w:type="dxa"/>
          </w:tcPr>
          <w:p w14:paraId="6ABB6412" w14:textId="77777777" w:rsidR="006343CE" w:rsidRPr="006343CE" w:rsidRDefault="006343CE" w:rsidP="001B2A30">
            <w:pPr>
              <w:pStyle w:val="Tabletext1"/>
              <w:rPr>
                <w:b/>
                <w:lang w:eastAsia="en-GB"/>
              </w:rPr>
            </w:pPr>
            <w:r w:rsidRPr="006343CE">
              <w:rPr>
                <w:b/>
                <w:color w:val="0070C0"/>
              </w:rPr>
              <w:t>?</w:t>
            </w:r>
          </w:p>
        </w:tc>
        <w:tc>
          <w:tcPr>
            <w:tcW w:w="972" w:type="dxa"/>
          </w:tcPr>
          <w:p w14:paraId="31FAFE33" w14:textId="77777777" w:rsidR="006343CE" w:rsidRPr="006343CE" w:rsidRDefault="006343CE" w:rsidP="001B2A30">
            <w:pPr>
              <w:pStyle w:val="Tabletext1"/>
              <w:rPr>
                <w:lang w:eastAsia="en-GB"/>
              </w:rPr>
            </w:pPr>
            <w:r w:rsidRPr="006343CE">
              <w:t>ND</w:t>
            </w:r>
          </w:p>
        </w:tc>
        <w:tc>
          <w:tcPr>
            <w:tcW w:w="972" w:type="dxa"/>
          </w:tcPr>
          <w:p w14:paraId="04F6C771" w14:textId="77777777" w:rsidR="006343CE" w:rsidRPr="006343CE" w:rsidRDefault="006343CE" w:rsidP="001B2A30">
            <w:pPr>
              <w:pStyle w:val="Tabletext1"/>
              <w:rPr>
                <w:lang w:eastAsia="en-GB"/>
              </w:rPr>
            </w:pPr>
            <w:r w:rsidRPr="006343CE">
              <w:t>ND</w:t>
            </w:r>
          </w:p>
        </w:tc>
        <w:tc>
          <w:tcPr>
            <w:tcW w:w="972" w:type="dxa"/>
          </w:tcPr>
          <w:p w14:paraId="0A4DF686" w14:textId="77777777" w:rsidR="006343CE" w:rsidRPr="006343CE" w:rsidRDefault="006343CE" w:rsidP="001B2A30">
            <w:pPr>
              <w:pStyle w:val="Tabletext1"/>
              <w:rPr>
                <w:lang w:eastAsia="en-GB"/>
              </w:rPr>
            </w:pPr>
            <w:r w:rsidRPr="006343CE">
              <w:t>ND</w:t>
            </w:r>
          </w:p>
        </w:tc>
        <w:tc>
          <w:tcPr>
            <w:tcW w:w="972" w:type="dxa"/>
          </w:tcPr>
          <w:p w14:paraId="6BF71631" w14:textId="77777777" w:rsidR="006343CE" w:rsidRPr="006343CE" w:rsidRDefault="006343CE" w:rsidP="001B2A30">
            <w:pPr>
              <w:pStyle w:val="Tabletext1"/>
              <w:rPr>
                <w:lang w:eastAsia="en-GB"/>
              </w:rPr>
            </w:pPr>
            <w:r w:rsidRPr="006343CE">
              <w:t>ND</w:t>
            </w:r>
          </w:p>
        </w:tc>
        <w:tc>
          <w:tcPr>
            <w:tcW w:w="972" w:type="dxa"/>
          </w:tcPr>
          <w:p w14:paraId="011B59C1" w14:textId="77777777" w:rsidR="006343CE" w:rsidRPr="006343CE" w:rsidRDefault="006343CE" w:rsidP="001B2A30">
            <w:pPr>
              <w:pStyle w:val="Tabletext1"/>
              <w:rPr>
                <w:b/>
                <w:lang w:eastAsia="en-GB"/>
              </w:rPr>
            </w:pPr>
            <w:r w:rsidRPr="006343CE">
              <w:rPr>
                <w:b/>
                <w:color w:val="0070C0"/>
              </w:rPr>
              <w:t>?</w:t>
            </w:r>
          </w:p>
        </w:tc>
      </w:tr>
      <w:tr w:rsidR="006343CE" w:rsidRPr="006343CE" w14:paraId="77F7118C" w14:textId="77777777" w:rsidTr="005F1001">
        <w:trPr>
          <w:trHeight w:val="138"/>
        </w:trPr>
        <w:tc>
          <w:tcPr>
            <w:tcW w:w="2410" w:type="dxa"/>
          </w:tcPr>
          <w:p w14:paraId="1C4C5F11" w14:textId="77777777" w:rsidR="006343CE" w:rsidRPr="006343CE" w:rsidRDefault="006343CE" w:rsidP="001B2A30">
            <w:pPr>
              <w:pStyle w:val="Tabletext1"/>
              <w:rPr>
                <w:lang w:eastAsia="en-GB"/>
              </w:rPr>
            </w:pPr>
            <w:r w:rsidRPr="006343CE">
              <w:rPr>
                <w:lang w:eastAsia="en-GB"/>
              </w:rPr>
              <w:t>Biacchiardi et al. (2011)</w:t>
            </w:r>
          </w:p>
        </w:tc>
        <w:tc>
          <w:tcPr>
            <w:tcW w:w="972" w:type="dxa"/>
          </w:tcPr>
          <w:p w14:paraId="38E7D127" w14:textId="77777777" w:rsidR="006343CE" w:rsidRPr="006343CE" w:rsidRDefault="006343CE" w:rsidP="001B2A30">
            <w:pPr>
              <w:pStyle w:val="Tabletext1"/>
              <w:rPr>
                <w:b/>
                <w:lang w:eastAsia="en-GB"/>
              </w:rPr>
            </w:pPr>
            <w:r w:rsidRPr="006343CE">
              <w:rPr>
                <w:b/>
                <w:color w:val="00B050"/>
              </w:rPr>
              <w:sym w:font="Wingdings" w:char="F04A"/>
            </w:r>
          </w:p>
        </w:tc>
        <w:tc>
          <w:tcPr>
            <w:tcW w:w="972" w:type="dxa"/>
          </w:tcPr>
          <w:p w14:paraId="304F8951" w14:textId="77777777" w:rsidR="006343CE" w:rsidRPr="006343CE" w:rsidRDefault="006343CE" w:rsidP="001B2A30">
            <w:pPr>
              <w:pStyle w:val="Tabletext1"/>
              <w:rPr>
                <w:b/>
                <w:lang w:eastAsia="en-GB"/>
              </w:rPr>
            </w:pPr>
            <w:r w:rsidRPr="006343CE">
              <w:rPr>
                <w:b/>
                <w:color w:val="0070C0"/>
              </w:rPr>
              <w:t>?</w:t>
            </w:r>
          </w:p>
        </w:tc>
        <w:tc>
          <w:tcPr>
            <w:tcW w:w="972" w:type="dxa"/>
          </w:tcPr>
          <w:p w14:paraId="7653B6CC" w14:textId="77777777" w:rsidR="006343CE" w:rsidRPr="006343CE" w:rsidRDefault="006343CE" w:rsidP="001B2A30">
            <w:pPr>
              <w:pStyle w:val="Tabletext1"/>
              <w:rPr>
                <w:b/>
                <w:lang w:eastAsia="en-GB"/>
              </w:rPr>
            </w:pPr>
            <w:r w:rsidRPr="006343CE">
              <w:rPr>
                <w:b/>
                <w:color w:val="00B050"/>
              </w:rPr>
              <w:sym w:font="Wingdings" w:char="F04A"/>
            </w:r>
          </w:p>
        </w:tc>
        <w:tc>
          <w:tcPr>
            <w:tcW w:w="972" w:type="dxa"/>
          </w:tcPr>
          <w:p w14:paraId="0498B02A" w14:textId="77777777" w:rsidR="006343CE" w:rsidRPr="006343CE" w:rsidRDefault="006343CE" w:rsidP="001B2A30">
            <w:pPr>
              <w:pStyle w:val="Tabletext1"/>
              <w:rPr>
                <w:lang w:eastAsia="en-GB"/>
              </w:rPr>
            </w:pPr>
            <w:r w:rsidRPr="006343CE">
              <w:t>ND</w:t>
            </w:r>
          </w:p>
        </w:tc>
        <w:tc>
          <w:tcPr>
            <w:tcW w:w="972" w:type="dxa"/>
          </w:tcPr>
          <w:p w14:paraId="70AAFF11" w14:textId="77777777" w:rsidR="006343CE" w:rsidRPr="006343CE" w:rsidRDefault="006343CE" w:rsidP="001B2A30">
            <w:pPr>
              <w:pStyle w:val="Tabletext1"/>
              <w:rPr>
                <w:lang w:eastAsia="en-GB"/>
              </w:rPr>
            </w:pPr>
            <w:r w:rsidRPr="006343CE">
              <w:t>ND</w:t>
            </w:r>
          </w:p>
        </w:tc>
        <w:tc>
          <w:tcPr>
            <w:tcW w:w="972" w:type="dxa"/>
          </w:tcPr>
          <w:p w14:paraId="6B0817C6" w14:textId="77777777" w:rsidR="006343CE" w:rsidRPr="006343CE" w:rsidRDefault="006343CE" w:rsidP="001B2A30">
            <w:pPr>
              <w:pStyle w:val="Tabletext1"/>
              <w:rPr>
                <w:lang w:eastAsia="en-GB"/>
              </w:rPr>
            </w:pPr>
            <w:r w:rsidRPr="006343CE">
              <w:t>ND</w:t>
            </w:r>
          </w:p>
        </w:tc>
        <w:tc>
          <w:tcPr>
            <w:tcW w:w="972" w:type="dxa"/>
          </w:tcPr>
          <w:p w14:paraId="3084F6A6" w14:textId="77777777" w:rsidR="006343CE" w:rsidRPr="006343CE" w:rsidRDefault="006343CE" w:rsidP="001B2A30">
            <w:pPr>
              <w:pStyle w:val="Tabletext1"/>
              <w:rPr>
                <w:lang w:eastAsia="en-GB"/>
              </w:rPr>
            </w:pPr>
            <w:r w:rsidRPr="006343CE">
              <w:t>ND</w:t>
            </w:r>
          </w:p>
        </w:tc>
      </w:tr>
      <w:tr w:rsidR="006343CE" w:rsidRPr="006343CE" w14:paraId="1D08E67F" w14:textId="77777777" w:rsidTr="005F1001">
        <w:trPr>
          <w:trHeight w:val="138"/>
        </w:trPr>
        <w:tc>
          <w:tcPr>
            <w:tcW w:w="2410" w:type="dxa"/>
          </w:tcPr>
          <w:p w14:paraId="5C69207E" w14:textId="77777777" w:rsidR="006343CE" w:rsidRPr="006343CE" w:rsidRDefault="006343CE" w:rsidP="001B2A30">
            <w:pPr>
              <w:pStyle w:val="Tabletext1"/>
              <w:rPr>
                <w:lang w:eastAsia="en-GB"/>
              </w:rPr>
            </w:pPr>
            <w:r w:rsidRPr="006343CE">
              <w:rPr>
                <w:lang w:eastAsia="en-GB"/>
              </w:rPr>
              <w:t>Decanter et al. (2014)</w:t>
            </w:r>
          </w:p>
        </w:tc>
        <w:tc>
          <w:tcPr>
            <w:tcW w:w="972" w:type="dxa"/>
          </w:tcPr>
          <w:p w14:paraId="48106CB2" w14:textId="77777777" w:rsidR="006343CE" w:rsidRPr="006343CE" w:rsidRDefault="006343CE" w:rsidP="001B2A30">
            <w:pPr>
              <w:pStyle w:val="Tabletext1"/>
              <w:rPr>
                <w:b/>
              </w:rPr>
            </w:pPr>
            <w:r w:rsidRPr="006343CE">
              <w:rPr>
                <w:b/>
                <w:color w:val="00B050"/>
              </w:rPr>
              <w:sym w:font="Wingdings" w:char="F04A"/>
            </w:r>
          </w:p>
        </w:tc>
        <w:tc>
          <w:tcPr>
            <w:tcW w:w="972" w:type="dxa"/>
          </w:tcPr>
          <w:p w14:paraId="3926CA39" w14:textId="77777777" w:rsidR="006343CE" w:rsidRPr="006343CE" w:rsidRDefault="006343CE" w:rsidP="001B2A30">
            <w:pPr>
              <w:pStyle w:val="Tabletext1"/>
              <w:rPr>
                <w:b/>
              </w:rPr>
            </w:pPr>
            <w:r w:rsidRPr="006343CE">
              <w:rPr>
                <w:b/>
                <w:color w:val="00B050"/>
              </w:rPr>
              <w:sym w:font="Wingdings" w:char="F04A"/>
            </w:r>
          </w:p>
        </w:tc>
        <w:tc>
          <w:tcPr>
            <w:tcW w:w="972" w:type="dxa"/>
          </w:tcPr>
          <w:p w14:paraId="2028B338" w14:textId="77777777" w:rsidR="006343CE" w:rsidRPr="006343CE" w:rsidRDefault="006343CE" w:rsidP="001B2A30">
            <w:pPr>
              <w:pStyle w:val="Tabletext1"/>
            </w:pPr>
            <w:r w:rsidRPr="006343CE">
              <w:t>ND</w:t>
            </w:r>
          </w:p>
        </w:tc>
        <w:tc>
          <w:tcPr>
            <w:tcW w:w="972" w:type="dxa"/>
          </w:tcPr>
          <w:p w14:paraId="54701BE5" w14:textId="77777777" w:rsidR="006343CE" w:rsidRPr="006343CE" w:rsidRDefault="006343CE" w:rsidP="001B2A30">
            <w:pPr>
              <w:pStyle w:val="Tabletext1"/>
            </w:pPr>
            <w:r w:rsidRPr="006343CE">
              <w:t>ND</w:t>
            </w:r>
          </w:p>
        </w:tc>
        <w:tc>
          <w:tcPr>
            <w:tcW w:w="972" w:type="dxa"/>
          </w:tcPr>
          <w:p w14:paraId="6BEB1501" w14:textId="77777777" w:rsidR="006343CE" w:rsidRPr="002F60BC" w:rsidRDefault="006343CE" w:rsidP="001B2A30">
            <w:pPr>
              <w:pStyle w:val="Tabletext1"/>
              <w:rPr>
                <w:b/>
              </w:rPr>
            </w:pPr>
            <w:r w:rsidRPr="002F60BC">
              <w:rPr>
                <w:b/>
                <w:color w:val="FF0000"/>
              </w:rPr>
              <w:sym w:font="Wingdings" w:char="F04C"/>
            </w:r>
          </w:p>
        </w:tc>
        <w:tc>
          <w:tcPr>
            <w:tcW w:w="972" w:type="dxa"/>
          </w:tcPr>
          <w:p w14:paraId="3491A806" w14:textId="77777777" w:rsidR="006343CE" w:rsidRPr="006343CE" w:rsidRDefault="006343CE" w:rsidP="001B2A30">
            <w:pPr>
              <w:pStyle w:val="Tabletext1"/>
            </w:pPr>
            <w:r w:rsidRPr="006343CE">
              <w:t>ND</w:t>
            </w:r>
          </w:p>
        </w:tc>
        <w:tc>
          <w:tcPr>
            <w:tcW w:w="972" w:type="dxa"/>
          </w:tcPr>
          <w:p w14:paraId="52E7ADF1" w14:textId="77777777" w:rsidR="006343CE" w:rsidRPr="006343CE" w:rsidRDefault="006343CE" w:rsidP="001B2A30">
            <w:pPr>
              <w:pStyle w:val="Tabletext1"/>
            </w:pPr>
            <w:r w:rsidRPr="006343CE">
              <w:t>ND</w:t>
            </w:r>
          </w:p>
        </w:tc>
      </w:tr>
      <w:tr w:rsidR="006343CE" w:rsidRPr="006343CE" w14:paraId="6CBEF59E" w14:textId="77777777" w:rsidTr="005F1001">
        <w:trPr>
          <w:trHeight w:val="138"/>
        </w:trPr>
        <w:tc>
          <w:tcPr>
            <w:tcW w:w="2410" w:type="dxa"/>
          </w:tcPr>
          <w:p w14:paraId="797F57D8" w14:textId="77777777" w:rsidR="006343CE" w:rsidRPr="006343CE" w:rsidRDefault="006343CE" w:rsidP="001B2A30">
            <w:pPr>
              <w:pStyle w:val="Tabletext1"/>
              <w:rPr>
                <w:lang w:eastAsia="en-GB"/>
              </w:rPr>
            </w:pPr>
            <w:r w:rsidRPr="006343CE">
              <w:rPr>
                <w:lang w:eastAsia="en-GB"/>
              </w:rPr>
              <w:t>Fabbri et al. (2014)</w:t>
            </w:r>
          </w:p>
        </w:tc>
        <w:tc>
          <w:tcPr>
            <w:tcW w:w="972" w:type="dxa"/>
          </w:tcPr>
          <w:p w14:paraId="255A0523" w14:textId="77777777" w:rsidR="006343CE" w:rsidRPr="006343CE" w:rsidRDefault="006343CE" w:rsidP="001B2A30">
            <w:pPr>
              <w:pStyle w:val="Tabletext1"/>
              <w:rPr>
                <w:b/>
                <w:lang w:eastAsia="en-GB"/>
              </w:rPr>
            </w:pPr>
            <w:r w:rsidRPr="006343CE">
              <w:rPr>
                <w:b/>
                <w:color w:val="00B050"/>
              </w:rPr>
              <w:sym w:font="Wingdings" w:char="F04A"/>
            </w:r>
          </w:p>
        </w:tc>
        <w:tc>
          <w:tcPr>
            <w:tcW w:w="972" w:type="dxa"/>
          </w:tcPr>
          <w:p w14:paraId="0983D95F" w14:textId="77777777" w:rsidR="006343CE" w:rsidRPr="006343CE" w:rsidRDefault="006343CE" w:rsidP="001B2A30">
            <w:pPr>
              <w:pStyle w:val="Tabletext1"/>
              <w:rPr>
                <w:b/>
                <w:lang w:eastAsia="en-GB"/>
              </w:rPr>
            </w:pPr>
            <w:r w:rsidRPr="006343CE">
              <w:rPr>
                <w:b/>
                <w:color w:val="0070C0"/>
              </w:rPr>
              <w:t>?</w:t>
            </w:r>
          </w:p>
        </w:tc>
        <w:tc>
          <w:tcPr>
            <w:tcW w:w="972" w:type="dxa"/>
          </w:tcPr>
          <w:p w14:paraId="2236DA32" w14:textId="77777777" w:rsidR="006343CE" w:rsidRPr="006343CE" w:rsidRDefault="006343CE" w:rsidP="001B2A30">
            <w:pPr>
              <w:pStyle w:val="Tabletext1"/>
              <w:rPr>
                <w:lang w:eastAsia="en-GB"/>
              </w:rPr>
            </w:pPr>
            <w:r w:rsidRPr="006343CE">
              <w:t>ND</w:t>
            </w:r>
          </w:p>
        </w:tc>
        <w:tc>
          <w:tcPr>
            <w:tcW w:w="972" w:type="dxa"/>
          </w:tcPr>
          <w:p w14:paraId="2D5D6AFC" w14:textId="77777777" w:rsidR="006343CE" w:rsidRPr="006343CE" w:rsidRDefault="006343CE" w:rsidP="001B2A30">
            <w:pPr>
              <w:pStyle w:val="Tabletext1"/>
              <w:rPr>
                <w:b/>
                <w:lang w:eastAsia="en-GB"/>
              </w:rPr>
            </w:pPr>
            <w:r w:rsidRPr="006343CE">
              <w:rPr>
                <w:b/>
                <w:color w:val="00B050"/>
              </w:rPr>
              <w:sym w:font="Wingdings" w:char="F04A"/>
            </w:r>
          </w:p>
        </w:tc>
        <w:tc>
          <w:tcPr>
            <w:tcW w:w="972" w:type="dxa"/>
          </w:tcPr>
          <w:p w14:paraId="73DE0F93" w14:textId="77777777" w:rsidR="006343CE" w:rsidRPr="006343CE" w:rsidRDefault="006343CE" w:rsidP="001B2A30">
            <w:pPr>
              <w:pStyle w:val="Tabletext1"/>
              <w:rPr>
                <w:b/>
                <w:lang w:eastAsia="en-GB"/>
              </w:rPr>
            </w:pPr>
            <w:r w:rsidRPr="006343CE">
              <w:rPr>
                <w:b/>
                <w:color w:val="0070C0"/>
              </w:rPr>
              <w:t>?</w:t>
            </w:r>
          </w:p>
        </w:tc>
        <w:tc>
          <w:tcPr>
            <w:tcW w:w="972" w:type="dxa"/>
          </w:tcPr>
          <w:p w14:paraId="290865ED" w14:textId="77777777" w:rsidR="006343CE" w:rsidRPr="006343CE" w:rsidRDefault="006343CE" w:rsidP="001B2A30">
            <w:pPr>
              <w:pStyle w:val="Tabletext1"/>
              <w:rPr>
                <w:b/>
                <w:lang w:eastAsia="en-GB"/>
              </w:rPr>
            </w:pPr>
            <w:r w:rsidRPr="006343CE">
              <w:rPr>
                <w:b/>
                <w:color w:val="0070C0"/>
              </w:rPr>
              <w:t>?</w:t>
            </w:r>
          </w:p>
        </w:tc>
        <w:tc>
          <w:tcPr>
            <w:tcW w:w="972" w:type="dxa"/>
          </w:tcPr>
          <w:p w14:paraId="423B01C0" w14:textId="77777777" w:rsidR="006343CE" w:rsidRPr="006343CE" w:rsidRDefault="006343CE" w:rsidP="001B2A30">
            <w:pPr>
              <w:pStyle w:val="Tabletext1"/>
              <w:rPr>
                <w:lang w:eastAsia="en-GB"/>
              </w:rPr>
            </w:pPr>
            <w:r w:rsidRPr="006343CE">
              <w:t>ND</w:t>
            </w:r>
          </w:p>
        </w:tc>
      </w:tr>
      <w:tr w:rsidR="006343CE" w:rsidRPr="006343CE" w14:paraId="33EE4B0E" w14:textId="77777777" w:rsidTr="005F1001">
        <w:trPr>
          <w:trHeight w:val="138"/>
        </w:trPr>
        <w:tc>
          <w:tcPr>
            <w:tcW w:w="2410" w:type="dxa"/>
          </w:tcPr>
          <w:p w14:paraId="74E1AA8D" w14:textId="77777777" w:rsidR="006343CE" w:rsidRPr="006343CE" w:rsidRDefault="006343CE" w:rsidP="001B2A30">
            <w:pPr>
              <w:pStyle w:val="Tabletext1"/>
              <w:rPr>
                <w:lang w:eastAsia="en-GB"/>
              </w:rPr>
            </w:pPr>
            <w:r w:rsidRPr="006343CE">
              <w:rPr>
                <w:lang w:eastAsia="en-GB"/>
              </w:rPr>
              <w:t>Kim et al. (2016)</w:t>
            </w:r>
          </w:p>
        </w:tc>
        <w:tc>
          <w:tcPr>
            <w:tcW w:w="972" w:type="dxa"/>
          </w:tcPr>
          <w:p w14:paraId="1058E2AE" w14:textId="77777777" w:rsidR="006343CE" w:rsidRPr="006343CE" w:rsidRDefault="006343CE" w:rsidP="001B2A30">
            <w:pPr>
              <w:pStyle w:val="Tabletext1"/>
              <w:rPr>
                <w:b/>
                <w:lang w:eastAsia="en-GB"/>
              </w:rPr>
            </w:pPr>
            <w:r w:rsidRPr="006343CE">
              <w:rPr>
                <w:b/>
                <w:color w:val="00B050"/>
              </w:rPr>
              <w:sym w:font="Wingdings" w:char="F04A"/>
            </w:r>
          </w:p>
        </w:tc>
        <w:tc>
          <w:tcPr>
            <w:tcW w:w="972" w:type="dxa"/>
          </w:tcPr>
          <w:p w14:paraId="3CFCDFA3" w14:textId="77777777" w:rsidR="006343CE" w:rsidRPr="006343CE" w:rsidRDefault="006343CE" w:rsidP="001B2A30">
            <w:pPr>
              <w:pStyle w:val="Tabletext1"/>
              <w:rPr>
                <w:b/>
                <w:lang w:eastAsia="en-GB"/>
              </w:rPr>
            </w:pPr>
            <w:r w:rsidRPr="006343CE">
              <w:rPr>
                <w:b/>
                <w:color w:val="00B050"/>
              </w:rPr>
              <w:sym w:font="Wingdings" w:char="F04A"/>
            </w:r>
          </w:p>
        </w:tc>
        <w:tc>
          <w:tcPr>
            <w:tcW w:w="972" w:type="dxa"/>
          </w:tcPr>
          <w:p w14:paraId="4C1C536B" w14:textId="77777777" w:rsidR="006343CE" w:rsidRPr="006343CE" w:rsidRDefault="006343CE" w:rsidP="001B2A30">
            <w:pPr>
              <w:pStyle w:val="Tabletext1"/>
              <w:rPr>
                <w:lang w:eastAsia="en-GB"/>
              </w:rPr>
            </w:pPr>
            <w:r w:rsidRPr="006343CE">
              <w:t>ND</w:t>
            </w:r>
          </w:p>
        </w:tc>
        <w:tc>
          <w:tcPr>
            <w:tcW w:w="972" w:type="dxa"/>
          </w:tcPr>
          <w:p w14:paraId="75B91C97" w14:textId="77777777" w:rsidR="006343CE" w:rsidRPr="006343CE" w:rsidRDefault="006343CE" w:rsidP="001B2A30">
            <w:pPr>
              <w:pStyle w:val="Tabletext1"/>
              <w:rPr>
                <w:lang w:eastAsia="en-GB"/>
              </w:rPr>
            </w:pPr>
            <w:r w:rsidRPr="006343CE">
              <w:t>ND</w:t>
            </w:r>
          </w:p>
        </w:tc>
        <w:tc>
          <w:tcPr>
            <w:tcW w:w="972" w:type="dxa"/>
          </w:tcPr>
          <w:p w14:paraId="598ABC33" w14:textId="77777777" w:rsidR="006343CE" w:rsidRPr="006343CE" w:rsidRDefault="006343CE" w:rsidP="001B2A30">
            <w:pPr>
              <w:pStyle w:val="Tabletext1"/>
              <w:rPr>
                <w:b/>
                <w:lang w:eastAsia="en-GB"/>
              </w:rPr>
            </w:pPr>
            <w:r w:rsidRPr="006343CE">
              <w:rPr>
                <w:b/>
                <w:color w:val="0070C0"/>
              </w:rPr>
              <w:t>?</w:t>
            </w:r>
          </w:p>
        </w:tc>
        <w:tc>
          <w:tcPr>
            <w:tcW w:w="972" w:type="dxa"/>
          </w:tcPr>
          <w:p w14:paraId="3A62C75F" w14:textId="77777777" w:rsidR="006343CE" w:rsidRPr="006343CE" w:rsidRDefault="006343CE" w:rsidP="001B2A30">
            <w:pPr>
              <w:pStyle w:val="Tabletext1"/>
              <w:rPr>
                <w:b/>
                <w:lang w:eastAsia="en-GB"/>
              </w:rPr>
            </w:pPr>
            <w:r w:rsidRPr="006343CE">
              <w:rPr>
                <w:b/>
                <w:color w:val="0070C0"/>
              </w:rPr>
              <w:t>?</w:t>
            </w:r>
          </w:p>
        </w:tc>
        <w:tc>
          <w:tcPr>
            <w:tcW w:w="972" w:type="dxa"/>
          </w:tcPr>
          <w:p w14:paraId="7A874EFD" w14:textId="77777777" w:rsidR="006343CE" w:rsidRPr="006343CE" w:rsidRDefault="006343CE" w:rsidP="001B2A30">
            <w:pPr>
              <w:pStyle w:val="Tabletext1"/>
              <w:rPr>
                <w:b/>
                <w:lang w:eastAsia="en-GB"/>
              </w:rPr>
            </w:pPr>
            <w:r w:rsidRPr="006343CE">
              <w:rPr>
                <w:b/>
                <w:color w:val="0070C0"/>
              </w:rPr>
              <w:t>?</w:t>
            </w:r>
          </w:p>
        </w:tc>
      </w:tr>
      <w:tr w:rsidR="006343CE" w:rsidRPr="006343CE" w14:paraId="67C95D0F" w14:textId="77777777" w:rsidTr="005F1001">
        <w:trPr>
          <w:trHeight w:val="138"/>
        </w:trPr>
        <w:tc>
          <w:tcPr>
            <w:tcW w:w="2410" w:type="dxa"/>
          </w:tcPr>
          <w:p w14:paraId="57C21766" w14:textId="77777777" w:rsidR="006343CE" w:rsidRPr="006343CE" w:rsidRDefault="006343CE" w:rsidP="001B2A30">
            <w:pPr>
              <w:pStyle w:val="Tabletext1"/>
              <w:rPr>
                <w:lang w:eastAsia="en-GB"/>
              </w:rPr>
            </w:pPr>
            <w:r w:rsidRPr="006343CE">
              <w:rPr>
                <w:lang w:eastAsia="en-GB"/>
              </w:rPr>
              <w:t>Lee et al.(2011)</w:t>
            </w:r>
          </w:p>
        </w:tc>
        <w:tc>
          <w:tcPr>
            <w:tcW w:w="972" w:type="dxa"/>
          </w:tcPr>
          <w:p w14:paraId="4C08908D" w14:textId="77777777" w:rsidR="006343CE" w:rsidRPr="006343CE" w:rsidRDefault="006343CE" w:rsidP="001B2A30">
            <w:pPr>
              <w:pStyle w:val="Tabletext1"/>
              <w:rPr>
                <w:b/>
              </w:rPr>
            </w:pPr>
            <w:r w:rsidRPr="006343CE">
              <w:rPr>
                <w:b/>
                <w:color w:val="00B050"/>
              </w:rPr>
              <w:sym w:font="Wingdings" w:char="F04A"/>
            </w:r>
          </w:p>
        </w:tc>
        <w:tc>
          <w:tcPr>
            <w:tcW w:w="972" w:type="dxa"/>
          </w:tcPr>
          <w:p w14:paraId="7F9E4BA8" w14:textId="77777777" w:rsidR="006343CE" w:rsidRPr="006343CE" w:rsidRDefault="006343CE" w:rsidP="001B2A30">
            <w:pPr>
              <w:pStyle w:val="Tabletext1"/>
              <w:rPr>
                <w:b/>
              </w:rPr>
            </w:pPr>
            <w:r w:rsidRPr="006343CE">
              <w:rPr>
                <w:b/>
                <w:color w:val="0070C0"/>
              </w:rPr>
              <w:t>?</w:t>
            </w:r>
          </w:p>
        </w:tc>
        <w:tc>
          <w:tcPr>
            <w:tcW w:w="972" w:type="dxa"/>
          </w:tcPr>
          <w:p w14:paraId="76C97572" w14:textId="77777777" w:rsidR="006343CE" w:rsidRPr="006343CE" w:rsidRDefault="006343CE" w:rsidP="001B2A30">
            <w:pPr>
              <w:pStyle w:val="Tabletext1"/>
              <w:rPr>
                <w:b/>
              </w:rPr>
            </w:pPr>
            <w:r w:rsidRPr="006343CE">
              <w:rPr>
                <w:b/>
                <w:color w:val="00B050"/>
              </w:rPr>
              <w:sym w:font="Wingdings" w:char="F04A"/>
            </w:r>
          </w:p>
        </w:tc>
        <w:tc>
          <w:tcPr>
            <w:tcW w:w="972" w:type="dxa"/>
          </w:tcPr>
          <w:p w14:paraId="29AB9BB7" w14:textId="77777777" w:rsidR="006343CE" w:rsidRPr="006343CE" w:rsidRDefault="006343CE" w:rsidP="001B2A30">
            <w:pPr>
              <w:pStyle w:val="Tabletext1"/>
            </w:pPr>
            <w:r w:rsidRPr="006343CE">
              <w:t>ND</w:t>
            </w:r>
          </w:p>
        </w:tc>
        <w:tc>
          <w:tcPr>
            <w:tcW w:w="972" w:type="dxa"/>
          </w:tcPr>
          <w:p w14:paraId="3781745A" w14:textId="77777777" w:rsidR="006343CE" w:rsidRPr="002F60BC" w:rsidRDefault="006343CE" w:rsidP="001B2A30">
            <w:pPr>
              <w:pStyle w:val="Tabletext1"/>
              <w:rPr>
                <w:b/>
              </w:rPr>
            </w:pPr>
            <w:r w:rsidRPr="002F60BC">
              <w:rPr>
                <w:b/>
                <w:color w:val="FF0000"/>
              </w:rPr>
              <w:sym w:font="Wingdings" w:char="F04C"/>
            </w:r>
          </w:p>
        </w:tc>
        <w:tc>
          <w:tcPr>
            <w:tcW w:w="972" w:type="dxa"/>
          </w:tcPr>
          <w:p w14:paraId="7C59755C" w14:textId="77777777" w:rsidR="006343CE" w:rsidRPr="006343CE" w:rsidRDefault="006343CE" w:rsidP="001B2A30">
            <w:pPr>
              <w:pStyle w:val="Tabletext1"/>
            </w:pPr>
            <w:r w:rsidRPr="006343CE">
              <w:t>ND</w:t>
            </w:r>
          </w:p>
        </w:tc>
        <w:tc>
          <w:tcPr>
            <w:tcW w:w="972" w:type="dxa"/>
          </w:tcPr>
          <w:p w14:paraId="0EF8545E" w14:textId="77777777" w:rsidR="006343CE" w:rsidRPr="002F60BC" w:rsidRDefault="006343CE" w:rsidP="001B2A30">
            <w:pPr>
              <w:pStyle w:val="Tabletext1"/>
              <w:rPr>
                <w:b/>
              </w:rPr>
            </w:pPr>
            <w:r w:rsidRPr="002F60BC">
              <w:rPr>
                <w:b/>
                <w:color w:val="FF0000"/>
              </w:rPr>
              <w:sym w:font="Wingdings" w:char="F04C"/>
            </w:r>
          </w:p>
        </w:tc>
      </w:tr>
      <w:tr w:rsidR="006343CE" w:rsidRPr="006343CE" w14:paraId="58852FA0" w14:textId="77777777" w:rsidTr="005F1001">
        <w:trPr>
          <w:trHeight w:val="138"/>
        </w:trPr>
        <w:tc>
          <w:tcPr>
            <w:tcW w:w="2410" w:type="dxa"/>
          </w:tcPr>
          <w:p w14:paraId="3303EA28" w14:textId="77777777" w:rsidR="006343CE" w:rsidRPr="006343CE" w:rsidRDefault="006343CE" w:rsidP="001B2A30">
            <w:pPr>
              <w:pStyle w:val="Tabletext1"/>
              <w:rPr>
                <w:lang w:eastAsia="en-GB"/>
              </w:rPr>
            </w:pPr>
            <w:r w:rsidRPr="006343CE">
              <w:rPr>
                <w:lang w:eastAsia="en-GB"/>
              </w:rPr>
              <w:t>Lutchman Singh et al. (2007)</w:t>
            </w:r>
          </w:p>
        </w:tc>
        <w:tc>
          <w:tcPr>
            <w:tcW w:w="972" w:type="dxa"/>
          </w:tcPr>
          <w:p w14:paraId="383AD4FA" w14:textId="77777777" w:rsidR="006343CE" w:rsidRPr="006343CE" w:rsidRDefault="006343CE" w:rsidP="001B2A30">
            <w:pPr>
              <w:pStyle w:val="Tabletext1"/>
              <w:rPr>
                <w:b/>
              </w:rPr>
            </w:pPr>
            <w:r w:rsidRPr="006343CE">
              <w:rPr>
                <w:b/>
                <w:color w:val="00B050"/>
              </w:rPr>
              <w:sym w:font="Wingdings" w:char="F04A"/>
            </w:r>
          </w:p>
        </w:tc>
        <w:tc>
          <w:tcPr>
            <w:tcW w:w="972" w:type="dxa"/>
          </w:tcPr>
          <w:p w14:paraId="4409497F" w14:textId="77777777" w:rsidR="006343CE" w:rsidRPr="006343CE" w:rsidRDefault="006343CE" w:rsidP="001B2A30">
            <w:pPr>
              <w:pStyle w:val="Tabletext1"/>
              <w:rPr>
                <w:b/>
              </w:rPr>
            </w:pPr>
            <w:r w:rsidRPr="006343CE">
              <w:rPr>
                <w:b/>
                <w:color w:val="00B050"/>
              </w:rPr>
              <w:sym w:font="Wingdings" w:char="F04A"/>
            </w:r>
          </w:p>
        </w:tc>
        <w:tc>
          <w:tcPr>
            <w:tcW w:w="972" w:type="dxa"/>
          </w:tcPr>
          <w:p w14:paraId="33555C56" w14:textId="77777777" w:rsidR="006343CE" w:rsidRPr="006343CE" w:rsidRDefault="006343CE" w:rsidP="001B2A30">
            <w:pPr>
              <w:pStyle w:val="Tabletext1"/>
            </w:pPr>
            <w:r w:rsidRPr="006343CE">
              <w:t>ND</w:t>
            </w:r>
          </w:p>
        </w:tc>
        <w:tc>
          <w:tcPr>
            <w:tcW w:w="972" w:type="dxa"/>
          </w:tcPr>
          <w:p w14:paraId="6CC428DB" w14:textId="77777777" w:rsidR="006343CE" w:rsidRPr="006343CE" w:rsidRDefault="006343CE" w:rsidP="001B2A30">
            <w:pPr>
              <w:pStyle w:val="Tabletext1"/>
            </w:pPr>
            <w:r w:rsidRPr="006343CE">
              <w:t>ND</w:t>
            </w:r>
          </w:p>
        </w:tc>
        <w:tc>
          <w:tcPr>
            <w:tcW w:w="972" w:type="dxa"/>
          </w:tcPr>
          <w:p w14:paraId="3C603CB0" w14:textId="77777777" w:rsidR="006343CE" w:rsidRPr="006343CE" w:rsidRDefault="006343CE" w:rsidP="001B2A30">
            <w:pPr>
              <w:pStyle w:val="Tabletext1"/>
              <w:rPr>
                <w:b/>
              </w:rPr>
            </w:pPr>
            <w:r w:rsidRPr="006343CE">
              <w:rPr>
                <w:b/>
                <w:color w:val="0070C0"/>
              </w:rPr>
              <w:t>?</w:t>
            </w:r>
          </w:p>
        </w:tc>
        <w:tc>
          <w:tcPr>
            <w:tcW w:w="972" w:type="dxa"/>
          </w:tcPr>
          <w:p w14:paraId="530511C4" w14:textId="77777777" w:rsidR="006343CE" w:rsidRPr="006343CE" w:rsidRDefault="006343CE" w:rsidP="001B2A30">
            <w:pPr>
              <w:pStyle w:val="Tabletext1"/>
              <w:rPr>
                <w:b/>
              </w:rPr>
            </w:pPr>
            <w:r w:rsidRPr="006343CE">
              <w:rPr>
                <w:b/>
                <w:color w:val="0070C0"/>
              </w:rPr>
              <w:t>?</w:t>
            </w:r>
          </w:p>
        </w:tc>
        <w:tc>
          <w:tcPr>
            <w:tcW w:w="972" w:type="dxa"/>
          </w:tcPr>
          <w:p w14:paraId="04876047" w14:textId="77777777" w:rsidR="006343CE" w:rsidRPr="006343CE" w:rsidRDefault="006343CE" w:rsidP="001B2A30">
            <w:pPr>
              <w:pStyle w:val="Tabletext1"/>
              <w:rPr>
                <w:b/>
              </w:rPr>
            </w:pPr>
            <w:r w:rsidRPr="006343CE">
              <w:rPr>
                <w:b/>
                <w:color w:val="0070C0"/>
              </w:rPr>
              <w:t>?</w:t>
            </w:r>
          </w:p>
        </w:tc>
      </w:tr>
      <w:tr w:rsidR="006343CE" w:rsidRPr="006343CE" w14:paraId="671ED0E0" w14:textId="77777777" w:rsidTr="005F1001">
        <w:trPr>
          <w:trHeight w:val="138"/>
        </w:trPr>
        <w:tc>
          <w:tcPr>
            <w:tcW w:w="2410" w:type="dxa"/>
          </w:tcPr>
          <w:p w14:paraId="0880F0EF" w14:textId="77777777" w:rsidR="006343CE" w:rsidRPr="006343CE" w:rsidRDefault="006343CE" w:rsidP="001B2A30">
            <w:pPr>
              <w:pStyle w:val="Tabletext1"/>
              <w:rPr>
                <w:lang w:eastAsia="en-GB"/>
              </w:rPr>
            </w:pPr>
            <w:r w:rsidRPr="006343CE">
              <w:rPr>
                <w:lang w:eastAsia="en-GB"/>
              </w:rPr>
              <w:t>Nielsen et al. (2013)</w:t>
            </w:r>
          </w:p>
        </w:tc>
        <w:tc>
          <w:tcPr>
            <w:tcW w:w="972" w:type="dxa"/>
          </w:tcPr>
          <w:p w14:paraId="55A7B233" w14:textId="77777777" w:rsidR="006343CE" w:rsidRPr="006343CE" w:rsidRDefault="006343CE" w:rsidP="001B2A30">
            <w:pPr>
              <w:pStyle w:val="Tabletext1"/>
              <w:rPr>
                <w:b/>
              </w:rPr>
            </w:pPr>
            <w:r w:rsidRPr="006343CE">
              <w:rPr>
                <w:b/>
                <w:color w:val="00B050"/>
              </w:rPr>
              <w:sym w:font="Wingdings" w:char="F04A"/>
            </w:r>
          </w:p>
        </w:tc>
        <w:tc>
          <w:tcPr>
            <w:tcW w:w="972" w:type="dxa"/>
          </w:tcPr>
          <w:p w14:paraId="1D6C4345" w14:textId="77777777" w:rsidR="006343CE" w:rsidRPr="006343CE" w:rsidRDefault="006343CE" w:rsidP="001B2A30">
            <w:pPr>
              <w:pStyle w:val="Tabletext1"/>
              <w:rPr>
                <w:b/>
              </w:rPr>
            </w:pPr>
            <w:r w:rsidRPr="006343CE">
              <w:rPr>
                <w:b/>
                <w:color w:val="0070C0"/>
              </w:rPr>
              <w:t>?</w:t>
            </w:r>
          </w:p>
        </w:tc>
        <w:tc>
          <w:tcPr>
            <w:tcW w:w="972" w:type="dxa"/>
          </w:tcPr>
          <w:p w14:paraId="5D5D6164" w14:textId="77777777" w:rsidR="006343CE" w:rsidRPr="006343CE" w:rsidRDefault="006343CE" w:rsidP="001B2A30">
            <w:pPr>
              <w:pStyle w:val="Tabletext1"/>
              <w:rPr>
                <w:b/>
              </w:rPr>
            </w:pPr>
            <w:r w:rsidRPr="006343CE">
              <w:rPr>
                <w:b/>
                <w:color w:val="00B050"/>
              </w:rPr>
              <w:sym w:font="Wingdings" w:char="F04A"/>
            </w:r>
          </w:p>
        </w:tc>
        <w:tc>
          <w:tcPr>
            <w:tcW w:w="972" w:type="dxa"/>
          </w:tcPr>
          <w:p w14:paraId="626E236D" w14:textId="77777777" w:rsidR="006343CE" w:rsidRPr="006343CE" w:rsidRDefault="006343CE" w:rsidP="001B2A30">
            <w:pPr>
              <w:pStyle w:val="Tabletext1"/>
            </w:pPr>
            <w:r w:rsidRPr="006343CE">
              <w:t>ND</w:t>
            </w:r>
          </w:p>
        </w:tc>
        <w:tc>
          <w:tcPr>
            <w:tcW w:w="972" w:type="dxa"/>
          </w:tcPr>
          <w:p w14:paraId="3651EE3B" w14:textId="77777777" w:rsidR="006343CE" w:rsidRPr="006343CE" w:rsidRDefault="006343CE" w:rsidP="001B2A30">
            <w:pPr>
              <w:pStyle w:val="Tabletext1"/>
            </w:pPr>
            <w:r w:rsidRPr="006343CE">
              <w:t>ND</w:t>
            </w:r>
          </w:p>
        </w:tc>
        <w:tc>
          <w:tcPr>
            <w:tcW w:w="972" w:type="dxa"/>
          </w:tcPr>
          <w:p w14:paraId="002D1AEA" w14:textId="77777777" w:rsidR="006343CE" w:rsidRPr="006343CE" w:rsidRDefault="006343CE" w:rsidP="001B2A30">
            <w:pPr>
              <w:pStyle w:val="Tabletext1"/>
            </w:pPr>
            <w:r w:rsidRPr="006343CE">
              <w:t>ND</w:t>
            </w:r>
          </w:p>
        </w:tc>
        <w:tc>
          <w:tcPr>
            <w:tcW w:w="972" w:type="dxa"/>
          </w:tcPr>
          <w:p w14:paraId="5D6E2F70" w14:textId="77777777" w:rsidR="006343CE" w:rsidRPr="006343CE" w:rsidRDefault="006343CE" w:rsidP="001B2A30">
            <w:pPr>
              <w:pStyle w:val="Tabletext1"/>
            </w:pPr>
            <w:r w:rsidRPr="006343CE">
              <w:t>ND</w:t>
            </w:r>
          </w:p>
        </w:tc>
      </w:tr>
      <w:tr w:rsidR="006343CE" w:rsidRPr="006343CE" w14:paraId="2B01024E" w14:textId="77777777" w:rsidTr="005F1001">
        <w:trPr>
          <w:trHeight w:val="138"/>
        </w:trPr>
        <w:tc>
          <w:tcPr>
            <w:tcW w:w="2410" w:type="dxa"/>
          </w:tcPr>
          <w:p w14:paraId="24400CE6" w14:textId="77777777" w:rsidR="006343CE" w:rsidRPr="006343CE" w:rsidRDefault="006343CE" w:rsidP="001B2A30">
            <w:pPr>
              <w:pStyle w:val="Tabletext1"/>
              <w:rPr>
                <w:lang w:eastAsia="en-GB"/>
              </w:rPr>
            </w:pPr>
            <w:r w:rsidRPr="006343CE">
              <w:rPr>
                <w:lang w:eastAsia="en-GB"/>
              </w:rPr>
              <w:t>Paradisi et al. (2016)</w:t>
            </w:r>
          </w:p>
        </w:tc>
        <w:tc>
          <w:tcPr>
            <w:tcW w:w="972" w:type="dxa"/>
          </w:tcPr>
          <w:p w14:paraId="483BA022" w14:textId="77777777" w:rsidR="006343CE" w:rsidRPr="006343CE" w:rsidRDefault="006343CE" w:rsidP="001B2A30">
            <w:pPr>
              <w:pStyle w:val="Tabletext1"/>
              <w:rPr>
                <w:b/>
              </w:rPr>
            </w:pPr>
            <w:r w:rsidRPr="006343CE">
              <w:rPr>
                <w:b/>
                <w:color w:val="00B050"/>
              </w:rPr>
              <w:sym w:font="Wingdings" w:char="F04A"/>
            </w:r>
          </w:p>
        </w:tc>
        <w:tc>
          <w:tcPr>
            <w:tcW w:w="972" w:type="dxa"/>
          </w:tcPr>
          <w:p w14:paraId="327B0441" w14:textId="77777777" w:rsidR="006343CE" w:rsidRPr="006343CE" w:rsidRDefault="006343CE" w:rsidP="001B2A30">
            <w:pPr>
              <w:pStyle w:val="Tabletext1"/>
              <w:rPr>
                <w:b/>
              </w:rPr>
            </w:pPr>
            <w:r w:rsidRPr="006343CE">
              <w:rPr>
                <w:b/>
                <w:color w:val="0070C0"/>
              </w:rPr>
              <w:t>?</w:t>
            </w:r>
          </w:p>
        </w:tc>
        <w:tc>
          <w:tcPr>
            <w:tcW w:w="972" w:type="dxa"/>
          </w:tcPr>
          <w:p w14:paraId="345F0B87" w14:textId="77777777" w:rsidR="006343CE" w:rsidRPr="006343CE" w:rsidRDefault="006343CE" w:rsidP="001B2A30">
            <w:pPr>
              <w:pStyle w:val="Tabletext1"/>
              <w:rPr>
                <w:b/>
              </w:rPr>
            </w:pPr>
            <w:r w:rsidRPr="006343CE">
              <w:rPr>
                <w:b/>
                <w:color w:val="00B050"/>
              </w:rPr>
              <w:sym w:font="Wingdings" w:char="F04A"/>
            </w:r>
          </w:p>
        </w:tc>
        <w:tc>
          <w:tcPr>
            <w:tcW w:w="972" w:type="dxa"/>
          </w:tcPr>
          <w:p w14:paraId="3D4A12AF" w14:textId="77777777" w:rsidR="006343CE" w:rsidRPr="006343CE" w:rsidRDefault="006343CE" w:rsidP="001B2A30">
            <w:pPr>
              <w:pStyle w:val="Tabletext1"/>
            </w:pPr>
            <w:r w:rsidRPr="006343CE">
              <w:t>ND</w:t>
            </w:r>
          </w:p>
        </w:tc>
        <w:tc>
          <w:tcPr>
            <w:tcW w:w="972" w:type="dxa"/>
          </w:tcPr>
          <w:p w14:paraId="5DBB98D7" w14:textId="77777777" w:rsidR="006343CE" w:rsidRPr="006343CE" w:rsidRDefault="006343CE" w:rsidP="001B2A30">
            <w:pPr>
              <w:pStyle w:val="Tabletext1"/>
              <w:rPr>
                <w:b/>
              </w:rPr>
            </w:pPr>
            <w:r w:rsidRPr="006343CE">
              <w:rPr>
                <w:b/>
                <w:color w:val="0070C0"/>
              </w:rPr>
              <w:t>?</w:t>
            </w:r>
          </w:p>
        </w:tc>
        <w:tc>
          <w:tcPr>
            <w:tcW w:w="972" w:type="dxa"/>
          </w:tcPr>
          <w:p w14:paraId="00E36513" w14:textId="77777777" w:rsidR="006343CE" w:rsidRPr="006343CE" w:rsidRDefault="006343CE" w:rsidP="001B2A30">
            <w:pPr>
              <w:pStyle w:val="Tabletext1"/>
              <w:rPr>
                <w:b/>
              </w:rPr>
            </w:pPr>
            <w:r w:rsidRPr="006343CE">
              <w:rPr>
                <w:b/>
                <w:color w:val="0070C0"/>
              </w:rPr>
              <w:t>?</w:t>
            </w:r>
          </w:p>
        </w:tc>
        <w:tc>
          <w:tcPr>
            <w:tcW w:w="972" w:type="dxa"/>
          </w:tcPr>
          <w:p w14:paraId="2EA92BC5" w14:textId="77777777" w:rsidR="006343CE" w:rsidRPr="006343CE" w:rsidRDefault="006343CE" w:rsidP="001B2A30">
            <w:pPr>
              <w:pStyle w:val="Tabletext1"/>
              <w:rPr>
                <w:b/>
              </w:rPr>
            </w:pPr>
            <w:r w:rsidRPr="006343CE">
              <w:rPr>
                <w:b/>
                <w:color w:val="0070C0"/>
              </w:rPr>
              <w:t>?</w:t>
            </w:r>
          </w:p>
        </w:tc>
      </w:tr>
      <w:tr w:rsidR="006343CE" w:rsidRPr="006343CE" w14:paraId="4B040039" w14:textId="77777777" w:rsidTr="005F1001">
        <w:trPr>
          <w:trHeight w:val="138"/>
        </w:trPr>
        <w:tc>
          <w:tcPr>
            <w:tcW w:w="2410" w:type="dxa"/>
          </w:tcPr>
          <w:p w14:paraId="60C2323A" w14:textId="77777777" w:rsidR="006343CE" w:rsidRPr="006343CE" w:rsidRDefault="006343CE" w:rsidP="001B2A30">
            <w:pPr>
              <w:pStyle w:val="Tabletext1"/>
              <w:rPr>
                <w:lang w:eastAsia="en-GB"/>
              </w:rPr>
            </w:pPr>
            <w:r w:rsidRPr="006343CE">
              <w:rPr>
                <w:lang w:eastAsia="en-GB"/>
              </w:rPr>
              <w:t>Partridge et al. (2010)</w:t>
            </w:r>
          </w:p>
        </w:tc>
        <w:tc>
          <w:tcPr>
            <w:tcW w:w="972" w:type="dxa"/>
          </w:tcPr>
          <w:p w14:paraId="150DD2FF" w14:textId="77777777" w:rsidR="006343CE" w:rsidRPr="006343CE" w:rsidRDefault="006343CE" w:rsidP="001B2A30">
            <w:pPr>
              <w:pStyle w:val="Tabletext1"/>
              <w:rPr>
                <w:b/>
              </w:rPr>
            </w:pPr>
            <w:r w:rsidRPr="006343CE">
              <w:rPr>
                <w:b/>
                <w:color w:val="00B050"/>
              </w:rPr>
              <w:sym w:font="Wingdings" w:char="F04A"/>
            </w:r>
          </w:p>
        </w:tc>
        <w:tc>
          <w:tcPr>
            <w:tcW w:w="972" w:type="dxa"/>
          </w:tcPr>
          <w:p w14:paraId="4E643C6E" w14:textId="77777777" w:rsidR="006343CE" w:rsidRPr="006343CE" w:rsidRDefault="006343CE" w:rsidP="001B2A30">
            <w:pPr>
              <w:pStyle w:val="Tabletext1"/>
              <w:rPr>
                <w:b/>
              </w:rPr>
            </w:pPr>
            <w:r w:rsidRPr="006343CE">
              <w:rPr>
                <w:b/>
                <w:color w:val="0070C0"/>
              </w:rPr>
              <w:t>?</w:t>
            </w:r>
          </w:p>
        </w:tc>
        <w:tc>
          <w:tcPr>
            <w:tcW w:w="972" w:type="dxa"/>
          </w:tcPr>
          <w:p w14:paraId="766F1FD9" w14:textId="77777777" w:rsidR="006343CE" w:rsidRPr="006343CE" w:rsidRDefault="006343CE" w:rsidP="001B2A30">
            <w:pPr>
              <w:pStyle w:val="Tabletext1"/>
              <w:rPr>
                <w:b/>
              </w:rPr>
            </w:pPr>
            <w:r w:rsidRPr="006343CE">
              <w:rPr>
                <w:b/>
                <w:color w:val="00B050"/>
              </w:rPr>
              <w:sym w:font="Wingdings" w:char="F04A"/>
            </w:r>
          </w:p>
        </w:tc>
        <w:tc>
          <w:tcPr>
            <w:tcW w:w="972" w:type="dxa"/>
          </w:tcPr>
          <w:p w14:paraId="2025CA82" w14:textId="77777777" w:rsidR="006343CE" w:rsidRPr="006343CE" w:rsidRDefault="006343CE" w:rsidP="001B2A30">
            <w:pPr>
              <w:pStyle w:val="Tabletext1"/>
            </w:pPr>
            <w:r w:rsidRPr="006343CE">
              <w:t>ND</w:t>
            </w:r>
          </w:p>
        </w:tc>
        <w:tc>
          <w:tcPr>
            <w:tcW w:w="972" w:type="dxa"/>
          </w:tcPr>
          <w:p w14:paraId="64D6AEAC" w14:textId="77777777" w:rsidR="006343CE" w:rsidRPr="006343CE" w:rsidRDefault="006343CE" w:rsidP="001B2A30">
            <w:pPr>
              <w:pStyle w:val="Tabletext1"/>
            </w:pPr>
            <w:r w:rsidRPr="006343CE">
              <w:t>ND</w:t>
            </w:r>
          </w:p>
        </w:tc>
        <w:tc>
          <w:tcPr>
            <w:tcW w:w="972" w:type="dxa"/>
          </w:tcPr>
          <w:p w14:paraId="1AF7E756" w14:textId="77777777" w:rsidR="006343CE" w:rsidRPr="006343CE" w:rsidRDefault="006343CE" w:rsidP="001B2A30">
            <w:pPr>
              <w:pStyle w:val="Tabletext1"/>
            </w:pPr>
            <w:r w:rsidRPr="006343CE">
              <w:t>ND</w:t>
            </w:r>
          </w:p>
        </w:tc>
        <w:tc>
          <w:tcPr>
            <w:tcW w:w="972" w:type="dxa"/>
          </w:tcPr>
          <w:p w14:paraId="33728278" w14:textId="77777777" w:rsidR="006343CE" w:rsidRPr="006343CE" w:rsidRDefault="006343CE" w:rsidP="001B2A30">
            <w:pPr>
              <w:pStyle w:val="Tabletext1"/>
            </w:pPr>
            <w:r w:rsidRPr="006343CE">
              <w:t>ND</w:t>
            </w:r>
          </w:p>
        </w:tc>
      </w:tr>
      <w:tr w:rsidR="006343CE" w:rsidRPr="006343CE" w14:paraId="69D3CE78" w14:textId="77777777" w:rsidTr="005F1001">
        <w:trPr>
          <w:trHeight w:val="138"/>
        </w:trPr>
        <w:tc>
          <w:tcPr>
            <w:tcW w:w="2410" w:type="dxa"/>
          </w:tcPr>
          <w:p w14:paraId="7389613F" w14:textId="77777777" w:rsidR="006343CE" w:rsidRPr="006343CE" w:rsidRDefault="006343CE" w:rsidP="001B2A30">
            <w:pPr>
              <w:pStyle w:val="Tabletext1"/>
              <w:rPr>
                <w:lang w:eastAsia="en-GB"/>
              </w:rPr>
            </w:pPr>
            <w:r w:rsidRPr="006343CE">
              <w:rPr>
                <w:lang w:eastAsia="en-GB"/>
              </w:rPr>
              <w:t>van Beek et al. (2007)</w:t>
            </w:r>
          </w:p>
        </w:tc>
        <w:tc>
          <w:tcPr>
            <w:tcW w:w="972" w:type="dxa"/>
          </w:tcPr>
          <w:p w14:paraId="7864A638" w14:textId="77777777" w:rsidR="006343CE" w:rsidRPr="006343CE" w:rsidRDefault="006343CE" w:rsidP="001B2A30">
            <w:pPr>
              <w:pStyle w:val="Tabletext1"/>
              <w:rPr>
                <w:b/>
              </w:rPr>
            </w:pPr>
            <w:r w:rsidRPr="006343CE">
              <w:rPr>
                <w:b/>
                <w:color w:val="00B050"/>
              </w:rPr>
              <w:sym w:font="Wingdings" w:char="F04A"/>
            </w:r>
          </w:p>
        </w:tc>
        <w:tc>
          <w:tcPr>
            <w:tcW w:w="972" w:type="dxa"/>
          </w:tcPr>
          <w:p w14:paraId="4849A7C2" w14:textId="77777777" w:rsidR="006343CE" w:rsidRPr="006343CE" w:rsidRDefault="006343CE" w:rsidP="001B2A30">
            <w:pPr>
              <w:pStyle w:val="Tabletext1"/>
              <w:rPr>
                <w:b/>
              </w:rPr>
            </w:pPr>
            <w:r w:rsidRPr="006343CE">
              <w:rPr>
                <w:b/>
                <w:color w:val="00B050"/>
              </w:rPr>
              <w:sym w:font="Wingdings" w:char="F04A"/>
            </w:r>
          </w:p>
        </w:tc>
        <w:tc>
          <w:tcPr>
            <w:tcW w:w="972" w:type="dxa"/>
          </w:tcPr>
          <w:p w14:paraId="4CB5893B" w14:textId="77777777" w:rsidR="006343CE" w:rsidRPr="006343CE" w:rsidRDefault="006343CE" w:rsidP="001B2A30">
            <w:pPr>
              <w:pStyle w:val="Tabletext1"/>
            </w:pPr>
            <w:r w:rsidRPr="006343CE">
              <w:t>ND</w:t>
            </w:r>
          </w:p>
        </w:tc>
        <w:tc>
          <w:tcPr>
            <w:tcW w:w="972" w:type="dxa"/>
          </w:tcPr>
          <w:p w14:paraId="6B5E6869" w14:textId="77777777" w:rsidR="006343CE" w:rsidRPr="006343CE" w:rsidRDefault="006343CE" w:rsidP="001B2A30">
            <w:pPr>
              <w:pStyle w:val="Tabletext1"/>
            </w:pPr>
            <w:r w:rsidRPr="006343CE">
              <w:t>ND</w:t>
            </w:r>
          </w:p>
        </w:tc>
        <w:tc>
          <w:tcPr>
            <w:tcW w:w="972" w:type="dxa"/>
          </w:tcPr>
          <w:p w14:paraId="1FD86507" w14:textId="77777777" w:rsidR="006343CE" w:rsidRPr="006343CE" w:rsidRDefault="006343CE" w:rsidP="001B2A30">
            <w:pPr>
              <w:pStyle w:val="Tabletext1"/>
              <w:rPr>
                <w:b/>
              </w:rPr>
            </w:pPr>
            <w:r w:rsidRPr="006343CE">
              <w:rPr>
                <w:b/>
                <w:color w:val="0070C0"/>
              </w:rPr>
              <w:t>?</w:t>
            </w:r>
          </w:p>
        </w:tc>
        <w:tc>
          <w:tcPr>
            <w:tcW w:w="972" w:type="dxa"/>
          </w:tcPr>
          <w:p w14:paraId="4BA89223" w14:textId="77777777" w:rsidR="006343CE" w:rsidRPr="006343CE" w:rsidRDefault="006343CE" w:rsidP="001B2A30">
            <w:pPr>
              <w:pStyle w:val="Tabletext1"/>
            </w:pPr>
            <w:r w:rsidRPr="006343CE">
              <w:t>ND</w:t>
            </w:r>
          </w:p>
        </w:tc>
        <w:tc>
          <w:tcPr>
            <w:tcW w:w="972" w:type="dxa"/>
          </w:tcPr>
          <w:p w14:paraId="1CFB2554" w14:textId="77777777" w:rsidR="006343CE" w:rsidRPr="006343CE" w:rsidRDefault="006343CE" w:rsidP="001B2A30">
            <w:pPr>
              <w:pStyle w:val="Tabletext1"/>
              <w:rPr>
                <w:b/>
              </w:rPr>
            </w:pPr>
            <w:r w:rsidRPr="006343CE">
              <w:rPr>
                <w:b/>
                <w:color w:val="0070C0"/>
              </w:rPr>
              <w:t>?</w:t>
            </w:r>
          </w:p>
        </w:tc>
      </w:tr>
    </w:tbl>
    <w:p w14:paraId="7DA4D251" w14:textId="21273958" w:rsidR="006343CE" w:rsidRDefault="006343CE" w:rsidP="008A7CC1">
      <w:pPr>
        <w:widowControl w:val="0"/>
        <w:contextualSpacing/>
        <w:jc w:val="both"/>
        <w:rPr>
          <w:rFonts w:ascii="Arial Narrow" w:hAnsi="Arial Narrow" w:cs="Arial"/>
          <w:snapToGrid w:val="0"/>
          <w:sz w:val="18"/>
          <w:szCs w:val="20"/>
          <w:lang w:eastAsia="en-US"/>
        </w:rPr>
      </w:pPr>
      <w:r w:rsidRPr="006343CE">
        <w:rPr>
          <w:rFonts w:ascii="Arial Narrow" w:hAnsi="Arial Narrow" w:cs="Arial"/>
          <w:snapToGrid w:val="0"/>
          <w:color w:val="00B050"/>
          <w:sz w:val="18"/>
          <w:szCs w:val="20"/>
          <w:lang w:eastAsia="en-US"/>
        </w:rPr>
        <w:sym w:font="Wingdings" w:char="F04A"/>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low risk</w:t>
      </w:r>
      <w:r w:rsidRPr="006343CE">
        <w:rPr>
          <w:rFonts w:ascii="Arial Narrow" w:hAnsi="Arial Narrow" w:cs="Arial"/>
          <w:snapToGrid w:val="0"/>
          <w:sz w:val="18"/>
          <w:szCs w:val="20"/>
          <w:lang w:eastAsia="en-US"/>
        </w:rPr>
        <w:t xml:space="preserve">; </w:t>
      </w:r>
      <w:r w:rsidRPr="006343CE">
        <w:rPr>
          <w:rFonts w:ascii="Arial Narrow" w:hAnsi="Arial Narrow" w:cs="Arial"/>
          <w:snapToGrid w:val="0"/>
          <w:color w:val="FF0000"/>
          <w:sz w:val="18"/>
          <w:szCs w:val="20"/>
          <w:lang w:eastAsia="en-US"/>
        </w:rPr>
        <w:sym w:font="Wingdings" w:char="F04C"/>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high risk</w:t>
      </w:r>
      <w:r w:rsidRPr="006343CE">
        <w:rPr>
          <w:rFonts w:ascii="Arial Narrow" w:hAnsi="Arial Narrow" w:cs="Arial"/>
          <w:snapToGrid w:val="0"/>
          <w:sz w:val="18"/>
          <w:szCs w:val="20"/>
          <w:lang w:eastAsia="en-US"/>
        </w:rPr>
        <w:t>;</w:t>
      </w:r>
      <w:r w:rsidRPr="006343CE">
        <w:rPr>
          <w:rFonts w:ascii="Arial Narrow" w:hAnsi="Arial Narrow" w:cs="Arial"/>
          <w:b/>
          <w:snapToGrid w:val="0"/>
          <w:color w:val="0070C0"/>
          <w:sz w:val="18"/>
          <w:szCs w:val="20"/>
          <w:lang w:eastAsia="en-US"/>
        </w:rPr>
        <w:t>?</w:t>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unclear risk</w:t>
      </w:r>
      <w:r w:rsidRPr="006343CE">
        <w:rPr>
          <w:rFonts w:ascii="Arial Narrow" w:hAnsi="Arial Narrow" w:cs="Arial"/>
          <w:snapToGrid w:val="0"/>
          <w:sz w:val="18"/>
          <w:szCs w:val="20"/>
          <w:lang w:eastAsia="en-US"/>
        </w:rPr>
        <w:t>; ND = not done</w:t>
      </w:r>
    </w:p>
    <w:p w14:paraId="37256FE0" w14:textId="70637508" w:rsidR="006343CE" w:rsidRPr="006343CE" w:rsidRDefault="006343CE" w:rsidP="005F1001">
      <w:pPr>
        <w:pStyle w:val="TableHeading"/>
        <w:ind w:left="1134" w:hanging="1134"/>
      </w:pPr>
      <w:bookmarkStart w:id="230" w:name="_Ref494113061"/>
      <w:bookmarkStart w:id="231" w:name="_Toc502833045"/>
      <w:r w:rsidRPr="006343CE">
        <w:t xml:space="preserve">Table </w:t>
      </w:r>
      <w:r w:rsidR="00AC4BE5">
        <w:fldChar w:fldCharType="begin"/>
      </w:r>
      <w:r w:rsidR="00AC4BE5">
        <w:instrText xml:space="preserve"> SEQ Table \* ARABIC </w:instrText>
      </w:r>
      <w:r w:rsidR="00AC4BE5">
        <w:fldChar w:fldCharType="separate"/>
      </w:r>
      <w:r w:rsidR="00AC4BE5">
        <w:rPr>
          <w:noProof/>
        </w:rPr>
        <w:t>27</w:t>
      </w:r>
      <w:r w:rsidR="00AC4BE5">
        <w:rPr>
          <w:noProof/>
        </w:rPr>
        <w:fldChar w:fldCharType="end"/>
      </w:r>
      <w:bookmarkEnd w:id="230"/>
      <w:r w:rsidR="00B532A4">
        <w:tab/>
        <w:t>Modified QUADAS-</w:t>
      </w:r>
      <w:r w:rsidRPr="006343CE">
        <w:t>2 risk of bias results for studies reporting the correlation between different AMH tests</w:t>
      </w:r>
      <w:bookmarkEnd w:id="231"/>
    </w:p>
    <w:tbl>
      <w:tblPr>
        <w:tblStyle w:val="TableGrid1"/>
        <w:tblW w:w="9214" w:type="dxa"/>
        <w:tblLayout w:type="fixed"/>
        <w:tblLook w:val="00A0" w:firstRow="1" w:lastRow="0" w:firstColumn="1" w:lastColumn="0" w:noHBand="0" w:noVBand="0"/>
        <w:tblDescription w:val="Modified QUADAS-2 risk of bias results for studies reporting the correlation between different AMH tests"/>
      </w:tblPr>
      <w:tblGrid>
        <w:gridCol w:w="1843"/>
        <w:gridCol w:w="1474"/>
        <w:gridCol w:w="1474"/>
        <w:gridCol w:w="1474"/>
        <w:gridCol w:w="1474"/>
        <w:gridCol w:w="1475"/>
      </w:tblGrid>
      <w:tr w:rsidR="006343CE" w:rsidRPr="006343CE" w14:paraId="4D41DE76" w14:textId="77777777" w:rsidTr="005F1001">
        <w:trPr>
          <w:cnfStyle w:val="100000000000" w:firstRow="1" w:lastRow="0" w:firstColumn="0" w:lastColumn="0" w:oddVBand="0" w:evenVBand="0" w:oddHBand="0" w:evenHBand="0" w:firstRowFirstColumn="0" w:firstRowLastColumn="0" w:lastRowFirstColumn="0" w:lastRowLastColumn="0"/>
          <w:trHeight w:val="295"/>
          <w:tblHeader/>
        </w:trPr>
        <w:tc>
          <w:tcPr>
            <w:tcW w:w="1843" w:type="dxa"/>
          </w:tcPr>
          <w:p w14:paraId="3241C75B" w14:textId="77777777" w:rsidR="006343CE" w:rsidRPr="006343CE" w:rsidRDefault="006343CE" w:rsidP="006343CE">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Study</w:t>
            </w:r>
          </w:p>
        </w:tc>
        <w:tc>
          <w:tcPr>
            <w:tcW w:w="1474" w:type="dxa"/>
          </w:tcPr>
          <w:p w14:paraId="2089C5E0" w14:textId="77777777" w:rsidR="006343CE" w:rsidRPr="006343CE" w:rsidRDefault="006343CE" w:rsidP="006343CE">
            <w:pPr>
              <w:spacing w:after="40" w:line="240" w:lineRule="auto"/>
              <w:ind w:left="-57" w:right="-57"/>
              <w:jc w:val="center"/>
              <w:rPr>
                <w:rFonts w:ascii="Arial Narrow" w:hAnsi="Arial Narrow" w:cs="Calibri"/>
                <w:b/>
                <w:sz w:val="20"/>
                <w:lang w:eastAsia="en-GB"/>
              </w:rPr>
            </w:pPr>
            <w:r w:rsidRPr="006343CE">
              <w:rPr>
                <w:rFonts w:ascii="Arial Narrow" w:hAnsi="Arial Narrow" w:cs="Calibri"/>
                <w:b/>
                <w:sz w:val="20"/>
                <w:lang w:eastAsia="en-GB"/>
              </w:rPr>
              <w:t>Patient selection</w:t>
            </w:r>
          </w:p>
        </w:tc>
        <w:tc>
          <w:tcPr>
            <w:tcW w:w="1474" w:type="dxa"/>
          </w:tcPr>
          <w:p w14:paraId="6078F7B7" w14:textId="77777777" w:rsidR="006343CE" w:rsidRPr="006343CE" w:rsidRDefault="006343CE" w:rsidP="006343CE">
            <w:pPr>
              <w:spacing w:after="40" w:line="240" w:lineRule="auto"/>
              <w:ind w:left="-57" w:right="-57"/>
              <w:jc w:val="center"/>
              <w:rPr>
                <w:rFonts w:ascii="Arial Narrow" w:hAnsi="Arial Narrow" w:cs="Calibri"/>
                <w:b/>
                <w:sz w:val="20"/>
                <w:lang w:eastAsia="en-GB"/>
              </w:rPr>
            </w:pPr>
            <w:r w:rsidRPr="006343CE">
              <w:rPr>
                <w:rFonts w:ascii="Arial Narrow" w:hAnsi="Arial Narrow" w:cs="Calibri"/>
                <w:b/>
                <w:sz w:val="20"/>
                <w:lang w:eastAsia="en-GB"/>
              </w:rPr>
              <w:t>AMH Gen II ELISA</w:t>
            </w:r>
          </w:p>
        </w:tc>
        <w:tc>
          <w:tcPr>
            <w:tcW w:w="1474" w:type="dxa"/>
          </w:tcPr>
          <w:p w14:paraId="1BC4236A" w14:textId="77777777" w:rsidR="006343CE" w:rsidRPr="006343CE" w:rsidRDefault="006343CE" w:rsidP="006343CE">
            <w:pPr>
              <w:spacing w:after="40" w:line="240" w:lineRule="auto"/>
              <w:ind w:left="-57" w:right="-57"/>
              <w:jc w:val="center"/>
              <w:rPr>
                <w:rFonts w:ascii="Arial Narrow" w:hAnsi="Arial Narrow" w:cs="Calibri"/>
                <w:b/>
                <w:sz w:val="20"/>
                <w:lang w:eastAsia="en-GB"/>
              </w:rPr>
            </w:pPr>
            <w:r w:rsidRPr="006343CE">
              <w:rPr>
                <w:rFonts w:ascii="Arial Narrow" w:hAnsi="Arial Narrow" w:cs="Calibri"/>
                <w:b/>
                <w:sz w:val="20"/>
                <w:lang w:eastAsia="en-GB"/>
              </w:rPr>
              <w:t>Ansh Labs AMH ELISA</w:t>
            </w:r>
          </w:p>
        </w:tc>
        <w:tc>
          <w:tcPr>
            <w:tcW w:w="1474" w:type="dxa"/>
          </w:tcPr>
          <w:p w14:paraId="4E8F5D9E" w14:textId="77777777" w:rsidR="006343CE" w:rsidRPr="006343CE" w:rsidRDefault="006343CE" w:rsidP="006343CE">
            <w:pPr>
              <w:spacing w:after="40" w:line="240" w:lineRule="auto"/>
              <w:ind w:left="-57" w:right="-57"/>
              <w:jc w:val="center"/>
              <w:rPr>
                <w:rFonts w:ascii="Arial Narrow" w:hAnsi="Arial Narrow" w:cs="Calibri"/>
                <w:b/>
                <w:sz w:val="20"/>
                <w:lang w:eastAsia="en-GB"/>
              </w:rPr>
            </w:pPr>
            <w:r w:rsidRPr="006343CE">
              <w:rPr>
                <w:rFonts w:ascii="Arial Narrow" w:hAnsi="Arial Narrow" w:cs="Calibri"/>
                <w:b/>
                <w:sz w:val="20"/>
                <w:lang w:eastAsia="en-GB"/>
              </w:rPr>
              <w:t>Ultrasensitive AMH ELISA</w:t>
            </w:r>
          </w:p>
        </w:tc>
        <w:tc>
          <w:tcPr>
            <w:tcW w:w="1475" w:type="dxa"/>
          </w:tcPr>
          <w:p w14:paraId="6D075482" w14:textId="77777777" w:rsidR="006343CE" w:rsidRPr="006343CE" w:rsidRDefault="006343CE" w:rsidP="006343CE">
            <w:pPr>
              <w:spacing w:after="40" w:line="240" w:lineRule="auto"/>
              <w:ind w:left="-57" w:right="-57"/>
              <w:jc w:val="center"/>
              <w:rPr>
                <w:rFonts w:ascii="Arial Narrow" w:hAnsi="Arial Narrow" w:cs="Calibri"/>
                <w:b/>
                <w:sz w:val="20"/>
                <w:lang w:eastAsia="en-GB"/>
              </w:rPr>
            </w:pPr>
            <w:r w:rsidRPr="006343CE">
              <w:rPr>
                <w:rFonts w:ascii="Arial Narrow" w:hAnsi="Arial Narrow" w:cs="Calibri"/>
                <w:b/>
                <w:sz w:val="20"/>
                <w:lang w:eastAsia="en-GB"/>
              </w:rPr>
              <w:t>Pico-AMH ELISA</w:t>
            </w:r>
          </w:p>
        </w:tc>
      </w:tr>
      <w:tr w:rsidR="006343CE" w:rsidRPr="006343CE" w14:paraId="68924C27" w14:textId="77777777" w:rsidTr="005F1001">
        <w:trPr>
          <w:trHeight w:val="53"/>
        </w:trPr>
        <w:tc>
          <w:tcPr>
            <w:tcW w:w="1843" w:type="dxa"/>
          </w:tcPr>
          <w:p w14:paraId="7300299C" w14:textId="77777777" w:rsidR="006343CE" w:rsidRPr="006343CE" w:rsidRDefault="006343CE" w:rsidP="001B2A30">
            <w:pPr>
              <w:pStyle w:val="Tabletext1"/>
              <w:rPr>
                <w:lang w:eastAsia="en-GB"/>
              </w:rPr>
            </w:pPr>
            <w:r w:rsidRPr="006343CE">
              <w:rPr>
                <w:lang w:eastAsia="en-GB"/>
              </w:rPr>
              <w:t>de Souza et al. (2015)</w:t>
            </w:r>
          </w:p>
        </w:tc>
        <w:tc>
          <w:tcPr>
            <w:tcW w:w="1474" w:type="dxa"/>
          </w:tcPr>
          <w:p w14:paraId="68493038" w14:textId="77777777" w:rsidR="006343CE" w:rsidRPr="006343CE" w:rsidRDefault="006343CE" w:rsidP="001B2A30">
            <w:pPr>
              <w:pStyle w:val="Tabletext1"/>
              <w:rPr>
                <w:b/>
                <w:lang w:eastAsia="en-GB"/>
              </w:rPr>
            </w:pPr>
            <w:r w:rsidRPr="006343CE">
              <w:rPr>
                <w:b/>
                <w:color w:val="00B050"/>
              </w:rPr>
              <w:sym w:font="Wingdings" w:char="F04A"/>
            </w:r>
          </w:p>
        </w:tc>
        <w:tc>
          <w:tcPr>
            <w:tcW w:w="1474" w:type="dxa"/>
          </w:tcPr>
          <w:p w14:paraId="5ACBB992" w14:textId="77777777" w:rsidR="006343CE" w:rsidRPr="006343CE" w:rsidRDefault="006343CE" w:rsidP="001B2A30">
            <w:pPr>
              <w:pStyle w:val="Tabletext1"/>
              <w:rPr>
                <w:b/>
                <w:lang w:eastAsia="en-GB"/>
              </w:rPr>
            </w:pPr>
            <w:r w:rsidRPr="006343CE">
              <w:rPr>
                <w:b/>
                <w:color w:val="00B050"/>
              </w:rPr>
              <w:sym w:font="Wingdings" w:char="F04A"/>
            </w:r>
          </w:p>
        </w:tc>
        <w:tc>
          <w:tcPr>
            <w:tcW w:w="1474" w:type="dxa"/>
          </w:tcPr>
          <w:p w14:paraId="549AFF16" w14:textId="77777777" w:rsidR="006343CE" w:rsidRPr="006343CE" w:rsidRDefault="006343CE" w:rsidP="001B2A30">
            <w:pPr>
              <w:pStyle w:val="Tabletext1"/>
              <w:rPr>
                <w:b/>
                <w:lang w:eastAsia="en-GB"/>
              </w:rPr>
            </w:pPr>
            <w:r w:rsidRPr="006343CE">
              <w:rPr>
                <w:b/>
                <w:color w:val="00B050"/>
              </w:rPr>
              <w:sym w:font="Wingdings" w:char="F04A"/>
            </w:r>
          </w:p>
        </w:tc>
        <w:tc>
          <w:tcPr>
            <w:tcW w:w="1474" w:type="dxa"/>
          </w:tcPr>
          <w:p w14:paraId="5938E228" w14:textId="77777777" w:rsidR="006343CE" w:rsidRPr="006343CE" w:rsidRDefault="006343CE" w:rsidP="001B2A30">
            <w:pPr>
              <w:pStyle w:val="Tabletext1"/>
              <w:rPr>
                <w:lang w:eastAsia="en-GB"/>
              </w:rPr>
            </w:pPr>
            <w:r w:rsidRPr="006343CE">
              <w:rPr>
                <w:lang w:eastAsia="en-GB"/>
              </w:rPr>
              <w:t>ND</w:t>
            </w:r>
          </w:p>
        </w:tc>
        <w:tc>
          <w:tcPr>
            <w:tcW w:w="1475" w:type="dxa"/>
          </w:tcPr>
          <w:p w14:paraId="7648F956" w14:textId="77777777" w:rsidR="006343CE" w:rsidRPr="006343CE" w:rsidRDefault="006343CE" w:rsidP="001B2A30">
            <w:pPr>
              <w:pStyle w:val="Tabletext1"/>
              <w:rPr>
                <w:lang w:eastAsia="en-GB"/>
              </w:rPr>
            </w:pPr>
            <w:r w:rsidRPr="006343CE">
              <w:rPr>
                <w:lang w:eastAsia="en-GB"/>
              </w:rPr>
              <w:t>ND</w:t>
            </w:r>
          </w:p>
        </w:tc>
      </w:tr>
      <w:tr w:rsidR="006343CE" w:rsidRPr="006343CE" w14:paraId="77469585" w14:textId="77777777" w:rsidTr="005F1001">
        <w:trPr>
          <w:trHeight w:val="138"/>
        </w:trPr>
        <w:tc>
          <w:tcPr>
            <w:tcW w:w="1843" w:type="dxa"/>
          </w:tcPr>
          <w:p w14:paraId="4F80745F" w14:textId="77777777" w:rsidR="006343CE" w:rsidRPr="006343CE" w:rsidRDefault="006343CE" w:rsidP="001B2A30">
            <w:pPr>
              <w:pStyle w:val="Tabletext1"/>
              <w:rPr>
                <w:lang w:eastAsia="en-GB"/>
              </w:rPr>
            </w:pPr>
            <w:r w:rsidRPr="006343CE">
              <w:rPr>
                <w:lang w:eastAsia="en-GB"/>
              </w:rPr>
              <w:t>Su et al. (2014)</w:t>
            </w:r>
          </w:p>
        </w:tc>
        <w:tc>
          <w:tcPr>
            <w:tcW w:w="1474" w:type="dxa"/>
          </w:tcPr>
          <w:p w14:paraId="0DFD3230" w14:textId="77777777" w:rsidR="006343CE" w:rsidRPr="006343CE" w:rsidRDefault="006343CE" w:rsidP="001B2A30">
            <w:pPr>
              <w:pStyle w:val="Tabletext1"/>
              <w:rPr>
                <w:b/>
                <w:lang w:eastAsia="en-GB"/>
              </w:rPr>
            </w:pPr>
            <w:r w:rsidRPr="006343CE">
              <w:rPr>
                <w:b/>
                <w:color w:val="00B050"/>
              </w:rPr>
              <w:sym w:font="Wingdings" w:char="F04A"/>
            </w:r>
          </w:p>
        </w:tc>
        <w:tc>
          <w:tcPr>
            <w:tcW w:w="1474" w:type="dxa"/>
          </w:tcPr>
          <w:p w14:paraId="457B0E77" w14:textId="77777777" w:rsidR="006343CE" w:rsidRPr="006343CE" w:rsidRDefault="006343CE" w:rsidP="001B2A30">
            <w:pPr>
              <w:pStyle w:val="Tabletext1"/>
              <w:rPr>
                <w:b/>
                <w:lang w:eastAsia="en-GB"/>
              </w:rPr>
            </w:pPr>
            <w:r w:rsidRPr="006343CE">
              <w:rPr>
                <w:b/>
                <w:color w:val="00B050"/>
              </w:rPr>
              <w:sym w:font="Wingdings" w:char="F04A"/>
            </w:r>
          </w:p>
        </w:tc>
        <w:tc>
          <w:tcPr>
            <w:tcW w:w="1474" w:type="dxa"/>
          </w:tcPr>
          <w:p w14:paraId="1CE6B975" w14:textId="77777777" w:rsidR="006343CE" w:rsidRPr="006343CE" w:rsidRDefault="006343CE" w:rsidP="001B2A30">
            <w:pPr>
              <w:pStyle w:val="Tabletext1"/>
              <w:rPr>
                <w:lang w:eastAsia="en-GB"/>
              </w:rPr>
            </w:pPr>
            <w:r w:rsidRPr="006343CE">
              <w:rPr>
                <w:lang w:eastAsia="en-GB"/>
              </w:rPr>
              <w:t>ND</w:t>
            </w:r>
          </w:p>
        </w:tc>
        <w:tc>
          <w:tcPr>
            <w:tcW w:w="1474" w:type="dxa"/>
          </w:tcPr>
          <w:p w14:paraId="5A658941" w14:textId="77777777" w:rsidR="006343CE" w:rsidRPr="006343CE" w:rsidRDefault="006343CE" w:rsidP="001B2A30">
            <w:pPr>
              <w:pStyle w:val="Tabletext1"/>
              <w:rPr>
                <w:b/>
                <w:lang w:eastAsia="en-GB"/>
              </w:rPr>
            </w:pPr>
            <w:r w:rsidRPr="006343CE">
              <w:rPr>
                <w:b/>
                <w:color w:val="0070C0"/>
              </w:rPr>
              <w:t>?</w:t>
            </w:r>
          </w:p>
        </w:tc>
        <w:tc>
          <w:tcPr>
            <w:tcW w:w="1475" w:type="dxa"/>
          </w:tcPr>
          <w:p w14:paraId="044F74F5" w14:textId="77777777" w:rsidR="006343CE" w:rsidRPr="006343CE" w:rsidRDefault="006343CE" w:rsidP="001B2A30">
            <w:pPr>
              <w:pStyle w:val="Tabletext1"/>
              <w:rPr>
                <w:b/>
                <w:lang w:eastAsia="en-GB"/>
              </w:rPr>
            </w:pPr>
            <w:r w:rsidRPr="006343CE">
              <w:rPr>
                <w:b/>
                <w:color w:val="0070C0"/>
              </w:rPr>
              <w:t>?</w:t>
            </w:r>
          </w:p>
        </w:tc>
      </w:tr>
    </w:tbl>
    <w:p w14:paraId="69E30A32" w14:textId="78CFA268" w:rsidR="006343CE" w:rsidRPr="006343CE" w:rsidRDefault="006343CE" w:rsidP="006343CE">
      <w:pPr>
        <w:widowControl w:val="0"/>
        <w:spacing w:line="240" w:lineRule="auto"/>
        <w:contextualSpacing/>
        <w:jc w:val="both"/>
        <w:rPr>
          <w:rFonts w:ascii="Arial Narrow" w:hAnsi="Arial Narrow" w:cs="Arial"/>
          <w:snapToGrid w:val="0"/>
          <w:sz w:val="18"/>
          <w:szCs w:val="20"/>
          <w:lang w:eastAsia="en-US"/>
        </w:rPr>
      </w:pPr>
      <w:r w:rsidRPr="006343CE">
        <w:rPr>
          <w:rFonts w:ascii="Arial Narrow" w:hAnsi="Arial Narrow" w:cs="Arial"/>
          <w:snapToGrid w:val="0"/>
          <w:color w:val="00B050"/>
          <w:sz w:val="18"/>
          <w:szCs w:val="20"/>
          <w:lang w:eastAsia="en-US"/>
        </w:rPr>
        <w:sym w:font="Wingdings" w:char="F04A"/>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low risk</w:t>
      </w:r>
      <w:r w:rsidRPr="006343CE">
        <w:rPr>
          <w:rFonts w:ascii="Arial Narrow" w:hAnsi="Arial Narrow" w:cs="Arial"/>
          <w:snapToGrid w:val="0"/>
          <w:sz w:val="18"/>
          <w:szCs w:val="20"/>
          <w:lang w:eastAsia="en-US"/>
        </w:rPr>
        <w:t xml:space="preserve">; </w:t>
      </w:r>
      <w:r w:rsidRPr="006343CE">
        <w:rPr>
          <w:rFonts w:ascii="Arial Narrow" w:hAnsi="Arial Narrow" w:cs="Arial"/>
          <w:snapToGrid w:val="0"/>
          <w:color w:val="FF0000"/>
          <w:sz w:val="18"/>
          <w:szCs w:val="20"/>
          <w:lang w:eastAsia="en-US"/>
        </w:rPr>
        <w:sym w:font="Wingdings" w:char="F04C"/>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high risk</w:t>
      </w:r>
      <w:r w:rsidRPr="006343CE">
        <w:rPr>
          <w:rFonts w:ascii="Arial Narrow" w:hAnsi="Arial Narrow" w:cs="Arial"/>
          <w:snapToGrid w:val="0"/>
          <w:sz w:val="18"/>
          <w:szCs w:val="20"/>
          <w:lang w:eastAsia="en-US"/>
        </w:rPr>
        <w:t>;</w:t>
      </w:r>
      <w:r w:rsidR="002F60BC" w:rsidRPr="006343CE">
        <w:rPr>
          <w:rFonts w:ascii="Arial Narrow" w:hAnsi="Arial Narrow"/>
          <w:b/>
          <w:color w:val="0070C0"/>
          <w:sz w:val="20"/>
          <w:szCs w:val="20"/>
        </w:rPr>
        <w:t>?</w:t>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unclear risk</w:t>
      </w:r>
      <w:r w:rsidRPr="006343CE">
        <w:rPr>
          <w:rFonts w:ascii="Arial Narrow" w:hAnsi="Arial Narrow" w:cs="Arial"/>
          <w:snapToGrid w:val="0"/>
          <w:sz w:val="18"/>
          <w:szCs w:val="20"/>
          <w:lang w:eastAsia="en-US"/>
        </w:rPr>
        <w:t>; ND = not done</w:t>
      </w:r>
    </w:p>
    <w:p w14:paraId="460B1C2C" w14:textId="6384AB6F" w:rsidR="006343CE" w:rsidRPr="006343CE" w:rsidRDefault="006343CE" w:rsidP="003F773B">
      <w:pPr>
        <w:pStyle w:val="Heading2"/>
        <w:numPr>
          <w:ilvl w:val="1"/>
          <w:numId w:val="57"/>
        </w:numPr>
      </w:pPr>
      <w:bookmarkStart w:id="232" w:name="_Toc421610006"/>
      <w:bookmarkStart w:id="233" w:name="_Toc423451336"/>
      <w:bookmarkStart w:id="234" w:name="_Toc421610007"/>
      <w:bookmarkStart w:id="235" w:name="_Toc423451337"/>
      <w:bookmarkStart w:id="236" w:name="_Toc502832930"/>
      <w:bookmarkEnd w:id="232"/>
      <w:bookmarkEnd w:id="233"/>
      <w:bookmarkEnd w:id="234"/>
      <w:bookmarkEnd w:id="235"/>
      <w:r w:rsidRPr="006343CE">
        <w:t xml:space="preserve">Characteristics of the </w:t>
      </w:r>
      <w:r w:rsidR="00DC5CE5">
        <w:t>e</w:t>
      </w:r>
      <w:r w:rsidRPr="006343CE">
        <w:t xml:space="preserve">vidence </w:t>
      </w:r>
      <w:r w:rsidR="00DC5CE5">
        <w:t>b</w:t>
      </w:r>
      <w:r w:rsidRPr="006343CE">
        <w:t>ase</w:t>
      </w:r>
      <w:bookmarkEnd w:id="236"/>
    </w:p>
    <w:p w14:paraId="33448F10" w14:textId="1935429B" w:rsidR="006343CE" w:rsidRPr="006343CE" w:rsidRDefault="006343CE" w:rsidP="006343CE">
      <w:pPr>
        <w:jc w:val="both"/>
      </w:pPr>
      <w:r w:rsidRPr="006343CE">
        <w:t xml:space="preserve">Appendix C </w:t>
      </w:r>
      <w:r w:rsidR="002F60BC">
        <w:t>summarises the study characteristics for</w:t>
      </w:r>
      <w:r w:rsidRPr="006343CE">
        <w:t xml:space="preserve"> individual studies included in the evidence base.</w:t>
      </w:r>
    </w:p>
    <w:p w14:paraId="683132CD" w14:textId="66FE6F52" w:rsidR="006343CE" w:rsidRPr="00D26F2F" w:rsidRDefault="006343CE" w:rsidP="006343CE">
      <w:pPr>
        <w:jc w:val="both"/>
      </w:pPr>
      <w:r w:rsidRPr="006343CE">
        <w:t xml:space="preserve">All </w:t>
      </w:r>
      <w:r w:rsidRPr="00D26F2F">
        <w:t>except two studies enrolled patients with cancer, the most common form being early breast cancer (Stages I</w:t>
      </w:r>
      <w:r w:rsidR="00415491">
        <w:t>–</w:t>
      </w:r>
      <w:r w:rsidRPr="00D26F2F">
        <w:t xml:space="preserve">III). Five studies enrolled patients with non-gynaecological malignancies </w:t>
      </w:r>
      <w:r w:rsidR="00A109BA">
        <w:fldChar w:fldCharType="begin">
          <w:fldData xml:space="preserve">PEVuZE5vdGU+PENpdGU+PEF1dGhvcj5GYWJicmk8L0F1dGhvcj48WWVhcj4yMDE0PC9ZZWFyPjxS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==
</w:fldData>
        </w:fldChar>
      </w:r>
      <w:r w:rsidR="00577E24">
        <w:instrText xml:space="preserve"> ADDIN EN.CITE </w:instrText>
      </w:r>
      <w:r w:rsidR="00577E24">
        <w:fldChar w:fldCharType="begin">
          <w:fldData xml:space="preserve">PEVuZE5vdGU+PENpdGU+PEF1dGhvcj5GYWJicmk8L0F1dGhvcj48WWVhcj4yMDE0PC9ZZWFyPjxS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==
</w:fldData>
        </w:fldChar>
      </w:r>
      <w:r w:rsidR="00577E24">
        <w:instrText xml:space="preserve"> ADDIN EN.CITE.DATA </w:instrText>
      </w:r>
      <w:r w:rsidR="00577E24">
        <w:fldChar w:fldCharType="end"/>
      </w:r>
      <w:r w:rsidR="00A109BA">
        <w:fldChar w:fldCharType="separate"/>
      </w:r>
      <w:r w:rsidR="00A109BA">
        <w:rPr>
          <w:noProof/>
        </w:rPr>
        <w:t>(</w:t>
      </w:r>
      <w:hyperlink w:anchor="_ENREF_23" w:tooltip="Fabbri, 2014 #140" w:history="1">
        <w:r w:rsidR="00835BA6">
          <w:rPr>
            <w:noProof/>
          </w:rPr>
          <w:t>Fabbri et al. 2014</w:t>
        </w:r>
      </w:hyperlink>
      <w:r w:rsidR="00A109BA">
        <w:rPr>
          <w:noProof/>
        </w:rPr>
        <w:t xml:space="preserve">; </w:t>
      </w:r>
      <w:hyperlink w:anchor="_ENREF_55" w:tooltip="Paradisi, 2016 #281" w:history="1">
        <w:r w:rsidR="00835BA6">
          <w:rPr>
            <w:noProof/>
          </w:rPr>
          <w:t>Paradisi et al. 2016</w:t>
        </w:r>
      </w:hyperlink>
      <w:r w:rsidR="00A109BA">
        <w:rPr>
          <w:noProof/>
        </w:rPr>
        <w:t>)</w:t>
      </w:r>
      <w:r w:rsidR="00A109BA">
        <w:fldChar w:fldCharType="end"/>
      </w:r>
      <w:r w:rsidRPr="00D26F2F">
        <w:t xml:space="preserve">, early breast cancer </w:t>
      </w:r>
      <w:r w:rsidR="00A109BA">
        <w:fldChar w:fldCharType="begin">
          <w:fldData xml:space="preserve">PEVuZE5vdGU+PENpdGU+PEF1dGhvcj5MZWU8L0F1dGhvcj48WWVhcj4yMDExPC9ZZWFyPjxSZWNO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</w:fldData>
        </w:fldChar>
      </w:r>
      <w:r w:rsidR="00577E24">
        <w:instrText xml:space="preserve"> ADDIN EN.CITE </w:instrText>
      </w:r>
      <w:r w:rsidR="00577E24">
        <w:fldChar w:fldCharType="begin">
          <w:fldData xml:space="preserve">PEVuZE5vdGU+PENpdGU+PEF1dGhvcj5MZWU8L0F1dGhvcj48WWVhcj4yMDExPC9ZZWFyPjxSZWNO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</w:fldData>
        </w:fldChar>
      </w:r>
      <w:r w:rsidR="00577E24">
        <w:instrText xml:space="preserve"> ADDIN EN.CITE.DATA </w:instrText>
      </w:r>
      <w:r w:rsidR="00577E24">
        <w:fldChar w:fldCharType="end"/>
      </w:r>
      <w:r w:rsidR="00A109BA">
        <w:fldChar w:fldCharType="separate"/>
      </w:r>
      <w:r w:rsidR="00A109BA">
        <w:rPr>
          <w:noProof/>
        </w:rPr>
        <w:t>(</w:t>
      </w:r>
      <w:hyperlink w:anchor="_ENREF_36" w:tooltip="Lee, 2011 #222" w:history="1">
        <w:r w:rsidR="00835BA6">
          <w:rPr>
            <w:noProof/>
          </w:rPr>
          <w:t>Lee et al. 2011</w:t>
        </w:r>
      </w:hyperlink>
      <w:r w:rsidR="00A109BA">
        <w:rPr>
          <w:noProof/>
        </w:rPr>
        <w:t xml:space="preserve">; </w:t>
      </w:r>
      <w:hyperlink w:anchor="_ENREF_63" w:tooltip="Su, 2014 #333" w:history="1">
        <w:r w:rsidR="00835BA6">
          <w:rPr>
            <w:noProof/>
          </w:rPr>
          <w:t>Su, HC et al. 2014</w:t>
        </w:r>
      </w:hyperlink>
      <w:r w:rsidR="00A109BA">
        <w:rPr>
          <w:noProof/>
        </w:rPr>
        <w:t>)</w:t>
      </w:r>
      <w:r w:rsidR="00A109BA">
        <w:fldChar w:fldCharType="end"/>
      </w:r>
      <w:r w:rsidRPr="00D26F2F">
        <w:t xml:space="preserve"> and ovarian endometriomas </w:t>
      </w:r>
      <w:r w:rsidR="00A109BA">
        <w:fldChar w:fldCharType="begin"/>
      </w:r>
      <w:r w:rsidR="00577E24">
        <w:instrText xml:space="preserve"> ADDIN EN.CITE &lt;EndNote&gt;&lt;Cite&gt;&lt;Author&gt;Biacchiardi&lt;/Author&gt;&lt;Year&gt;2011&lt;/Year&gt;&lt;RecNum&gt;68&lt;/RecNum&gt;&lt;IDText&gt;740-746&lt;/IDText&gt;&lt;DisplayText&gt;(Biacchiardi et al. 2011)&lt;/DisplayText&gt;&lt;record&gt;&lt;rec-number&gt;68&lt;/rec-number&gt;&lt;foreign-keys&gt;&lt;key app="EN" db-id="s2dftfxw1fvsr1efx58vfvxtvfwzxea0td02" timestamp="1511748066"&gt;68&lt;/key&gt;&lt;/foreign-keys&gt;&lt;ref-type name="Journal Article"&gt;17&lt;/ref-type&gt;&lt;contributors&gt;&lt;authors&gt;&lt;author&gt;Biacchiardi, C. P.&lt;/author&gt;&lt;author&gt;Piane, L. D.&lt;/author&gt;&lt;author&gt;Camanni, M.&lt;/author&gt;&lt;author&gt;Deltetto, F.&lt;/author&gt;&lt;author&gt;Delpiano, E. M.&lt;/author&gt;&lt;author&gt;Marchino, G. L.&lt;/author&gt;&lt;author&gt;Gennarelli, G.&lt;/author&gt;&lt;author&gt;Revelli, A.&lt;/author&gt;&lt;/authors&gt;&lt;/contributors&gt;&lt;titles&gt;&lt;title&gt;Laparoscopic stripping of endometriomas negatively affects ovarian follicular reserve even if performed by experienced surgeons&lt;/title&gt;&lt;secondary-title&gt;Reproductive BioMedicine Online&lt;/secondary-title&gt;&lt;/titles&gt;&lt;periodical&gt;&lt;full-title&gt;Reproductive BioMedicine Online&lt;/full-title&gt;&lt;/periodical&gt;&lt;pages&gt;740-746&lt;/pages&gt;&lt;volume&gt;23&lt;/volume&gt;&lt;number&gt;6&lt;/number&gt;&lt;keywords&gt;&lt;keyword&gt;Ovary&lt;/keyword&gt;&lt;keyword&gt;Luteinizing Hormone&lt;/keyword&gt;&lt;keyword&gt;Estradiol&lt;/keyword&gt;&lt;keyword&gt;Follicle Stimulating Hormone&lt;/keyword&gt;&lt;keyword&gt;Endometriosis&lt;/keyword&gt;&lt;/keywords&gt;&lt;dates&gt;&lt;year&gt;2011&lt;/year&gt;&lt;pub-dates&gt;&lt;date&gt;2011-1-1&lt;/date&gt;&lt;/pub-dates&gt;&lt;/dates&gt;&lt;isbn&gt;1472-6483&lt;/isbn&gt;&lt;accession-num&gt;rayyan-6672678&lt;/accession-num&gt;&lt;urls&gt;&lt;related-urls&gt;&lt;url&gt;http://www.embase.com/search/results?subaction=viewrecord&amp;amp;from=export&amp;amp;id=L51680428 http://dx.doi.org/10.1016/j.rbmo.2011.07.014&lt;/url&gt;&lt;/related-urls&gt;&lt;/urls&gt;&lt;custom1&gt;RAYYAN-INCLUSION: {&amp;quot;Sharon&amp;quot;=&amp;gt;true}&lt;/custom1&gt;&lt;/record&gt;&lt;/Cite&gt;&lt;/EndNote&gt;</w:instrText>
      </w:r>
      <w:r w:rsidR="00A109BA">
        <w:fldChar w:fldCharType="separate"/>
      </w:r>
      <w:r w:rsidR="00A109BA">
        <w:rPr>
          <w:noProof/>
        </w:rPr>
        <w:t>(</w:t>
      </w:r>
      <w:hyperlink w:anchor="_ENREF_11" w:tooltip="Biacchiardi, 2011 #68" w:history="1">
        <w:r w:rsidR="00835BA6">
          <w:rPr>
            <w:noProof/>
          </w:rPr>
          <w:t>Biacchiardi et al. 2011</w:t>
        </w:r>
      </w:hyperlink>
      <w:r w:rsidR="00A109BA">
        <w:rPr>
          <w:noProof/>
        </w:rPr>
        <w:t>)</w:t>
      </w:r>
      <w:r w:rsidR="00A109BA">
        <w:fldChar w:fldCharType="end"/>
      </w:r>
      <w:r w:rsidRPr="00D26F2F">
        <w:t xml:space="preserve"> before treatment. Five studies enrolled patients with early breast cancer </w:t>
      </w:r>
      <w:r w:rsidR="00A109BA">
        <w:fldChar w:fldCharType="begin">
          <w:fldData xml:space="preserve">PEVuZE5vdGU+PENpdGU+PEF1dGhvcj5LaW08L0F1dGhvcj48WWVhcj4yMDE2PC9ZZWFyPjxSZWNO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</w:fldData>
        </w:fldChar>
      </w:r>
      <w:r w:rsidR="00577E24">
        <w:instrText xml:space="preserve"> ADDIN EN.CITE </w:instrText>
      </w:r>
      <w:r w:rsidR="00577E24">
        <w:fldChar w:fldCharType="begin">
          <w:fldData xml:space="preserve">PEVuZE5vdGU+PENpdGU+PEF1dGhvcj5LaW08L0F1dGhvcj48WWVhcj4yMDE2PC9ZZWFyPjxSZWNO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</w:fldData>
        </w:fldChar>
      </w:r>
      <w:r w:rsidR="00577E24">
        <w:instrText xml:space="preserve"> ADDIN EN.CITE.DATA </w:instrText>
      </w:r>
      <w:r w:rsidR="00577E24">
        <w:fldChar w:fldCharType="end"/>
      </w:r>
      <w:r w:rsidR="00A109BA">
        <w:fldChar w:fldCharType="separate"/>
      </w:r>
      <w:r w:rsidR="00577E24">
        <w:rPr>
          <w:noProof/>
        </w:rPr>
        <w:t>(</w:t>
      </w:r>
      <w:hyperlink w:anchor="_ENREF_33" w:tooltip="Kim, 2016 #202" w:history="1">
        <w:r w:rsidR="00835BA6">
          <w:rPr>
            <w:noProof/>
          </w:rPr>
          <w:t>Kim, HA et al. 2016</w:t>
        </w:r>
      </w:hyperlink>
      <w:r w:rsidR="00577E24">
        <w:rPr>
          <w:noProof/>
        </w:rPr>
        <w:t xml:space="preserve">; </w:t>
      </w:r>
      <w:hyperlink w:anchor="_ENREF_56" w:tooltip="Partridge, 2010 #286" w:history="1">
        <w:r w:rsidR="00835BA6">
          <w:rPr>
            <w:noProof/>
          </w:rPr>
          <w:t>Partridge et al. 2010</w:t>
        </w:r>
      </w:hyperlink>
      <w:r w:rsidR="00577E24">
        <w:rPr>
          <w:noProof/>
        </w:rPr>
        <w:t xml:space="preserve">; </w:t>
      </w:r>
      <w:hyperlink w:anchor="_ENREF_65" w:tooltip="Su, 2011 #335" w:history="1">
        <w:r w:rsidR="00835BA6">
          <w:rPr>
            <w:noProof/>
          </w:rPr>
          <w:t>Su et al. 2011</w:t>
        </w:r>
      </w:hyperlink>
      <w:r w:rsidR="00577E24">
        <w:rPr>
          <w:noProof/>
        </w:rPr>
        <w:t>)</w:t>
      </w:r>
      <w:r w:rsidR="00A109BA">
        <w:fldChar w:fldCharType="end"/>
      </w:r>
      <w:r w:rsidRPr="00D26F2F">
        <w:t xml:space="preserve">, polymyositis </w:t>
      </w:r>
      <w:r w:rsidR="00A109BA">
        <w:fldChar w:fldCharType="begin"/>
      </w:r>
      <w:r w:rsidR="00577E24">
        <w:instrText xml:space="preserve"> ADDIN EN.CITE &lt;EndNote&gt;&lt;Cite&gt;&lt;Author&gt;de Souza&lt;/Author&gt;&lt;Year&gt;2015&lt;/Year&gt;&lt;RecNum&gt;112&lt;/RecNum&gt;&lt;IDText&gt;1795-1799&lt;/IDText&gt;&lt;DisplayText&gt;(de Souza et al. 2015)&lt;/DisplayText&gt;&lt;record&gt;&lt;rec-number&gt;112&lt;/rec-number&gt;&lt;foreign-keys&gt;&lt;key app="EN" db-id="s2dftfxw1fvsr1efx58vfvxtvfwzxea0td02" timestamp="1511748069"&gt;112&lt;/key&gt;&lt;/foreign-keys&gt;&lt;ref-type name="Journal Article"&gt;17&lt;/ref-type&gt;&lt;contributors&gt;&lt;authors&gt;&lt;author&gt;de Souza, F. H. C.&lt;/author&gt;&lt;author&gt;da Silva, C. A.&lt;/author&gt;&lt;author&gt;Yamakami, L. Y. S.&lt;/author&gt;&lt;author&gt;dos Santos Trindade Viana, V.&lt;/author&gt;&lt;author&gt;Bonfá, E.&lt;/author&gt;&lt;author&gt;Shinjo, S. K.&lt;/author&gt;&lt;/authors&gt;&lt;/contributors&gt;&lt;titles&gt;&lt;title&gt;Reduced ovarian reserve in patients with adult polymyositis&lt;/title&gt;&lt;secondary-title&gt;Clinical Rheumatology&lt;/secondary-title&gt;&lt;/titles&gt;&lt;periodical&gt;&lt;full-title&gt;Clinical Rheumatology&lt;/full-title&gt;&lt;/periodical&gt;&lt;pages&gt;1795-1799&lt;/pages&gt;&lt;volume&gt;34&lt;/volume&gt;&lt;number&gt;10&lt;/number&gt;&lt;keywords&gt;&lt;keyword&gt;Enzyme-Linked Immunosorbent Assay&lt;/keyword&gt;&lt;keyword&gt;Adult&lt;/keyword&gt;&lt;keyword&gt;Menstrual Cycle&lt;/keyword&gt;&lt;keyword&gt;Follicle Stimulating Hormone&lt;/keyword&gt;&lt;keyword&gt;Polymyositis&lt;/keyword&gt;&lt;keyword&gt;Estradiol&lt;/keyword&gt;&lt;/keywords&gt;&lt;dates&gt;&lt;year&gt;2015&lt;/year&gt;&lt;pub-dates&gt;&lt;date&gt;2015-1-1&lt;/date&gt;&lt;/pub-dates&gt;&lt;/dates&gt;&lt;accession-num&gt;rayyan-6673564&lt;/accession-num&gt;&lt;urls&gt;&lt;related-urls&gt;&lt;url&gt;http://www.embase.com/search/results?subaction=viewrecord&amp;amp;from=export&amp;amp;id=L605921580 http://dx.doi.org/10.1007/s10067-015-3064-1&lt;/url&gt;&lt;url&gt;https://link.springer.com/content/pdf/10.1007%2Fs10067-015-3064-1.pdf&lt;/url&gt;&lt;/related-urls&gt;&lt;/urls&gt;&lt;custom1&gt;RAYYAN-INCLUSION: {&amp;quot;Sharon&amp;quot;=&amp;gt;true, &amp;quot;Joanne&amp;quot;=&amp;gt;true}&lt;/custom1&gt;&lt;/record&gt;&lt;/Cite&gt;&lt;/EndNote&gt;</w:instrText>
      </w:r>
      <w:r w:rsidR="00A109BA">
        <w:fldChar w:fldCharType="separate"/>
      </w:r>
      <w:r w:rsidR="00A109BA">
        <w:rPr>
          <w:noProof/>
        </w:rPr>
        <w:t>(</w:t>
      </w:r>
      <w:hyperlink w:anchor="_ENREF_16" w:tooltip="de Souza, 2015 #112" w:history="1">
        <w:r w:rsidR="00835BA6">
          <w:rPr>
            <w:noProof/>
          </w:rPr>
          <w:t>de Souza et al. 2015</w:t>
        </w:r>
      </w:hyperlink>
      <w:r w:rsidR="00A109BA">
        <w:rPr>
          <w:noProof/>
        </w:rPr>
        <w:t>)</w:t>
      </w:r>
      <w:r w:rsidR="00A109BA">
        <w:fldChar w:fldCharType="end"/>
      </w:r>
      <w:r w:rsidRPr="00D26F2F">
        <w:t xml:space="preserve"> and either breast cancer or lymphoma </w:t>
      </w:r>
      <w:r w:rsidR="00A109BA">
        <w:fldChar w:fldCharType="begin"/>
      </w:r>
      <w:r w:rsidR="00577E24">
        <w:instrText xml:space="preserve"> ADDIN EN.CITE &lt;EndNote&gt;&lt;Cite&gt;&lt;Author&gt;Decanter&lt;/Author&gt;&lt;Year&gt;2014&lt;/Year&gt;&lt;RecNum&gt;114&lt;/RecNum&gt;&lt;IDText&gt;483-7&lt;/IDText&gt;&lt;DisplayText&gt;(Decanter et al. 2014)&lt;/DisplayText&gt;&lt;record&gt;&lt;rec-number&gt;114&lt;/rec-number&gt;&lt;foreign-keys&gt;&lt;key app="EN" db-id="s2dftfxw1fvsr1efx58vfvxtvfwzxea0td02" timestamp="1511748069"&gt;114&lt;/key&gt;&lt;/foreign-keys&gt;&lt;ref-type name="Journal Article"&gt;17&lt;/ref-type&gt;&lt;contributors&gt;&lt;authors&gt;&lt;author&gt;Decanter, C.&lt;/author&gt;&lt;author&gt;Peigne, M.&lt;/author&gt;&lt;author&gt;Mailliez, A.&lt;/author&gt;&lt;author&gt;Morschhauser, F.&lt;/author&gt;&lt;author&gt;Dassonneville, A.&lt;/author&gt;&lt;author&gt;Dewailly, D.&lt;/author&gt;&lt;author&gt;Pigny, P.&lt;/author&gt;&lt;/authors&gt;&lt;/contributors&gt;&lt;titles&gt;&lt;title&gt;Toward a better follow-up of ovarian recovery in young women after chemotherapy with a hypersensitive antimullerian hormone assay&lt;/title&gt;&lt;secondary-title&gt;Fertil Steril&lt;/secondary-title&gt;&lt;/titles&gt;&lt;periodical&gt;&lt;full-title&gt;Fertil Steril&lt;/full-title&gt;&lt;/periodical&gt;&lt;pages&gt;483-7&lt;/pages&gt;&lt;volume&gt;102&lt;/volume&gt;&lt;number&gt;2&lt;/number&gt;&lt;keywords&gt;&lt;keyword&gt;Hematologic Neoplasms&lt;/keyword&gt;&lt;keyword&gt;Breast Neoplasms&lt;/keyword&gt;&lt;keyword&gt;Enzyme-Linked Immunosorbent Assay&lt;/keyword&gt;&lt;keyword&gt;Retrospective Studies&lt;/keyword&gt;&lt;keyword&gt;Humanism&lt;/keyword&gt;&lt;keyword&gt;Humanities&lt;/keyword&gt;&lt;keyword&gt;Humans&lt;/keyword&gt;&lt;/keywords&gt;&lt;dates&gt;&lt;year&gt;2014&lt;/year&gt;&lt;pub-dates&gt;&lt;date&gt;2014-1-1&lt;/date&gt;&lt;/pub-dates&gt;&lt;/dates&gt;&lt;isbn&gt;0015-0282&lt;/isbn&gt;&lt;accession-num&gt;rayyan-6673589&lt;/accession-num&gt;&lt;urls&gt;&lt;/urls&gt;&lt;custom1&gt;RAYYAN-INCLUSION: {&amp;quot;Sharon&amp;quot;=&amp;gt;true, &amp;quot;Joanne&amp;quot;=&amp;gt;true}&lt;/custom1&gt;&lt;language&gt;eng&lt;/language&gt;&lt;/record&gt;&lt;/Cite&gt;&lt;/EndNote&gt;</w:instrText>
      </w:r>
      <w:r w:rsidR="00A109BA">
        <w:fldChar w:fldCharType="separate"/>
      </w:r>
      <w:r w:rsidR="00A109BA">
        <w:rPr>
          <w:noProof/>
        </w:rPr>
        <w:t>(</w:t>
      </w:r>
      <w:hyperlink w:anchor="_ENREF_18" w:tooltip="Decanter, 2014 #114" w:history="1">
        <w:r w:rsidR="00835BA6">
          <w:rPr>
            <w:noProof/>
          </w:rPr>
          <w:t>Decanter et al. 2014</w:t>
        </w:r>
      </w:hyperlink>
      <w:r w:rsidR="00A109BA">
        <w:rPr>
          <w:noProof/>
        </w:rPr>
        <w:t>)</w:t>
      </w:r>
      <w:r w:rsidR="00A109BA">
        <w:fldChar w:fldCharType="end"/>
      </w:r>
      <w:r w:rsidRPr="00D26F2F">
        <w:t xml:space="preserve">. Four studies enrolled patients who had survived childhood cancers </w:t>
      </w:r>
      <w:r w:rsidR="00A109BA">
        <w:fldChar w:fldCharType="begin">
          <w:fldData xml:space="preserve">PEVuZE5vdGU+PENpdGU+PEF1dGhvcj5CZW5ldmVudGk8L0F1dGhvcj48WWVhcj4yMDE0PC9ZZWFy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</w:fldData>
        </w:fldChar>
      </w:r>
      <w:r w:rsidR="00577E24">
        <w:instrText xml:space="preserve"> ADDIN EN.CITE </w:instrText>
      </w:r>
      <w:r w:rsidR="00577E24">
        <w:fldChar w:fldCharType="begin">
          <w:fldData xml:space="preserve">PEVuZE5vdGU+PENpdGU+PEF1dGhvcj5CZW5ldmVudGk8L0F1dGhvcj48WWVhcj4yMDE0PC9ZZWFy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</w:fldData>
        </w:fldChar>
      </w:r>
      <w:r w:rsidR="00577E24">
        <w:instrText xml:space="preserve"> ADDIN EN.CITE.DATA </w:instrText>
      </w:r>
      <w:r w:rsidR="00577E24">
        <w:fldChar w:fldCharType="end"/>
      </w:r>
      <w:r w:rsidR="00A109BA">
        <w:fldChar w:fldCharType="separate"/>
      </w:r>
      <w:r w:rsidR="00A109BA">
        <w:rPr>
          <w:noProof/>
        </w:rPr>
        <w:t>(</w:t>
      </w:r>
      <w:hyperlink w:anchor="_ENREF_10" w:tooltip="Beneventi, 2014 #67" w:history="1">
        <w:r w:rsidR="00835BA6">
          <w:rPr>
            <w:noProof/>
          </w:rPr>
          <w:t>Beneventi et al. 2014</w:t>
        </w:r>
      </w:hyperlink>
      <w:r w:rsidR="00A109BA">
        <w:rPr>
          <w:noProof/>
        </w:rPr>
        <w:t xml:space="preserve">; </w:t>
      </w:r>
      <w:hyperlink w:anchor="_ENREF_43" w:tooltip="Miyoshi, 2013 #251" w:history="1">
        <w:r w:rsidR="00835BA6">
          <w:rPr>
            <w:noProof/>
          </w:rPr>
          <w:t>Miyoshi et al. 2013</w:t>
        </w:r>
      </w:hyperlink>
      <w:r w:rsidR="00A109BA">
        <w:rPr>
          <w:noProof/>
        </w:rPr>
        <w:t xml:space="preserve">; </w:t>
      </w:r>
      <w:hyperlink w:anchor="_ENREF_48" w:tooltip="Nielsen, 2013 #273" w:history="1">
        <w:r w:rsidR="00835BA6">
          <w:rPr>
            <w:noProof/>
          </w:rPr>
          <w:t>Nielsen et al. 2013</w:t>
        </w:r>
      </w:hyperlink>
      <w:r w:rsidR="00A109BA">
        <w:rPr>
          <w:noProof/>
        </w:rPr>
        <w:t xml:space="preserve">; </w:t>
      </w:r>
      <w:hyperlink w:anchor="_ENREF_71" w:tooltip="van Beek, 2007 #355" w:history="1">
        <w:r w:rsidR="00835BA6">
          <w:rPr>
            <w:noProof/>
          </w:rPr>
          <w:t>van Beek et al. 2007</w:t>
        </w:r>
      </w:hyperlink>
      <w:r w:rsidR="00A109BA">
        <w:rPr>
          <w:noProof/>
        </w:rPr>
        <w:t>)</w:t>
      </w:r>
      <w:r w:rsidR="00A109BA">
        <w:fldChar w:fldCharType="end"/>
      </w:r>
      <w:r w:rsidRPr="00D26F2F">
        <w:t xml:space="preserve">, and one study enrolled women with early breast cancer both before and after treatment </w:t>
      </w:r>
      <w:r w:rsidR="00A109BA">
        <w:fldChar w:fldCharType="begin"/>
      </w:r>
      <w:r w:rsidR="00577E24">
        <w:instrText xml:space="preserve"> ADDIN EN.CITE &lt;EndNote&gt;&lt;Cite&gt;&lt;Author&gt;Lutchman Singh&lt;/Author&gt;&lt;Year&gt;2007&lt;/Year&gt;&lt;RecNum&gt;240&lt;/RecNum&gt;&lt;IDText&gt;1808-16&lt;/IDText&gt;&lt;DisplayText&gt;(Lutchman Singh et al. 2007)&lt;/DisplayText&gt;&lt;record&gt;&lt;rec-number&gt;240&lt;/rec-number&gt;&lt;foreign-keys&gt;&lt;key app="EN" db-id="s2dftfxw1fvsr1efx58vfvxtvfwzxea0td02" timestamp="1511748085"&gt;240&lt;/key&gt;&lt;/foreign-keys&gt;&lt;ref-type name="Journal Article"&gt;17&lt;/ref-type&gt;&lt;contributors&gt;&lt;authors&gt;&lt;author&gt;Lutchman Singh, K.&lt;/author&gt;&lt;author&gt;Muttukrishna, S.&lt;/author&gt;&lt;author&gt;Stein, R. C.&lt;/author&gt;&lt;author&gt;McGarrigle, H. H.&lt;/author&gt;&lt;author&gt;Patel, A.&lt;/author&gt;&lt;author&gt;Parikh, B.&lt;/author&gt;&lt;author&gt;Groome, N. P.&lt;/author&gt;&lt;author&gt;Davies, M. C.&lt;/author&gt;&lt;author&gt;Chatterjee, R.&lt;/author&gt;&lt;/authors&gt;&lt;/contributors&gt;&lt;titles&gt;&lt;title&gt;Predictors of ovarian reserve in young women with breast cancer&lt;/title&gt;&lt;secondary-title&gt;Br J Cancer&lt;/secondary-title&gt;&lt;/titles&gt;&lt;periodical&gt;&lt;full-title&gt;Br J Cancer&lt;/full-title&gt;&lt;/periodical&gt;&lt;pages&gt;1808-16&lt;/pages&gt;&lt;volume&gt;96&lt;/volume&gt;&lt;number&gt;12&lt;/number&gt;&lt;keywords&gt;&lt;keyword&gt;Follicle Stimulating Hormone&lt;/keyword&gt;&lt;keyword&gt;Breast Neoplasms&lt;/keyword&gt;&lt;/keywords&gt;&lt;dates&gt;&lt;year&gt;2007&lt;/year&gt;&lt;pub-dates&gt;&lt;date&gt;2007-1-1&lt;/date&gt;&lt;/pub-dates&gt;&lt;/dates&gt;&lt;isbn&gt;0007-0920&lt;/isbn&gt;&lt;accession-num&gt;rayyan-6676340&lt;/accession-num&gt;&lt;urls&gt;&lt;related-urls&gt;&lt;url&gt;https://www.ncbi.nlm.nih.gov/pmc/articles/PMC2359977/pdf/6603814a.pdf&lt;/url&gt;&lt;/related-urls&gt;&lt;/urls&gt;&lt;custom1&gt;RAYYAN-INCLUSION: {&amp;quot;Sharon&amp;quot;=&amp;gt;true, &amp;quot;Joanne&amp;quot;=&amp;gt;true}&lt;/custom1&gt;&lt;language&gt;eng&lt;/language&gt;&lt;/record&gt;&lt;/Cite&gt;&lt;/EndNote&gt;</w:instrText>
      </w:r>
      <w:r w:rsidR="00A109BA">
        <w:fldChar w:fldCharType="separate"/>
      </w:r>
      <w:r w:rsidR="00A109BA">
        <w:rPr>
          <w:noProof/>
        </w:rPr>
        <w:t>(</w:t>
      </w:r>
      <w:hyperlink w:anchor="_ENREF_41" w:tooltip="Lutchman Singh, 2007 #240" w:history="1">
        <w:r w:rsidR="00835BA6">
          <w:rPr>
            <w:noProof/>
          </w:rPr>
          <w:t>Lutchman Singh et al. 2007</w:t>
        </w:r>
      </w:hyperlink>
      <w:r w:rsidR="00A109BA">
        <w:rPr>
          <w:noProof/>
        </w:rPr>
        <w:t>)</w:t>
      </w:r>
      <w:r w:rsidR="00A109BA">
        <w:fldChar w:fldCharType="end"/>
      </w:r>
      <w:r w:rsidRPr="00D26F2F">
        <w:t>. Thus, the included populations all met the PICO criteria.</w:t>
      </w:r>
    </w:p>
    <w:p w14:paraId="4276C215" w14:textId="788CFF6E" w:rsidR="006343CE" w:rsidRPr="006343CE" w:rsidRDefault="006343CE" w:rsidP="006343CE">
      <w:pPr>
        <w:jc w:val="both"/>
      </w:pPr>
      <w:r w:rsidRPr="00D26F2F">
        <w:lastRenderedPageBreak/>
        <w:t xml:space="preserve">The studies used a variety of different AMH tests, which are summarised in </w:t>
      </w:r>
      <w:r w:rsidRPr="00D26F2F">
        <w:fldChar w:fldCharType="begin"/>
      </w:r>
      <w:r w:rsidRPr="00D26F2F">
        <w:instrText xml:space="preserve"> REF _Ref494207732 \h </w:instrText>
      </w:r>
      <w:r w:rsidR="00D26F2F">
        <w:instrText xml:space="preserve"> \* MERGEFORMAT </w:instrText>
      </w:r>
      <w:r w:rsidRPr="00D26F2F">
        <w:fldChar w:fldCharType="separate"/>
      </w:r>
      <w:r w:rsidR="00AC4BE5" w:rsidRPr="00634539">
        <w:t xml:space="preserve">Table </w:t>
      </w:r>
      <w:r w:rsidR="00AC4BE5">
        <w:rPr>
          <w:noProof/>
        </w:rPr>
        <w:t>28</w:t>
      </w:r>
      <w:r w:rsidRPr="00D26F2F">
        <w:fldChar w:fldCharType="end"/>
      </w:r>
      <w:r w:rsidRPr="00D26F2F">
        <w:t>. These tests all had different precision parameters, including limit of detection and inter</w:t>
      </w:r>
      <w:r w:rsidRPr="006343CE">
        <w:t>-assay coefficient</w:t>
      </w:r>
      <w:r w:rsidR="00C0059D">
        <w:t>(s)</w:t>
      </w:r>
      <w:r w:rsidRPr="006343CE">
        <w:t xml:space="preserve"> of variation</w:t>
      </w:r>
      <w:r w:rsidR="00776418">
        <w:t xml:space="preserve"> (CoV)</w:t>
      </w:r>
      <w:r w:rsidRPr="006343CE">
        <w:t xml:space="preserve">. The comparator tests also varied between studies (see </w:t>
      </w:r>
      <w:r w:rsidR="00A949E0">
        <w:t>Appendix C</w:t>
      </w:r>
      <w:r w:rsidRPr="006343CE">
        <w:t xml:space="preserve"> for details). However, the AFC test, which</w:t>
      </w:r>
      <w:r w:rsidR="00364786">
        <w:t xml:space="preserve"> was considered as</w:t>
      </w:r>
      <w:r w:rsidRPr="006343CE">
        <w:t xml:space="preserve"> the evidentiary standard, was conducted in a similar fashion in all studies that included this test.</w:t>
      </w:r>
    </w:p>
    <w:p w14:paraId="610070C6" w14:textId="77777777" w:rsidR="006343CE" w:rsidRPr="00634539" w:rsidRDefault="006343CE" w:rsidP="00634539">
      <w:pPr>
        <w:pStyle w:val="TableHeading"/>
      </w:pPr>
      <w:bookmarkStart w:id="237" w:name="_Ref494207732"/>
      <w:bookmarkStart w:id="238" w:name="_Toc502833046"/>
      <w:r w:rsidRPr="00634539">
        <w:t xml:space="preserve">Table </w:t>
      </w:r>
      <w:r w:rsidR="00AC4BE5">
        <w:fldChar w:fldCharType="begin"/>
      </w:r>
      <w:r w:rsidR="00AC4BE5">
        <w:instrText xml:space="preserve"> SEQ Table \* ARABIC </w:instrText>
      </w:r>
      <w:r w:rsidR="00AC4BE5">
        <w:fldChar w:fldCharType="separate"/>
      </w:r>
      <w:r w:rsidR="00AC4BE5">
        <w:rPr>
          <w:noProof/>
        </w:rPr>
        <w:t>28</w:t>
      </w:r>
      <w:r w:rsidR="00AC4BE5">
        <w:rPr>
          <w:noProof/>
        </w:rPr>
        <w:fldChar w:fldCharType="end"/>
      </w:r>
      <w:bookmarkEnd w:id="237"/>
      <w:r w:rsidRPr="00634539">
        <w:tab/>
        <w:t>Summary of the AMH tests used in the included studies</w:t>
      </w:r>
      <w:bookmarkEnd w:id="238"/>
    </w:p>
    <w:tbl>
      <w:tblPr>
        <w:tblStyle w:val="TableGrid41"/>
        <w:tblW w:w="9067" w:type="dxa"/>
        <w:tblLook w:val="04A0" w:firstRow="1" w:lastRow="0" w:firstColumn="1" w:lastColumn="0" w:noHBand="0" w:noVBand="1"/>
        <w:tblCaption w:val="Summary of the AMH tests used in the included studies"/>
        <w:tblDescription w:val="Summary of the AMH tests used in the included studies"/>
      </w:tblPr>
      <w:tblGrid>
        <w:gridCol w:w="1980"/>
        <w:gridCol w:w="2551"/>
        <w:gridCol w:w="3119"/>
        <w:gridCol w:w="1417"/>
      </w:tblGrid>
      <w:tr w:rsidR="006343CE" w:rsidRPr="006343CE" w14:paraId="3D3A37F4" w14:textId="77777777" w:rsidTr="006343CE">
        <w:trPr>
          <w:tblHeader/>
        </w:trPr>
        <w:tc>
          <w:tcPr>
            <w:tcW w:w="1980" w:type="dxa"/>
          </w:tcPr>
          <w:p w14:paraId="68F35144" w14:textId="77777777" w:rsidR="006343CE" w:rsidRPr="001B2A30" w:rsidRDefault="006343CE" w:rsidP="001B2A30">
            <w:pPr>
              <w:pStyle w:val="Tabletext1"/>
              <w:rPr>
                <w:b/>
                <w:lang w:eastAsia="en-US"/>
              </w:rPr>
            </w:pPr>
            <w:r w:rsidRPr="001B2A30">
              <w:rPr>
                <w:b/>
                <w:lang w:eastAsia="en-US"/>
              </w:rPr>
              <w:t>AMH Assay</w:t>
            </w:r>
          </w:p>
        </w:tc>
        <w:tc>
          <w:tcPr>
            <w:tcW w:w="2551" w:type="dxa"/>
          </w:tcPr>
          <w:p w14:paraId="598188C6" w14:textId="77777777" w:rsidR="006343CE" w:rsidRPr="001B2A30" w:rsidRDefault="006343CE" w:rsidP="001B2A30">
            <w:pPr>
              <w:pStyle w:val="Tabletext1"/>
              <w:rPr>
                <w:b/>
                <w:lang w:eastAsia="en-US"/>
              </w:rPr>
            </w:pPr>
            <w:r w:rsidRPr="001B2A30">
              <w:rPr>
                <w:b/>
                <w:lang w:eastAsia="en-US"/>
              </w:rPr>
              <w:t>Manufacturer</w:t>
            </w:r>
          </w:p>
        </w:tc>
        <w:tc>
          <w:tcPr>
            <w:tcW w:w="3119" w:type="dxa"/>
          </w:tcPr>
          <w:p w14:paraId="5969036C" w14:textId="234A3331" w:rsidR="006343CE" w:rsidRPr="001B2A30" w:rsidRDefault="006343CE" w:rsidP="001B2A30">
            <w:pPr>
              <w:pStyle w:val="Tabletext1"/>
              <w:rPr>
                <w:b/>
                <w:lang w:eastAsia="en-US"/>
              </w:rPr>
            </w:pPr>
            <w:r w:rsidRPr="001B2A30">
              <w:rPr>
                <w:b/>
                <w:lang w:eastAsia="en-US"/>
              </w:rPr>
              <w:t xml:space="preserve">Inter-assay </w:t>
            </w:r>
            <w:r w:rsidR="00776418">
              <w:rPr>
                <w:b/>
                <w:lang w:eastAsia="en-US"/>
              </w:rPr>
              <w:t>CoV</w:t>
            </w:r>
          </w:p>
        </w:tc>
        <w:tc>
          <w:tcPr>
            <w:tcW w:w="1417" w:type="dxa"/>
          </w:tcPr>
          <w:p w14:paraId="2CB52ADD" w14:textId="77777777" w:rsidR="006343CE" w:rsidRPr="001B2A30" w:rsidRDefault="006343CE" w:rsidP="001B2A30">
            <w:pPr>
              <w:pStyle w:val="Tabletext1"/>
              <w:rPr>
                <w:b/>
                <w:lang w:eastAsia="en-US"/>
              </w:rPr>
            </w:pPr>
            <w:r w:rsidRPr="001B2A30">
              <w:rPr>
                <w:b/>
                <w:lang w:eastAsia="en-US"/>
              </w:rPr>
              <w:t>LoD</w:t>
            </w:r>
          </w:p>
        </w:tc>
      </w:tr>
      <w:tr w:rsidR="006343CE" w:rsidRPr="006343CE" w14:paraId="06E03B44" w14:textId="77777777" w:rsidTr="006343CE">
        <w:tc>
          <w:tcPr>
            <w:tcW w:w="1980" w:type="dxa"/>
          </w:tcPr>
          <w:p w14:paraId="7D81530B" w14:textId="77777777" w:rsidR="006343CE" w:rsidRPr="006343CE" w:rsidRDefault="006343CE" w:rsidP="001B2A30">
            <w:pPr>
              <w:pStyle w:val="Tabletext1"/>
              <w:rPr>
                <w:lang w:eastAsia="en-US"/>
              </w:rPr>
            </w:pPr>
            <w:r w:rsidRPr="006343CE">
              <w:rPr>
                <w:lang w:eastAsia="en-US"/>
              </w:rPr>
              <w:t>EIA AMH/MIS ELISA</w:t>
            </w:r>
          </w:p>
        </w:tc>
        <w:tc>
          <w:tcPr>
            <w:tcW w:w="2551" w:type="dxa"/>
          </w:tcPr>
          <w:p w14:paraId="655BD12B" w14:textId="77777777" w:rsidR="006343CE" w:rsidRPr="006343CE" w:rsidRDefault="006343CE" w:rsidP="001B2A30">
            <w:pPr>
              <w:pStyle w:val="Tabletext1"/>
              <w:rPr>
                <w:lang w:eastAsia="en-US"/>
              </w:rPr>
            </w:pPr>
            <w:r w:rsidRPr="006343CE">
              <w:rPr>
                <w:lang w:eastAsia="en-US"/>
              </w:rPr>
              <w:t>Beckman Coulter, Immunotech, Marseille, France</w:t>
            </w:r>
          </w:p>
        </w:tc>
        <w:tc>
          <w:tcPr>
            <w:tcW w:w="3119" w:type="dxa"/>
          </w:tcPr>
          <w:p w14:paraId="0E744859" w14:textId="77777777" w:rsidR="006343CE" w:rsidRPr="006343CE" w:rsidRDefault="006343CE" w:rsidP="001B2A30">
            <w:pPr>
              <w:pStyle w:val="Tabletext1"/>
              <w:rPr>
                <w:lang w:eastAsia="en-US"/>
              </w:rPr>
            </w:pPr>
            <w:r w:rsidRPr="006343CE">
              <w:rPr>
                <w:lang w:eastAsia="en-US"/>
              </w:rPr>
              <w:t>14.2%, 13.0% and 12.6 %</w:t>
            </w:r>
          </w:p>
          <w:p w14:paraId="1E083D20" w14:textId="7D045B77" w:rsidR="006343CE" w:rsidRPr="006343CE" w:rsidRDefault="006343CE" w:rsidP="001B2A30">
            <w:pPr>
              <w:pStyle w:val="Tabletext1"/>
              <w:rPr>
                <w:lang w:eastAsia="en-US"/>
              </w:rPr>
            </w:pPr>
            <w:r w:rsidRPr="006343CE">
              <w:rPr>
                <w:lang w:eastAsia="en-US"/>
              </w:rPr>
              <w:t>at 1.37, 2.61 and 5.20 ng/</w:t>
            </w:r>
            <w:r w:rsidR="00023800">
              <w:rPr>
                <w:lang w:eastAsia="en-US"/>
              </w:rPr>
              <w:t>mL</w:t>
            </w:r>
          </w:p>
        </w:tc>
        <w:tc>
          <w:tcPr>
            <w:tcW w:w="1417" w:type="dxa"/>
          </w:tcPr>
          <w:p w14:paraId="3D1DB058" w14:textId="77777777" w:rsidR="006343CE" w:rsidRPr="006343CE" w:rsidRDefault="006343CE" w:rsidP="001B2A30">
            <w:pPr>
              <w:pStyle w:val="Tabletext1"/>
            </w:pPr>
            <w:r w:rsidRPr="006343CE">
              <w:t>3 pmol/L,</w:t>
            </w:r>
          </w:p>
          <w:p w14:paraId="3702F0E4" w14:textId="7EA06ADF" w:rsidR="006343CE" w:rsidRPr="006343CE" w:rsidRDefault="006343CE" w:rsidP="001B2A30">
            <w:pPr>
              <w:pStyle w:val="Tabletext1"/>
              <w:rPr>
                <w:lang w:eastAsia="en-US"/>
              </w:rPr>
            </w:pPr>
            <w:r w:rsidRPr="006343CE">
              <w:t>0.42 ng/</w:t>
            </w:r>
            <w:r w:rsidR="00023800">
              <w:t>mL</w:t>
            </w:r>
          </w:p>
        </w:tc>
      </w:tr>
      <w:tr w:rsidR="006343CE" w:rsidRPr="006343CE" w14:paraId="2078B5BE" w14:textId="77777777" w:rsidTr="006343CE">
        <w:tc>
          <w:tcPr>
            <w:tcW w:w="1980" w:type="dxa"/>
          </w:tcPr>
          <w:p w14:paraId="634E4A69" w14:textId="77777777" w:rsidR="006343CE" w:rsidRPr="006343CE" w:rsidRDefault="006343CE" w:rsidP="001B2A30">
            <w:pPr>
              <w:pStyle w:val="Tabletext1"/>
              <w:rPr>
                <w:lang w:eastAsia="en-US"/>
              </w:rPr>
            </w:pPr>
            <w:r w:rsidRPr="006343CE">
              <w:rPr>
                <w:lang w:eastAsia="en-US"/>
              </w:rPr>
              <w:t>DSL ACTIVE</w:t>
            </w:r>
            <w:r w:rsidRPr="006343CE">
              <w:rPr>
                <w:vertAlign w:val="superscript"/>
                <w:lang w:eastAsia="en-US"/>
              </w:rPr>
              <w:t>®</w:t>
            </w:r>
            <w:r w:rsidRPr="006343CE">
              <w:rPr>
                <w:lang w:eastAsia="en-US"/>
              </w:rPr>
              <w:t xml:space="preserve"> MIS/AMH ELISA</w:t>
            </w:r>
          </w:p>
        </w:tc>
        <w:tc>
          <w:tcPr>
            <w:tcW w:w="2551" w:type="dxa"/>
          </w:tcPr>
          <w:p w14:paraId="4D898C83" w14:textId="77777777" w:rsidR="006343CE" w:rsidRPr="006343CE" w:rsidRDefault="006343CE" w:rsidP="001B2A30">
            <w:pPr>
              <w:pStyle w:val="Tabletext1"/>
              <w:rPr>
                <w:lang w:eastAsia="en-US"/>
              </w:rPr>
            </w:pPr>
            <w:r w:rsidRPr="006343CE">
              <w:rPr>
                <w:lang w:eastAsia="en-US"/>
              </w:rPr>
              <w:t>Diagnostic Systems Laboratories, Webster, TX</w:t>
            </w:r>
          </w:p>
        </w:tc>
        <w:tc>
          <w:tcPr>
            <w:tcW w:w="3119" w:type="dxa"/>
          </w:tcPr>
          <w:p w14:paraId="30E06CC9" w14:textId="77777777" w:rsidR="006343CE" w:rsidRPr="006343CE" w:rsidRDefault="006343CE" w:rsidP="001B2A30">
            <w:pPr>
              <w:pStyle w:val="Tabletext1"/>
              <w:rPr>
                <w:lang w:eastAsia="en-US"/>
              </w:rPr>
            </w:pPr>
            <w:r w:rsidRPr="006343CE">
              <w:rPr>
                <w:lang w:eastAsia="en-US"/>
              </w:rPr>
              <w:t>8.0%, 4.8% and 6.7%</w:t>
            </w:r>
          </w:p>
          <w:p w14:paraId="2CBA23C7" w14:textId="7043028A" w:rsidR="006343CE" w:rsidRPr="006343CE" w:rsidRDefault="006343CE" w:rsidP="001B2A30">
            <w:pPr>
              <w:pStyle w:val="Tabletext1"/>
              <w:rPr>
                <w:lang w:eastAsia="en-US"/>
              </w:rPr>
            </w:pPr>
            <w:r w:rsidRPr="006343CE">
              <w:rPr>
                <w:lang w:eastAsia="en-US"/>
              </w:rPr>
              <w:t>at 0.164, 0.917 and 4.527 ng/</w:t>
            </w:r>
            <w:r w:rsidR="00023800">
              <w:rPr>
                <w:lang w:eastAsia="en-US"/>
              </w:rPr>
              <w:t>mL</w:t>
            </w:r>
          </w:p>
        </w:tc>
        <w:tc>
          <w:tcPr>
            <w:tcW w:w="1417" w:type="dxa"/>
          </w:tcPr>
          <w:p w14:paraId="7BFB4B14" w14:textId="77777777" w:rsidR="006343CE" w:rsidRPr="006343CE" w:rsidRDefault="006343CE" w:rsidP="001B2A30">
            <w:pPr>
              <w:pStyle w:val="Tabletext1"/>
              <w:rPr>
                <w:lang w:eastAsia="en-US"/>
              </w:rPr>
            </w:pPr>
            <w:r w:rsidRPr="006343CE">
              <w:rPr>
                <w:lang w:eastAsia="en-US"/>
              </w:rPr>
              <w:t>0.63 pmol/L,</w:t>
            </w:r>
          </w:p>
          <w:p w14:paraId="727C2A89" w14:textId="77777777" w:rsidR="006343CE" w:rsidRPr="006343CE" w:rsidRDefault="006343CE" w:rsidP="001B2A30">
            <w:pPr>
              <w:pStyle w:val="Tabletext1"/>
              <w:rPr>
                <w:lang w:eastAsia="en-US"/>
              </w:rPr>
            </w:pPr>
            <w:r w:rsidRPr="006343CE">
              <w:rPr>
                <w:lang w:eastAsia="en-US"/>
              </w:rPr>
              <w:t>0.09 ng/mL</w:t>
            </w:r>
          </w:p>
        </w:tc>
      </w:tr>
      <w:tr w:rsidR="006343CE" w:rsidRPr="006343CE" w14:paraId="54C5C887" w14:textId="77777777" w:rsidTr="006343CE">
        <w:tc>
          <w:tcPr>
            <w:tcW w:w="1980" w:type="dxa"/>
          </w:tcPr>
          <w:p w14:paraId="51E10A1F" w14:textId="77777777" w:rsidR="006343CE" w:rsidRPr="006343CE" w:rsidRDefault="006343CE" w:rsidP="001B2A30">
            <w:pPr>
              <w:pStyle w:val="Tabletext1"/>
              <w:rPr>
                <w:lang w:eastAsia="en-US"/>
              </w:rPr>
            </w:pPr>
            <w:r w:rsidRPr="006343CE">
              <w:rPr>
                <w:lang w:eastAsia="en-US"/>
              </w:rPr>
              <w:t>AMH Gen II ELISA</w:t>
            </w:r>
          </w:p>
        </w:tc>
        <w:tc>
          <w:tcPr>
            <w:tcW w:w="2551" w:type="dxa"/>
          </w:tcPr>
          <w:p w14:paraId="414E27C5" w14:textId="77777777" w:rsidR="006343CE" w:rsidRPr="006343CE" w:rsidRDefault="006343CE" w:rsidP="001B2A30">
            <w:pPr>
              <w:pStyle w:val="Tabletext1"/>
              <w:rPr>
                <w:lang w:eastAsia="en-US"/>
              </w:rPr>
            </w:pPr>
            <w:r w:rsidRPr="006343CE">
              <w:rPr>
                <w:lang w:eastAsia="en-US"/>
              </w:rPr>
              <w:t>Beckman Coulter, Brea, CA</w:t>
            </w:r>
          </w:p>
        </w:tc>
        <w:tc>
          <w:tcPr>
            <w:tcW w:w="3119" w:type="dxa"/>
          </w:tcPr>
          <w:p w14:paraId="6E58889B" w14:textId="77777777" w:rsidR="006343CE" w:rsidRPr="006343CE" w:rsidRDefault="006343CE" w:rsidP="001B2A30">
            <w:pPr>
              <w:pStyle w:val="Tabletext1"/>
              <w:rPr>
                <w:lang w:eastAsia="en-US"/>
              </w:rPr>
            </w:pPr>
            <w:r w:rsidRPr="006343CE">
              <w:rPr>
                <w:lang w:eastAsia="en-US"/>
              </w:rPr>
              <w:t>5.6% and 4.5%</w:t>
            </w:r>
          </w:p>
          <w:p w14:paraId="557D8C8E" w14:textId="6773E4FE" w:rsidR="006343CE" w:rsidRPr="006343CE" w:rsidRDefault="006343CE" w:rsidP="001B2A30">
            <w:pPr>
              <w:pStyle w:val="Tabletext1"/>
              <w:rPr>
                <w:lang w:eastAsia="en-US"/>
              </w:rPr>
            </w:pPr>
            <w:r w:rsidRPr="006343CE">
              <w:rPr>
                <w:lang w:eastAsia="en-US"/>
              </w:rPr>
              <w:t>at 4.42 and 14.0 ng/</w:t>
            </w:r>
            <w:r w:rsidR="00023800">
              <w:rPr>
                <w:lang w:eastAsia="en-US"/>
              </w:rPr>
              <w:t>mL</w:t>
            </w:r>
          </w:p>
        </w:tc>
        <w:tc>
          <w:tcPr>
            <w:tcW w:w="1417" w:type="dxa"/>
          </w:tcPr>
          <w:p w14:paraId="4C86134E" w14:textId="77777777" w:rsidR="006343CE" w:rsidRPr="006343CE" w:rsidRDefault="006343CE" w:rsidP="001B2A30">
            <w:pPr>
              <w:pStyle w:val="Tabletext1"/>
              <w:rPr>
                <w:lang w:eastAsia="en-US"/>
              </w:rPr>
            </w:pPr>
            <w:r w:rsidRPr="006343CE">
              <w:rPr>
                <w:lang w:eastAsia="en-US"/>
              </w:rPr>
              <w:t>0.57 pmol/L,</w:t>
            </w:r>
          </w:p>
          <w:p w14:paraId="4E9F6A81" w14:textId="1CBDDC57" w:rsidR="006343CE" w:rsidRPr="006343CE" w:rsidRDefault="006343CE" w:rsidP="001B2A30">
            <w:pPr>
              <w:pStyle w:val="Tabletext1"/>
              <w:rPr>
                <w:lang w:eastAsia="en-US"/>
              </w:rPr>
            </w:pPr>
            <w:r w:rsidRPr="006343CE">
              <w:rPr>
                <w:lang w:eastAsia="en-US"/>
              </w:rPr>
              <w:t>0.08 ng/</w:t>
            </w:r>
            <w:r w:rsidR="00023800">
              <w:rPr>
                <w:lang w:eastAsia="en-US"/>
              </w:rPr>
              <w:t>mL</w:t>
            </w:r>
          </w:p>
        </w:tc>
      </w:tr>
      <w:tr w:rsidR="006343CE" w:rsidRPr="006343CE" w14:paraId="3B2805B8" w14:textId="77777777" w:rsidTr="006343CE">
        <w:tc>
          <w:tcPr>
            <w:tcW w:w="1980" w:type="dxa"/>
          </w:tcPr>
          <w:p w14:paraId="42AAD1F0" w14:textId="77777777" w:rsidR="006343CE" w:rsidRPr="006343CE" w:rsidRDefault="006343CE" w:rsidP="001B2A30">
            <w:pPr>
              <w:pStyle w:val="Tabletext1"/>
              <w:rPr>
                <w:lang w:eastAsia="en-US"/>
              </w:rPr>
            </w:pPr>
            <w:r w:rsidRPr="006343CE">
              <w:rPr>
                <w:lang w:eastAsia="en-US"/>
              </w:rPr>
              <w:t>USCN AMH ELISA</w:t>
            </w:r>
          </w:p>
        </w:tc>
        <w:tc>
          <w:tcPr>
            <w:tcW w:w="2551" w:type="dxa"/>
          </w:tcPr>
          <w:p w14:paraId="2E44B76F" w14:textId="7A3A805B" w:rsidR="006343CE" w:rsidRPr="006343CE" w:rsidRDefault="00354E48" w:rsidP="001B2A30">
            <w:pPr>
              <w:pStyle w:val="Tabletext1"/>
              <w:rPr>
                <w:lang w:eastAsia="en-US"/>
              </w:rPr>
            </w:pPr>
            <w:r>
              <w:rPr>
                <w:lang w:eastAsia="en-US"/>
              </w:rPr>
              <w:t>USCN Life Science Inc</w:t>
            </w:r>
            <w:r w:rsidR="00236E43">
              <w:rPr>
                <w:lang w:eastAsia="en-US"/>
              </w:rPr>
              <w:t>, Houston, TX</w:t>
            </w:r>
          </w:p>
        </w:tc>
        <w:tc>
          <w:tcPr>
            <w:tcW w:w="3119" w:type="dxa"/>
          </w:tcPr>
          <w:p w14:paraId="180CBF19" w14:textId="77777777" w:rsidR="007518CF" w:rsidRDefault="006343CE" w:rsidP="001B2A30">
            <w:pPr>
              <w:pStyle w:val="Tabletext1"/>
              <w:rPr>
                <w:lang w:eastAsia="en-US"/>
              </w:rPr>
            </w:pPr>
            <w:r w:rsidRPr="006343CE">
              <w:rPr>
                <w:lang w:eastAsia="en-US"/>
              </w:rPr>
              <w:t>&lt;12%</w:t>
            </w:r>
          </w:p>
          <w:p w14:paraId="6C1D84FD" w14:textId="4B59D49C" w:rsidR="006343CE" w:rsidRPr="006343CE" w:rsidRDefault="006343CE" w:rsidP="001B2A30">
            <w:pPr>
              <w:pStyle w:val="Tabletext1"/>
              <w:rPr>
                <w:lang w:eastAsia="en-US"/>
              </w:rPr>
            </w:pPr>
            <w:r w:rsidRPr="006343CE">
              <w:rPr>
                <w:lang w:eastAsia="en-US"/>
              </w:rPr>
              <w:t>over 0.062–5.0 ng/</w:t>
            </w:r>
            <w:r w:rsidR="00023800">
              <w:rPr>
                <w:lang w:eastAsia="en-US"/>
              </w:rPr>
              <w:t>mL</w:t>
            </w:r>
            <w:r w:rsidRPr="006343CE">
              <w:rPr>
                <w:lang w:eastAsia="en-US"/>
              </w:rPr>
              <w:t xml:space="preserve"> range</w:t>
            </w:r>
          </w:p>
        </w:tc>
        <w:tc>
          <w:tcPr>
            <w:tcW w:w="1417" w:type="dxa"/>
          </w:tcPr>
          <w:p w14:paraId="4383D7E5" w14:textId="77777777" w:rsidR="006343CE" w:rsidRPr="006343CE" w:rsidRDefault="006343CE" w:rsidP="001B2A30">
            <w:pPr>
              <w:pStyle w:val="Tabletext1"/>
              <w:rPr>
                <w:lang w:eastAsia="en-US"/>
              </w:rPr>
            </w:pPr>
            <w:r w:rsidRPr="006343CE">
              <w:rPr>
                <w:lang w:eastAsia="en-US"/>
              </w:rPr>
              <w:t>0.2 pmol/L,</w:t>
            </w:r>
          </w:p>
          <w:p w14:paraId="33FE3AF1" w14:textId="6AE6C560" w:rsidR="006343CE" w:rsidRPr="006343CE" w:rsidRDefault="006343CE" w:rsidP="001B2A30">
            <w:pPr>
              <w:pStyle w:val="Tabletext1"/>
              <w:rPr>
                <w:lang w:eastAsia="en-US"/>
              </w:rPr>
            </w:pPr>
            <w:r w:rsidRPr="006343CE">
              <w:rPr>
                <w:lang w:eastAsia="en-US"/>
              </w:rPr>
              <w:t>0.03 ng/</w:t>
            </w:r>
            <w:r w:rsidR="00023800">
              <w:rPr>
                <w:lang w:eastAsia="en-US"/>
              </w:rPr>
              <w:t>mL</w:t>
            </w:r>
          </w:p>
        </w:tc>
      </w:tr>
      <w:tr w:rsidR="006343CE" w:rsidRPr="006343CE" w14:paraId="7C586B71" w14:textId="77777777" w:rsidTr="006343CE">
        <w:tc>
          <w:tcPr>
            <w:tcW w:w="1980" w:type="dxa"/>
          </w:tcPr>
          <w:p w14:paraId="09703957" w14:textId="77777777" w:rsidR="006343CE" w:rsidRPr="006343CE" w:rsidRDefault="006343CE" w:rsidP="001B2A30">
            <w:pPr>
              <w:pStyle w:val="Tabletext1"/>
              <w:rPr>
                <w:lang w:eastAsia="en-US"/>
              </w:rPr>
            </w:pPr>
            <w:r w:rsidRPr="006343CE">
              <w:rPr>
                <w:lang w:eastAsia="en-US"/>
              </w:rPr>
              <w:t>Ultrasensitive AMH/MIS ELISA</w:t>
            </w:r>
          </w:p>
        </w:tc>
        <w:tc>
          <w:tcPr>
            <w:tcW w:w="2551" w:type="dxa"/>
          </w:tcPr>
          <w:p w14:paraId="31547BC0" w14:textId="77777777" w:rsidR="006343CE" w:rsidRPr="006343CE" w:rsidRDefault="006343CE" w:rsidP="001B2A30">
            <w:pPr>
              <w:pStyle w:val="Tabletext1"/>
              <w:rPr>
                <w:lang w:eastAsia="en-US"/>
              </w:rPr>
            </w:pPr>
            <w:r w:rsidRPr="006343CE">
              <w:rPr>
                <w:lang w:eastAsia="en-US"/>
              </w:rPr>
              <w:t>Ansh Labs, Webster, TX</w:t>
            </w:r>
          </w:p>
        </w:tc>
        <w:tc>
          <w:tcPr>
            <w:tcW w:w="3119" w:type="dxa"/>
          </w:tcPr>
          <w:p w14:paraId="111C309F" w14:textId="77777777" w:rsidR="006343CE" w:rsidRPr="006343CE" w:rsidRDefault="006343CE" w:rsidP="001B2A30">
            <w:pPr>
              <w:pStyle w:val="Tabletext1"/>
              <w:rPr>
                <w:lang w:eastAsia="en-US"/>
              </w:rPr>
            </w:pPr>
            <w:r w:rsidRPr="006343CE">
              <w:rPr>
                <w:lang w:eastAsia="en-US"/>
              </w:rPr>
              <w:t>4.6%, 4.8% and 2.0%</w:t>
            </w:r>
          </w:p>
          <w:p w14:paraId="0181FC43" w14:textId="6F761A18" w:rsidR="006343CE" w:rsidRPr="006343CE" w:rsidRDefault="006343CE" w:rsidP="001B2A30">
            <w:pPr>
              <w:pStyle w:val="Tabletext1"/>
              <w:rPr>
                <w:lang w:eastAsia="en-US"/>
              </w:rPr>
            </w:pPr>
            <w:r w:rsidRPr="006343CE">
              <w:rPr>
                <w:lang w:eastAsia="en-US"/>
              </w:rPr>
              <w:t>at 0.346, 0.715 and 1.853 ng/</w:t>
            </w:r>
            <w:r w:rsidR="00023800">
              <w:rPr>
                <w:lang w:eastAsia="en-US"/>
              </w:rPr>
              <w:t>mL</w:t>
            </w:r>
          </w:p>
        </w:tc>
        <w:tc>
          <w:tcPr>
            <w:tcW w:w="1417" w:type="dxa"/>
          </w:tcPr>
          <w:p w14:paraId="72B7482A" w14:textId="5A7658AA" w:rsidR="006343CE" w:rsidRPr="006343CE" w:rsidRDefault="006343CE" w:rsidP="001B2A30">
            <w:pPr>
              <w:pStyle w:val="Tabletext1"/>
              <w:rPr>
                <w:lang w:eastAsia="en-US"/>
              </w:rPr>
            </w:pPr>
            <w:r w:rsidRPr="006343CE">
              <w:rPr>
                <w:lang w:eastAsia="en-US"/>
              </w:rPr>
              <w:t>0.16 pmol/L, 0.023 ng/</w:t>
            </w:r>
            <w:r w:rsidR="00023800">
              <w:rPr>
                <w:lang w:eastAsia="en-US"/>
              </w:rPr>
              <w:t>mL</w:t>
            </w:r>
          </w:p>
        </w:tc>
      </w:tr>
      <w:tr w:rsidR="006343CE" w:rsidRPr="006343CE" w14:paraId="6D27A401" w14:textId="77777777" w:rsidTr="006343CE">
        <w:tc>
          <w:tcPr>
            <w:tcW w:w="1980" w:type="dxa"/>
          </w:tcPr>
          <w:p w14:paraId="671EC0EA" w14:textId="77777777" w:rsidR="006343CE" w:rsidRPr="006343CE" w:rsidRDefault="006343CE" w:rsidP="001B2A30">
            <w:pPr>
              <w:pStyle w:val="Tabletext1"/>
              <w:rPr>
                <w:lang w:eastAsia="en-US"/>
              </w:rPr>
            </w:pPr>
            <w:r w:rsidRPr="006343CE">
              <w:rPr>
                <w:lang w:eastAsia="en-US"/>
              </w:rPr>
              <w:t>Automated Access AMH test</w:t>
            </w:r>
          </w:p>
        </w:tc>
        <w:tc>
          <w:tcPr>
            <w:tcW w:w="2551" w:type="dxa"/>
          </w:tcPr>
          <w:p w14:paraId="21DBBC62" w14:textId="77777777" w:rsidR="006343CE" w:rsidRPr="006343CE" w:rsidRDefault="006343CE" w:rsidP="001B2A30">
            <w:pPr>
              <w:pStyle w:val="Tabletext1"/>
              <w:rPr>
                <w:lang w:eastAsia="en-US"/>
              </w:rPr>
            </w:pPr>
            <w:r w:rsidRPr="006343CE">
              <w:rPr>
                <w:lang w:eastAsia="en-US"/>
              </w:rPr>
              <w:t>Beckman Coulter</w:t>
            </w:r>
          </w:p>
        </w:tc>
        <w:tc>
          <w:tcPr>
            <w:tcW w:w="3119" w:type="dxa"/>
          </w:tcPr>
          <w:p w14:paraId="05D6BA3F" w14:textId="77777777" w:rsidR="006343CE" w:rsidRPr="006343CE" w:rsidRDefault="006343CE" w:rsidP="001B2A30">
            <w:pPr>
              <w:pStyle w:val="Tabletext1"/>
              <w:rPr>
                <w:lang w:eastAsia="en-US"/>
              </w:rPr>
            </w:pPr>
            <w:r w:rsidRPr="006343CE">
              <w:rPr>
                <w:lang w:eastAsia="en-US"/>
              </w:rPr>
              <w:t>3.04-5.76%</w:t>
            </w:r>
          </w:p>
          <w:p w14:paraId="19B3B0AC" w14:textId="77777777" w:rsidR="006343CE" w:rsidRPr="006343CE" w:rsidRDefault="006343CE" w:rsidP="001B2A30">
            <w:pPr>
              <w:pStyle w:val="Tabletext1"/>
              <w:rPr>
                <w:lang w:eastAsia="en-US"/>
              </w:rPr>
            </w:pPr>
            <w:r w:rsidRPr="006343CE">
              <w:rPr>
                <w:lang w:eastAsia="en-US"/>
              </w:rPr>
              <w:t>over 0.16-10.0 ng/mL range</w:t>
            </w:r>
          </w:p>
        </w:tc>
        <w:tc>
          <w:tcPr>
            <w:tcW w:w="1417" w:type="dxa"/>
          </w:tcPr>
          <w:p w14:paraId="1D8D694A" w14:textId="77777777" w:rsidR="006343CE" w:rsidRPr="006343CE" w:rsidRDefault="006343CE" w:rsidP="001B2A30">
            <w:pPr>
              <w:pStyle w:val="Tabletext1"/>
              <w:rPr>
                <w:lang w:eastAsia="en-US"/>
              </w:rPr>
            </w:pPr>
            <w:r w:rsidRPr="006343CE">
              <w:rPr>
                <w:lang w:eastAsia="en-US"/>
              </w:rPr>
              <w:t>0.14 pmol/L,</w:t>
            </w:r>
          </w:p>
          <w:p w14:paraId="550CF534" w14:textId="31402438" w:rsidR="006343CE" w:rsidRPr="006343CE" w:rsidRDefault="006343CE" w:rsidP="001B2A30">
            <w:pPr>
              <w:pStyle w:val="Tabletext1"/>
              <w:rPr>
                <w:lang w:eastAsia="en-US"/>
              </w:rPr>
            </w:pPr>
            <w:r w:rsidRPr="006343CE">
              <w:rPr>
                <w:lang w:eastAsia="en-US"/>
              </w:rPr>
              <w:t>0.02 ng/</w:t>
            </w:r>
            <w:r w:rsidR="00023800">
              <w:rPr>
                <w:lang w:eastAsia="en-US"/>
              </w:rPr>
              <w:t>mL</w:t>
            </w:r>
          </w:p>
        </w:tc>
      </w:tr>
      <w:tr w:rsidR="006343CE" w:rsidRPr="006343CE" w14:paraId="6845ACB7" w14:textId="77777777" w:rsidTr="006343CE">
        <w:tc>
          <w:tcPr>
            <w:tcW w:w="1980" w:type="dxa"/>
          </w:tcPr>
          <w:p w14:paraId="24CBAB95" w14:textId="77777777" w:rsidR="006343CE" w:rsidRPr="006343CE" w:rsidRDefault="006343CE" w:rsidP="001B2A30">
            <w:pPr>
              <w:pStyle w:val="Tabletext1"/>
              <w:rPr>
                <w:lang w:eastAsia="en-US"/>
              </w:rPr>
            </w:pPr>
            <w:r w:rsidRPr="006343CE">
              <w:rPr>
                <w:lang w:eastAsia="en-US"/>
              </w:rPr>
              <w:t>Elecsys AMH assay</w:t>
            </w:r>
            <w:r w:rsidRPr="006343CE">
              <w:rPr>
                <w:lang w:eastAsia="en-US"/>
              </w:rPr>
              <w:br/>
              <w:t>(Automated Cobas test)</w:t>
            </w:r>
          </w:p>
        </w:tc>
        <w:tc>
          <w:tcPr>
            <w:tcW w:w="2551" w:type="dxa"/>
          </w:tcPr>
          <w:p w14:paraId="3482384A" w14:textId="2535B9AA" w:rsidR="006343CE" w:rsidRPr="006343CE" w:rsidRDefault="006343CE" w:rsidP="001B2A30">
            <w:pPr>
              <w:pStyle w:val="Tabletext1"/>
              <w:rPr>
                <w:lang w:eastAsia="en-US"/>
              </w:rPr>
            </w:pPr>
            <w:r w:rsidRPr="006343CE">
              <w:rPr>
                <w:lang w:eastAsia="en-US"/>
              </w:rPr>
              <w:t>Roche Diagnostics</w:t>
            </w:r>
            <w:r w:rsidR="00B3564F">
              <w:rPr>
                <w:lang w:eastAsia="en-US"/>
              </w:rPr>
              <w:t>, Rotkreuz, Switzerland (headquarters)</w:t>
            </w:r>
          </w:p>
        </w:tc>
        <w:tc>
          <w:tcPr>
            <w:tcW w:w="3119" w:type="dxa"/>
          </w:tcPr>
          <w:p w14:paraId="02B63B77" w14:textId="77777777" w:rsidR="006343CE" w:rsidRPr="006343CE" w:rsidRDefault="006343CE" w:rsidP="001B2A30">
            <w:pPr>
              <w:pStyle w:val="Tabletext1"/>
              <w:rPr>
                <w:lang w:eastAsia="en-US"/>
              </w:rPr>
            </w:pPr>
            <w:r w:rsidRPr="006343CE">
              <w:rPr>
                <w:lang w:eastAsia="en-US"/>
              </w:rPr>
              <w:t>&lt;2.2%</w:t>
            </w:r>
          </w:p>
          <w:p w14:paraId="2413E9C6" w14:textId="7013B9C6" w:rsidR="006343CE" w:rsidRPr="006343CE" w:rsidRDefault="006343CE" w:rsidP="001B2A30">
            <w:pPr>
              <w:pStyle w:val="Tabletext1"/>
              <w:rPr>
                <w:lang w:eastAsia="en-US"/>
              </w:rPr>
            </w:pPr>
            <w:r w:rsidRPr="006343CE">
              <w:rPr>
                <w:lang w:eastAsia="en-US"/>
              </w:rPr>
              <w:t>across 0.95–5.19 ng/</w:t>
            </w:r>
            <w:r w:rsidR="00023800">
              <w:rPr>
                <w:lang w:eastAsia="en-US"/>
              </w:rPr>
              <w:t>mL</w:t>
            </w:r>
            <w:r w:rsidRPr="006343CE">
              <w:rPr>
                <w:lang w:eastAsia="en-US"/>
              </w:rPr>
              <w:t xml:space="preserve"> range</w:t>
            </w:r>
          </w:p>
        </w:tc>
        <w:tc>
          <w:tcPr>
            <w:tcW w:w="1417" w:type="dxa"/>
          </w:tcPr>
          <w:p w14:paraId="2AFC047C" w14:textId="77777777" w:rsidR="006343CE" w:rsidRPr="006343CE" w:rsidRDefault="006343CE" w:rsidP="001B2A30">
            <w:pPr>
              <w:pStyle w:val="Tabletext1"/>
              <w:rPr>
                <w:lang w:eastAsia="en-US"/>
              </w:rPr>
            </w:pPr>
            <w:r w:rsidRPr="006343CE">
              <w:rPr>
                <w:lang w:eastAsia="en-US"/>
              </w:rPr>
              <w:t>0.07 pmol/L,</w:t>
            </w:r>
          </w:p>
          <w:p w14:paraId="2144D254" w14:textId="7590C4F8" w:rsidR="006343CE" w:rsidRPr="006343CE" w:rsidRDefault="006343CE" w:rsidP="001B2A30">
            <w:pPr>
              <w:pStyle w:val="Tabletext1"/>
              <w:rPr>
                <w:lang w:eastAsia="en-US"/>
              </w:rPr>
            </w:pPr>
            <w:r w:rsidRPr="006343CE">
              <w:rPr>
                <w:lang w:eastAsia="en-US"/>
              </w:rPr>
              <w:t>0.01 ng/</w:t>
            </w:r>
            <w:r w:rsidR="00023800">
              <w:rPr>
                <w:lang w:eastAsia="en-US"/>
              </w:rPr>
              <w:t>mL</w:t>
            </w:r>
          </w:p>
        </w:tc>
      </w:tr>
      <w:tr w:rsidR="006343CE" w:rsidRPr="006343CE" w14:paraId="4F859BDE" w14:textId="77777777" w:rsidTr="006343CE">
        <w:tc>
          <w:tcPr>
            <w:tcW w:w="1980" w:type="dxa"/>
          </w:tcPr>
          <w:p w14:paraId="53FFDE44" w14:textId="77777777" w:rsidR="006343CE" w:rsidRPr="006343CE" w:rsidRDefault="006343CE" w:rsidP="001B2A30">
            <w:pPr>
              <w:pStyle w:val="Tabletext1"/>
              <w:rPr>
                <w:lang w:eastAsia="en-US"/>
              </w:rPr>
            </w:pPr>
            <w:r w:rsidRPr="006343CE">
              <w:rPr>
                <w:lang w:eastAsia="en-US"/>
              </w:rPr>
              <w:t>Pico-AMH ELISA</w:t>
            </w:r>
          </w:p>
        </w:tc>
        <w:tc>
          <w:tcPr>
            <w:tcW w:w="2551" w:type="dxa"/>
          </w:tcPr>
          <w:p w14:paraId="19FEC53A" w14:textId="77777777" w:rsidR="006343CE" w:rsidRPr="006343CE" w:rsidRDefault="006343CE" w:rsidP="001B2A30">
            <w:pPr>
              <w:pStyle w:val="Tabletext1"/>
              <w:rPr>
                <w:lang w:eastAsia="en-US"/>
              </w:rPr>
            </w:pPr>
            <w:r w:rsidRPr="006343CE">
              <w:rPr>
                <w:lang w:eastAsia="en-US"/>
              </w:rPr>
              <w:t>Ansh Labs, Webster, TX</w:t>
            </w:r>
          </w:p>
        </w:tc>
        <w:tc>
          <w:tcPr>
            <w:tcW w:w="3119" w:type="dxa"/>
          </w:tcPr>
          <w:p w14:paraId="5DE0F279" w14:textId="77777777" w:rsidR="006343CE" w:rsidRPr="006343CE" w:rsidRDefault="006343CE" w:rsidP="001B2A30">
            <w:pPr>
              <w:pStyle w:val="Tabletext1"/>
              <w:rPr>
                <w:lang w:eastAsia="en-US"/>
              </w:rPr>
            </w:pPr>
            <w:r w:rsidRPr="006343CE">
              <w:rPr>
                <w:lang w:eastAsia="en-US"/>
              </w:rPr>
              <w:t>4.5%, 2.3% and 3.8%</w:t>
            </w:r>
          </w:p>
          <w:p w14:paraId="19C2F2D6" w14:textId="683E4B9C" w:rsidR="006343CE" w:rsidRPr="006343CE" w:rsidRDefault="006343CE" w:rsidP="001B2A30">
            <w:pPr>
              <w:pStyle w:val="Tabletext1"/>
              <w:rPr>
                <w:lang w:eastAsia="en-US"/>
              </w:rPr>
            </w:pPr>
            <w:r w:rsidRPr="006343CE">
              <w:rPr>
                <w:lang w:eastAsia="en-US"/>
              </w:rPr>
              <w:t>at 0.023, 0.087 and 0.373 ng/</w:t>
            </w:r>
            <w:r w:rsidR="00023800">
              <w:rPr>
                <w:lang w:eastAsia="en-US"/>
              </w:rPr>
              <w:t>mL</w:t>
            </w:r>
          </w:p>
        </w:tc>
        <w:tc>
          <w:tcPr>
            <w:tcW w:w="1417" w:type="dxa"/>
          </w:tcPr>
          <w:p w14:paraId="66EABE47" w14:textId="77777777" w:rsidR="006343CE" w:rsidRPr="006343CE" w:rsidRDefault="006343CE" w:rsidP="001B2A30">
            <w:pPr>
              <w:pStyle w:val="Tabletext1"/>
              <w:rPr>
                <w:lang w:eastAsia="en-US"/>
              </w:rPr>
            </w:pPr>
            <w:r w:rsidRPr="006343CE">
              <w:rPr>
                <w:lang w:eastAsia="en-US"/>
              </w:rPr>
              <w:t>0.0086 pmol/L,</w:t>
            </w:r>
          </w:p>
          <w:p w14:paraId="56928F05" w14:textId="25DF493A" w:rsidR="006343CE" w:rsidRPr="006343CE" w:rsidRDefault="006343CE" w:rsidP="001B2A30">
            <w:pPr>
              <w:pStyle w:val="Tabletext1"/>
              <w:rPr>
                <w:lang w:eastAsia="en-US"/>
              </w:rPr>
            </w:pPr>
            <w:r w:rsidRPr="006343CE">
              <w:rPr>
                <w:lang w:eastAsia="en-US"/>
              </w:rPr>
              <w:t>0.0012 ng/</w:t>
            </w:r>
            <w:r w:rsidR="00023800">
              <w:rPr>
                <w:lang w:eastAsia="en-US"/>
              </w:rPr>
              <w:t>mL</w:t>
            </w:r>
          </w:p>
        </w:tc>
      </w:tr>
    </w:tbl>
    <w:p w14:paraId="09B5FC97" w14:textId="38CF16B9" w:rsidR="006343CE" w:rsidRDefault="006343CE" w:rsidP="00D813A0">
      <w:pPr>
        <w:widowControl w:val="0"/>
        <w:spacing w:line="240" w:lineRule="auto"/>
        <w:contextualSpacing/>
        <w:jc w:val="both"/>
        <w:rPr>
          <w:rFonts w:ascii="Arial Narrow" w:hAnsi="Arial Narrow" w:cs="Arial"/>
          <w:snapToGrid w:val="0"/>
          <w:sz w:val="18"/>
          <w:szCs w:val="20"/>
          <w:lang w:eastAsia="en-US"/>
        </w:rPr>
      </w:pPr>
      <w:r w:rsidRPr="006343CE">
        <w:rPr>
          <w:rFonts w:ascii="Arial Narrow" w:hAnsi="Arial Narrow" w:cs="Arial"/>
          <w:snapToGrid w:val="0"/>
          <w:sz w:val="18"/>
          <w:szCs w:val="20"/>
          <w:lang w:eastAsia="en-US"/>
        </w:rPr>
        <w:t xml:space="preserve">AMH = anti-Müllerian hormone; </w:t>
      </w:r>
      <w:r w:rsidR="00776418">
        <w:rPr>
          <w:rFonts w:ascii="Arial Narrow" w:hAnsi="Arial Narrow" w:cs="Arial"/>
          <w:snapToGrid w:val="0"/>
          <w:sz w:val="18"/>
          <w:szCs w:val="20"/>
          <w:lang w:eastAsia="en-US"/>
        </w:rPr>
        <w:t>CoV</w:t>
      </w:r>
      <w:r w:rsidRPr="006343CE">
        <w:rPr>
          <w:rFonts w:ascii="Arial Narrow" w:hAnsi="Arial Narrow" w:cs="Arial"/>
          <w:snapToGrid w:val="0"/>
          <w:sz w:val="18"/>
          <w:szCs w:val="20"/>
          <w:lang w:eastAsia="en-US"/>
        </w:rPr>
        <w:t xml:space="preserve"> = coefficient</w:t>
      </w:r>
      <w:r w:rsidR="00205BD5">
        <w:rPr>
          <w:rFonts w:ascii="Arial Narrow" w:hAnsi="Arial Narrow" w:cs="Arial"/>
          <w:snapToGrid w:val="0"/>
          <w:sz w:val="18"/>
          <w:szCs w:val="20"/>
          <w:lang w:eastAsia="en-US"/>
        </w:rPr>
        <w:t>(s)</w:t>
      </w:r>
      <w:r w:rsidRPr="006343CE">
        <w:rPr>
          <w:rFonts w:ascii="Arial Narrow" w:hAnsi="Arial Narrow" w:cs="Arial"/>
          <w:snapToGrid w:val="0"/>
          <w:sz w:val="18"/>
          <w:szCs w:val="20"/>
          <w:lang w:eastAsia="en-US"/>
        </w:rPr>
        <w:t xml:space="preserve"> of variation; EIA = enzyme Immunoassay; ELISA = enzyme-linked immunosorbent assay; LoD = limit of detection; MIS = Mü</w:t>
      </w:r>
      <w:r w:rsidR="005070FC">
        <w:rPr>
          <w:rFonts w:ascii="Arial Narrow" w:hAnsi="Arial Narrow" w:cs="Arial"/>
          <w:snapToGrid w:val="0"/>
          <w:sz w:val="18"/>
          <w:szCs w:val="20"/>
          <w:lang w:eastAsia="en-US"/>
        </w:rPr>
        <w:t>llerian-inhibiting</w:t>
      </w:r>
      <w:r w:rsidRPr="006343CE">
        <w:rPr>
          <w:rFonts w:ascii="Arial Narrow" w:hAnsi="Arial Narrow" w:cs="Arial"/>
          <w:snapToGrid w:val="0"/>
          <w:sz w:val="18"/>
          <w:szCs w:val="20"/>
          <w:lang w:eastAsia="en-US"/>
        </w:rPr>
        <w:t xml:space="preserve"> substance</w:t>
      </w:r>
    </w:p>
    <w:p w14:paraId="3EDE2212" w14:textId="77777777" w:rsidR="00170274" w:rsidRPr="006343CE" w:rsidRDefault="00170274" w:rsidP="00170274">
      <w:pPr>
        <w:widowControl w:val="0"/>
        <w:spacing w:line="240" w:lineRule="auto"/>
        <w:contextualSpacing/>
        <w:jc w:val="both"/>
        <w:rPr>
          <w:rFonts w:ascii="Arial Narrow" w:hAnsi="Arial Narrow" w:cs="Arial"/>
          <w:snapToGrid w:val="0"/>
          <w:sz w:val="18"/>
          <w:szCs w:val="20"/>
          <w:lang w:eastAsia="en-US"/>
        </w:rPr>
      </w:pPr>
      <w:r>
        <w:rPr>
          <w:rFonts w:ascii="Arial Narrow" w:hAnsi="Arial Narrow" w:cs="Arial"/>
          <w:snapToGrid w:val="0"/>
          <w:sz w:val="18"/>
          <w:szCs w:val="20"/>
          <w:lang w:eastAsia="en-US"/>
        </w:rPr>
        <w:t xml:space="preserve">Note: </w:t>
      </w:r>
      <w:r w:rsidRPr="006343CE">
        <w:rPr>
          <w:rFonts w:ascii="Arial Narrow" w:hAnsi="Arial Narrow" w:cs="Arial"/>
          <w:snapToGrid w:val="0"/>
          <w:sz w:val="18"/>
          <w:szCs w:val="20"/>
          <w:lang w:eastAsia="en-US"/>
        </w:rPr>
        <w:t>1 ng/</w:t>
      </w:r>
      <w:r>
        <w:rPr>
          <w:rFonts w:ascii="Arial Narrow" w:hAnsi="Arial Narrow" w:cs="Arial"/>
          <w:snapToGrid w:val="0"/>
          <w:sz w:val="18"/>
          <w:szCs w:val="20"/>
          <w:lang w:eastAsia="en-US"/>
        </w:rPr>
        <w:t>mL</w:t>
      </w:r>
      <w:r w:rsidRPr="006343CE">
        <w:rPr>
          <w:rFonts w:ascii="Arial Narrow" w:hAnsi="Arial Narrow" w:cs="Arial"/>
          <w:snapToGrid w:val="0"/>
          <w:sz w:val="18"/>
          <w:szCs w:val="20"/>
          <w:lang w:eastAsia="en-US"/>
        </w:rPr>
        <w:t xml:space="preserve"> AMH is equivalent to 7.14 pmol/L</w:t>
      </w:r>
    </w:p>
    <w:p w14:paraId="25A7D40B" w14:textId="0A486F55" w:rsidR="006343CE" w:rsidRPr="006343CE" w:rsidRDefault="006343CE" w:rsidP="003F773B">
      <w:pPr>
        <w:pStyle w:val="Heading2"/>
        <w:numPr>
          <w:ilvl w:val="1"/>
          <w:numId w:val="57"/>
        </w:numPr>
      </w:pPr>
      <w:bookmarkStart w:id="239" w:name="_Toc502832931"/>
      <w:r w:rsidRPr="006343CE">
        <w:t xml:space="preserve">Outcome </w:t>
      </w:r>
      <w:r w:rsidR="00DC5CE5">
        <w:t>m</w:t>
      </w:r>
      <w:r w:rsidRPr="006343CE">
        <w:t xml:space="preserve">easures and </w:t>
      </w:r>
      <w:r w:rsidR="00DC5CE5">
        <w:t>a</w:t>
      </w:r>
      <w:r w:rsidRPr="006343CE">
        <w:t>nalysis</w:t>
      </w:r>
      <w:bookmarkEnd w:id="239"/>
    </w:p>
    <w:p w14:paraId="327E83C3" w14:textId="0FD4AAE1" w:rsidR="006343CE" w:rsidRPr="006343CE" w:rsidRDefault="00354E48" w:rsidP="006343CE">
      <w:pPr>
        <w:jc w:val="both"/>
      </w:pPr>
      <w:r>
        <w:t>T</w:t>
      </w:r>
      <w:r w:rsidR="006343CE" w:rsidRPr="006343CE">
        <w:t>he outcomes measured in the included studies, along with the statistical meth</w:t>
      </w:r>
      <w:r>
        <w:t xml:space="preserve">ods used to analyse the results, are included in </w:t>
      </w:r>
      <w:r w:rsidR="00C030D9">
        <w:fldChar w:fldCharType="begin"/>
      </w:r>
      <w:r w:rsidR="00C030D9">
        <w:instrText xml:space="preserve"> REF _Ref364237249 \h </w:instrText>
      </w:r>
      <w:r w:rsidR="00C030D9">
        <w:fldChar w:fldCharType="separate"/>
      </w:r>
      <w:r w:rsidR="00AC4BE5" w:rsidRPr="00183E4D">
        <w:t xml:space="preserve">Appendix </w:t>
      </w:r>
      <w:r w:rsidR="00AC4BE5">
        <w:rPr>
          <w:noProof/>
        </w:rPr>
        <w:t>C</w:t>
      </w:r>
      <w:r w:rsidR="00C030D9">
        <w:fldChar w:fldCharType="end"/>
      </w:r>
      <w:r>
        <w:t>.</w:t>
      </w:r>
    </w:p>
    <w:p w14:paraId="16C6322F" w14:textId="517C77FB" w:rsidR="00025C8D" w:rsidRPr="003F773B" w:rsidRDefault="004446E6" w:rsidP="003F773B">
      <w:pPr>
        <w:pStyle w:val="Heading3"/>
      </w:pPr>
      <w:bookmarkStart w:id="240" w:name="_Toc502832932"/>
      <w:r w:rsidRPr="003F773B">
        <w:t>A</w:t>
      </w:r>
      <w:r w:rsidR="00A86490" w:rsidRPr="003F773B">
        <w:t>nalytical validity</w:t>
      </w:r>
      <w:bookmarkEnd w:id="240"/>
    </w:p>
    <w:p w14:paraId="4C7FF3CA" w14:textId="7C00732D" w:rsidR="00025C8D" w:rsidRPr="006343CE" w:rsidRDefault="00025C8D" w:rsidP="00025C8D">
      <w:pPr>
        <w:jc w:val="both"/>
      </w:pPr>
      <w:r w:rsidRPr="006343CE">
        <w:t xml:space="preserve">To assess the </w:t>
      </w:r>
      <w:r w:rsidR="00A86490">
        <w:t>analytical validity</w:t>
      </w:r>
      <w:r w:rsidRPr="006343CE">
        <w:t xml:space="preserve"> of the proposed test, studies were only included if they provided data that could be extracted into a classic </w:t>
      </w:r>
      <w:r w:rsidR="008308DE" w:rsidRPr="008308DE">
        <w:t>2 × 2</w:t>
      </w:r>
      <w:r w:rsidRPr="006343CE">
        <w:t xml:space="preserve"> table, in which the results of the index test or the comparator were cross-classified against the results of the reference standard</w:t>
      </w:r>
      <w:r w:rsidRPr="006343CE">
        <w:rPr>
          <w:vertAlign w:val="superscript"/>
        </w:rPr>
        <w:footnoteReference w:id="3"/>
      </w:r>
      <w:r w:rsidRPr="006343CE">
        <w:t xml:space="preserve"> </w:t>
      </w:r>
      <w:r w:rsidR="000C7B8B">
        <w:t>using</w:t>
      </w:r>
      <w:r w:rsidRPr="006343CE">
        <w:t xml:space="preserve"> </w:t>
      </w:r>
      <w:bookmarkStart w:id="241" w:name="OLE_LINK436"/>
      <w:bookmarkStart w:id="242" w:name="OLE_LINK437"/>
      <w:r w:rsidRPr="006343CE">
        <w:t xml:space="preserve">Bayes’ Theorem </w:t>
      </w:r>
      <w:bookmarkEnd w:id="241"/>
      <w:bookmarkEnd w:id="242"/>
      <w:r w:rsidR="00801B0E">
        <w:t>(</w:t>
      </w:r>
      <w:r w:rsidRPr="006343CE">
        <w:fldChar w:fldCharType="begin"/>
      </w:r>
      <w:r w:rsidRPr="006343CE">
        <w:instrText xml:space="preserve"> REF _Ref406161847 \h </w:instrText>
      </w:r>
      <w:r w:rsidR="00801B0E">
        <w:instrText xml:space="preserve"> \* MERGEFORMAT </w:instrText>
      </w:r>
      <w:r w:rsidRPr="006343CE">
        <w:fldChar w:fldCharType="separate"/>
      </w:r>
      <w:r w:rsidR="00AC4BE5" w:rsidRPr="006343CE">
        <w:t xml:space="preserve">Table </w:t>
      </w:r>
      <w:r w:rsidR="00AC4BE5">
        <w:t>29</w:t>
      </w:r>
      <w:r w:rsidRPr="006343CE">
        <w:fldChar w:fldCharType="end"/>
      </w:r>
      <w:r w:rsidR="00801B0E">
        <w:t>)</w:t>
      </w:r>
      <w:r w:rsidRPr="006343CE">
        <w:t xml:space="preserve">. </w:t>
      </w:r>
      <w:r w:rsidR="000C7B8B">
        <w:t>This means that for each</w:t>
      </w:r>
      <w:r w:rsidRPr="006343CE">
        <w:t xml:space="preserve"> study</w:t>
      </w:r>
      <w:r w:rsidR="000C7B8B">
        <w:t xml:space="preserve"> reporting outcomes for analytical validity</w:t>
      </w:r>
      <w:r w:rsidRPr="006343CE">
        <w:t xml:space="preserve"> a th</w:t>
      </w:r>
      <w:r w:rsidR="000C7B8B">
        <w:t xml:space="preserve">reshold needs to be applied, such that </w:t>
      </w:r>
      <w:r w:rsidRPr="006343CE">
        <w:t xml:space="preserve">AMH levels above the threshold are considered positive, </w:t>
      </w:r>
      <w:r w:rsidR="000C7B8B">
        <w:lastRenderedPageBreak/>
        <w:t>while those</w:t>
      </w:r>
      <w:r w:rsidRPr="006343CE">
        <w:t xml:space="preserve"> below the threshold are considered negative. In some studies a detectab</w:t>
      </w:r>
      <w:r w:rsidR="000C7B8B">
        <w:t>le level of AMH was considered positive</w:t>
      </w:r>
      <w:r w:rsidRPr="006343CE">
        <w:t>.</w:t>
      </w:r>
    </w:p>
    <w:p w14:paraId="2F234891" w14:textId="77777777" w:rsidR="007518CF" w:rsidRDefault="00025C8D" w:rsidP="00634539">
      <w:pPr>
        <w:pStyle w:val="TableHeading"/>
      </w:pPr>
      <w:bookmarkStart w:id="243" w:name="_Ref406161847"/>
      <w:bookmarkStart w:id="244" w:name="_Toc432677285"/>
      <w:bookmarkStart w:id="245" w:name="_Toc406659807"/>
      <w:bookmarkStart w:id="246" w:name="_Toc502833047"/>
      <w:r w:rsidRPr="006343CE">
        <w:t xml:space="preserve">Table </w:t>
      </w:r>
      <w:r w:rsidR="00AC4BE5">
        <w:fldChar w:fldCharType="begin"/>
      </w:r>
      <w:r w:rsidR="00AC4BE5">
        <w:instrText xml:space="preserve"> SEQ Table \* ARABIC </w:instrText>
      </w:r>
      <w:r w:rsidR="00AC4BE5">
        <w:fldChar w:fldCharType="separate"/>
      </w:r>
      <w:r w:rsidR="00AC4BE5">
        <w:rPr>
          <w:noProof/>
        </w:rPr>
        <w:t>29</w:t>
      </w:r>
      <w:r w:rsidR="00AC4BE5">
        <w:rPr>
          <w:noProof/>
        </w:rPr>
        <w:fldChar w:fldCharType="end"/>
      </w:r>
      <w:bookmarkEnd w:id="243"/>
      <w:r w:rsidRPr="006343CE">
        <w:rPr>
          <w:noProof/>
        </w:rPr>
        <w:tab/>
      </w:r>
      <w:r w:rsidR="00A86490">
        <w:t>Analytical validity</w:t>
      </w:r>
      <w:r w:rsidRPr="006343CE">
        <w:t xml:space="preserve"> data extraction</w:t>
      </w:r>
      <w:bookmarkEnd w:id="244"/>
      <w:bookmarkEnd w:id="245"/>
      <w:bookmarkEnd w:id="246"/>
    </w:p>
    <w:p w14:paraId="3467482E" w14:textId="3C0BE37F" w:rsidR="00025C8D" w:rsidRPr="006343CE" w:rsidRDefault="00025C8D" w:rsidP="00025C8D">
      <w:pPr>
        <w:keepNext/>
        <w:spacing w:after="40" w:line="240" w:lineRule="auto"/>
        <w:ind w:left="3402"/>
        <w:rPr>
          <w:rFonts w:ascii="Arial Narrow" w:hAnsi="Arial Narrow"/>
          <w:b/>
          <w:sz w:val="20"/>
        </w:rPr>
      </w:pPr>
      <w:r w:rsidRPr="006343CE">
        <w:rPr>
          <w:rFonts w:ascii="Arial Narrow" w:hAnsi="Arial Narrow"/>
          <w:b/>
          <w:sz w:val="20"/>
        </w:rPr>
        <w:t>Clinical reference standard</w:t>
      </w:r>
    </w:p>
    <w:tbl>
      <w:tblPr>
        <w:tblStyle w:val="TableGrid1"/>
        <w:tblW w:w="9039" w:type="dxa"/>
        <w:tblLayout w:type="fixed"/>
        <w:tblLook w:val="0000" w:firstRow="0" w:lastRow="0" w:firstColumn="0" w:lastColumn="0" w:noHBand="0" w:noVBand="0"/>
        <w:tblDescription w:val="Analytical validity data extraction standard table"/>
      </w:tblPr>
      <w:tblGrid>
        <w:gridCol w:w="1526"/>
        <w:gridCol w:w="1134"/>
        <w:gridCol w:w="2268"/>
        <w:gridCol w:w="1984"/>
        <w:gridCol w:w="2127"/>
      </w:tblGrid>
      <w:tr w:rsidR="00025C8D" w:rsidRPr="006343CE" w14:paraId="1AB95CDF" w14:textId="77777777" w:rsidTr="009B1C7A">
        <w:trPr>
          <w:trHeight w:val="310"/>
          <w:tblHeader/>
        </w:trPr>
        <w:tc>
          <w:tcPr>
            <w:tcW w:w="1526" w:type="dxa"/>
          </w:tcPr>
          <w:p w14:paraId="7948ECC4" w14:textId="77777777" w:rsidR="00025C8D" w:rsidRPr="006343CE" w:rsidRDefault="00025C8D" w:rsidP="00B61115">
            <w:pPr>
              <w:keepNext/>
              <w:spacing w:after="40" w:line="240" w:lineRule="auto"/>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c>
          <w:tcPr>
            <w:tcW w:w="1134" w:type="dxa"/>
          </w:tcPr>
          <w:p w14:paraId="7DB01628" w14:textId="77777777" w:rsidR="00025C8D" w:rsidRPr="006343CE" w:rsidRDefault="00025C8D" w:rsidP="00B61115">
            <w:pPr>
              <w:keepNext/>
              <w:spacing w:after="40" w:line="240" w:lineRule="auto"/>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c>
          <w:tcPr>
            <w:tcW w:w="2268" w:type="dxa"/>
          </w:tcPr>
          <w:p w14:paraId="674EFF94" w14:textId="2FAC39E7" w:rsidR="00025C8D" w:rsidRPr="006343CE" w:rsidRDefault="00025C8D" w:rsidP="00B61115">
            <w:pPr>
              <w:keepNext/>
              <w:spacing w:after="40" w:line="240" w:lineRule="auto"/>
              <w:ind w:left="113"/>
              <w:rPr>
                <w:rFonts w:ascii="Arial Narrow" w:hAnsi="Arial Narrow"/>
                <w:sz w:val="20"/>
                <w:szCs w:val="20"/>
              </w:rPr>
            </w:pPr>
            <w:r w:rsidRPr="006343CE">
              <w:rPr>
                <w:rFonts w:ascii="Arial Narrow" w:hAnsi="Arial Narrow"/>
                <w:i/>
                <w:sz w:val="20"/>
                <w:szCs w:val="20"/>
              </w:rPr>
              <w:t>Have outcome</w:t>
            </w:r>
          </w:p>
        </w:tc>
        <w:tc>
          <w:tcPr>
            <w:tcW w:w="1984" w:type="dxa"/>
          </w:tcPr>
          <w:p w14:paraId="5CAFC521" w14:textId="77777777" w:rsidR="00025C8D" w:rsidRPr="006343CE" w:rsidRDefault="00025C8D" w:rsidP="00B61115">
            <w:pPr>
              <w:keepNext/>
              <w:spacing w:after="40" w:line="240" w:lineRule="auto"/>
              <w:ind w:left="113"/>
              <w:rPr>
                <w:rFonts w:ascii="Arial Narrow" w:hAnsi="Arial Narrow"/>
                <w:sz w:val="20"/>
                <w:szCs w:val="20"/>
              </w:rPr>
            </w:pPr>
            <w:r w:rsidRPr="006343CE">
              <w:rPr>
                <w:rFonts w:ascii="Arial Narrow" w:hAnsi="Arial Narrow"/>
                <w:i/>
                <w:sz w:val="20"/>
                <w:szCs w:val="20"/>
              </w:rPr>
              <w:t>Do not have outcome</w:t>
            </w:r>
          </w:p>
        </w:tc>
        <w:tc>
          <w:tcPr>
            <w:tcW w:w="2127" w:type="dxa"/>
          </w:tcPr>
          <w:p w14:paraId="5E2A6033" w14:textId="77777777" w:rsidR="00025C8D" w:rsidRPr="006343CE" w:rsidRDefault="00025C8D" w:rsidP="00B61115">
            <w:pPr>
              <w:keepNext/>
              <w:spacing w:after="40" w:line="240" w:lineRule="auto"/>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r>
      <w:tr w:rsidR="00025C8D" w:rsidRPr="006343CE" w14:paraId="35D09C56" w14:textId="77777777" w:rsidTr="009B1C7A">
        <w:trPr>
          <w:trHeight w:val="449"/>
        </w:trPr>
        <w:tc>
          <w:tcPr>
            <w:tcW w:w="1526" w:type="dxa"/>
          </w:tcPr>
          <w:p w14:paraId="542C9068" w14:textId="77777777" w:rsidR="00025C8D" w:rsidRPr="006343CE" w:rsidRDefault="00025C8D" w:rsidP="00B61115">
            <w:pPr>
              <w:keepNext/>
              <w:spacing w:after="40"/>
              <w:jc w:val="center"/>
              <w:rPr>
                <w:rFonts w:ascii="Arial Narrow" w:hAnsi="Arial Narrow"/>
                <w:b/>
                <w:sz w:val="20"/>
                <w:szCs w:val="20"/>
              </w:rPr>
            </w:pPr>
            <w:r w:rsidRPr="006343CE">
              <w:rPr>
                <w:rFonts w:ascii="Arial Narrow" w:hAnsi="Arial Narrow"/>
                <w:b/>
                <w:sz w:val="20"/>
                <w:szCs w:val="20"/>
              </w:rPr>
              <w:t xml:space="preserve">Index test </w:t>
            </w:r>
          </w:p>
        </w:tc>
        <w:tc>
          <w:tcPr>
            <w:tcW w:w="1134" w:type="dxa"/>
          </w:tcPr>
          <w:p w14:paraId="4CACC4DD" w14:textId="77777777" w:rsidR="00025C8D" w:rsidRPr="006343CE" w:rsidRDefault="00025C8D" w:rsidP="00B61115">
            <w:pPr>
              <w:keepNext/>
              <w:spacing w:after="40"/>
              <w:rPr>
                <w:rFonts w:ascii="Arial Narrow" w:hAnsi="Arial Narrow"/>
                <w:sz w:val="20"/>
                <w:szCs w:val="20"/>
              </w:rPr>
            </w:pPr>
            <w:r w:rsidRPr="006343CE">
              <w:rPr>
                <w:rFonts w:ascii="Arial Narrow" w:hAnsi="Arial Narrow"/>
                <w:i/>
                <w:sz w:val="20"/>
                <w:szCs w:val="20"/>
              </w:rPr>
              <w:t>Test +</w:t>
            </w:r>
          </w:p>
        </w:tc>
        <w:tc>
          <w:tcPr>
            <w:tcW w:w="2268" w:type="dxa"/>
          </w:tcPr>
          <w:p w14:paraId="1B093F62" w14:textId="77777777" w:rsidR="00025C8D" w:rsidRPr="006343CE" w:rsidRDefault="00025C8D" w:rsidP="00B61115">
            <w:pPr>
              <w:keepNext/>
              <w:spacing w:after="40"/>
              <w:ind w:left="113"/>
              <w:rPr>
                <w:rFonts w:ascii="Arial Narrow" w:hAnsi="Arial Narrow"/>
                <w:sz w:val="20"/>
                <w:szCs w:val="20"/>
              </w:rPr>
            </w:pPr>
            <w:r w:rsidRPr="006343CE">
              <w:rPr>
                <w:rFonts w:ascii="Arial Narrow" w:hAnsi="Arial Narrow"/>
                <w:sz w:val="20"/>
                <w:szCs w:val="20"/>
              </w:rPr>
              <w:t>true positive</w:t>
            </w:r>
          </w:p>
        </w:tc>
        <w:tc>
          <w:tcPr>
            <w:tcW w:w="1984" w:type="dxa"/>
          </w:tcPr>
          <w:p w14:paraId="4CD1580F" w14:textId="77777777" w:rsidR="00025C8D" w:rsidRPr="006343CE" w:rsidRDefault="00025C8D" w:rsidP="00B61115">
            <w:pPr>
              <w:keepNext/>
              <w:spacing w:after="40"/>
              <w:ind w:left="113"/>
              <w:rPr>
                <w:rFonts w:ascii="Arial Narrow" w:hAnsi="Arial Narrow"/>
                <w:sz w:val="20"/>
                <w:szCs w:val="20"/>
              </w:rPr>
            </w:pPr>
            <w:r w:rsidRPr="006343CE">
              <w:rPr>
                <w:rFonts w:ascii="Arial Narrow" w:hAnsi="Arial Narrow"/>
                <w:sz w:val="20"/>
                <w:szCs w:val="20"/>
              </w:rPr>
              <w:t>false positive</w:t>
            </w:r>
          </w:p>
        </w:tc>
        <w:tc>
          <w:tcPr>
            <w:tcW w:w="2127" w:type="dxa"/>
          </w:tcPr>
          <w:p w14:paraId="162C1FE7" w14:textId="77777777" w:rsidR="00025C8D" w:rsidRPr="006343CE" w:rsidRDefault="00025C8D" w:rsidP="00B61115">
            <w:pPr>
              <w:keepNext/>
              <w:spacing w:after="40"/>
              <w:rPr>
                <w:rFonts w:ascii="Arial Narrow" w:hAnsi="Arial Narrow"/>
                <w:sz w:val="20"/>
                <w:szCs w:val="20"/>
              </w:rPr>
            </w:pPr>
            <w:r w:rsidRPr="006343CE">
              <w:rPr>
                <w:rFonts w:ascii="Arial Narrow" w:hAnsi="Arial Narrow"/>
                <w:sz w:val="20"/>
                <w:szCs w:val="20"/>
              </w:rPr>
              <w:t>Total test positive</w:t>
            </w:r>
          </w:p>
        </w:tc>
      </w:tr>
      <w:tr w:rsidR="00025C8D" w:rsidRPr="006343CE" w14:paraId="4D60FA69" w14:textId="77777777" w:rsidTr="009B1C7A">
        <w:trPr>
          <w:trHeight w:val="426"/>
        </w:trPr>
        <w:tc>
          <w:tcPr>
            <w:tcW w:w="1526" w:type="dxa"/>
          </w:tcPr>
          <w:p w14:paraId="1F0A6AA8" w14:textId="77777777" w:rsidR="00025C8D" w:rsidRPr="006343CE" w:rsidRDefault="00025C8D" w:rsidP="00B61115">
            <w:pPr>
              <w:keepNext/>
              <w:spacing w:after="40" w:line="240" w:lineRule="auto"/>
              <w:jc w:val="center"/>
              <w:rPr>
                <w:rFonts w:ascii="Arial Narrow" w:hAnsi="Arial Narrow"/>
                <w:color w:val="FFFFFF" w:themeColor="background1"/>
                <w:sz w:val="20"/>
                <w:szCs w:val="20"/>
                <w:lang w:eastAsia="en-US"/>
              </w:rPr>
            </w:pPr>
            <w:r w:rsidRPr="006343CE">
              <w:rPr>
                <w:rFonts w:ascii="Arial Narrow" w:hAnsi="Arial Narrow"/>
                <w:sz w:val="20"/>
                <w:szCs w:val="20"/>
                <w:lang w:eastAsia="en-US"/>
              </w:rPr>
              <w:t xml:space="preserve">Or comparator </w:t>
            </w:r>
          </w:p>
        </w:tc>
        <w:tc>
          <w:tcPr>
            <w:tcW w:w="1134" w:type="dxa"/>
          </w:tcPr>
          <w:p w14:paraId="6DAA7995" w14:textId="39AD4190" w:rsidR="00025C8D" w:rsidRPr="006343CE" w:rsidRDefault="00025C8D" w:rsidP="001E7102">
            <w:pPr>
              <w:keepNext/>
              <w:spacing w:after="40"/>
              <w:rPr>
                <w:rFonts w:ascii="Arial Narrow" w:hAnsi="Arial Narrow"/>
                <w:sz w:val="20"/>
                <w:szCs w:val="20"/>
              </w:rPr>
            </w:pPr>
            <w:r w:rsidRPr="006343CE">
              <w:rPr>
                <w:rFonts w:ascii="Arial Narrow" w:hAnsi="Arial Narrow"/>
                <w:i/>
                <w:sz w:val="20"/>
                <w:szCs w:val="20"/>
              </w:rPr>
              <w:t xml:space="preserve">Test </w:t>
            </w:r>
            <w:r w:rsidR="001E7102">
              <w:rPr>
                <w:rFonts w:ascii="Arial Narrow" w:hAnsi="Arial Narrow"/>
                <w:i/>
                <w:sz w:val="20"/>
                <w:szCs w:val="20"/>
              </w:rPr>
              <w:t>-</w:t>
            </w:r>
          </w:p>
        </w:tc>
        <w:tc>
          <w:tcPr>
            <w:tcW w:w="2268" w:type="dxa"/>
          </w:tcPr>
          <w:p w14:paraId="40073F11" w14:textId="77777777" w:rsidR="00025C8D" w:rsidRPr="006343CE" w:rsidRDefault="00025C8D" w:rsidP="00B61115">
            <w:pPr>
              <w:keepNext/>
              <w:spacing w:after="40"/>
              <w:ind w:left="113"/>
              <w:rPr>
                <w:rFonts w:ascii="Arial Narrow" w:hAnsi="Arial Narrow"/>
                <w:sz w:val="20"/>
                <w:szCs w:val="20"/>
              </w:rPr>
            </w:pPr>
            <w:r w:rsidRPr="006343CE">
              <w:rPr>
                <w:rFonts w:ascii="Arial Narrow" w:hAnsi="Arial Narrow"/>
                <w:sz w:val="20"/>
                <w:szCs w:val="20"/>
              </w:rPr>
              <w:t>false negative</w:t>
            </w:r>
          </w:p>
        </w:tc>
        <w:tc>
          <w:tcPr>
            <w:tcW w:w="1984" w:type="dxa"/>
          </w:tcPr>
          <w:p w14:paraId="710B456A" w14:textId="77777777" w:rsidR="00025C8D" w:rsidRPr="006343CE" w:rsidRDefault="00025C8D" w:rsidP="00B61115">
            <w:pPr>
              <w:keepNext/>
              <w:spacing w:after="40"/>
              <w:ind w:left="113"/>
              <w:rPr>
                <w:rFonts w:ascii="Arial Narrow" w:hAnsi="Arial Narrow"/>
                <w:sz w:val="20"/>
                <w:szCs w:val="20"/>
              </w:rPr>
            </w:pPr>
            <w:r w:rsidRPr="006343CE">
              <w:rPr>
                <w:rFonts w:ascii="Arial Narrow" w:hAnsi="Arial Narrow"/>
                <w:sz w:val="20"/>
                <w:szCs w:val="20"/>
              </w:rPr>
              <w:t>true negative</w:t>
            </w:r>
          </w:p>
        </w:tc>
        <w:tc>
          <w:tcPr>
            <w:tcW w:w="2127" w:type="dxa"/>
          </w:tcPr>
          <w:p w14:paraId="5872F655" w14:textId="77777777" w:rsidR="00025C8D" w:rsidRPr="006343CE" w:rsidRDefault="00025C8D" w:rsidP="00B61115">
            <w:pPr>
              <w:keepNext/>
              <w:spacing w:after="40"/>
              <w:rPr>
                <w:rFonts w:ascii="Arial Narrow" w:hAnsi="Arial Narrow"/>
                <w:sz w:val="20"/>
                <w:szCs w:val="20"/>
              </w:rPr>
            </w:pPr>
            <w:r w:rsidRPr="006343CE">
              <w:rPr>
                <w:rFonts w:ascii="Arial Narrow" w:hAnsi="Arial Narrow"/>
                <w:sz w:val="20"/>
                <w:szCs w:val="20"/>
              </w:rPr>
              <w:t>Total test negative</w:t>
            </w:r>
          </w:p>
        </w:tc>
      </w:tr>
      <w:tr w:rsidR="00025C8D" w:rsidRPr="006343CE" w14:paraId="4EE17A1A" w14:textId="77777777" w:rsidTr="009B1C7A">
        <w:trPr>
          <w:trHeight w:val="149"/>
        </w:trPr>
        <w:tc>
          <w:tcPr>
            <w:tcW w:w="1526" w:type="dxa"/>
          </w:tcPr>
          <w:p w14:paraId="1C737EB0" w14:textId="77777777" w:rsidR="00025C8D" w:rsidRPr="006343CE" w:rsidRDefault="00025C8D" w:rsidP="00B61115">
            <w:pPr>
              <w:keepNext/>
              <w:spacing w:after="40" w:line="240" w:lineRule="auto"/>
              <w:rPr>
                <w:rFonts w:ascii="Arial Narrow" w:hAnsi="Arial Narrow"/>
                <w:color w:val="FFFFFF" w:themeColor="background1"/>
                <w:sz w:val="20"/>
                <w:szCs w:val="20"/>
                <w:lang w:eastAsia="en-US"/>
              </w:rPr>
            </w:pPr>
            <w:r w:rsidRPr="006343CE">
              <w:rPr>
                <w:rFonts w:ascii="Arial Narrow" w:hAnsi="Arial Narrow"/>
                <w:color w:val="FFFFFF" w:themeColor="background1"/>
                <w:sz w:val="20"/>
                <w:szCs w:val="20"/>
                <w:lang w:eastAsia="en-US"/>
              </w:rPr>
              <w:t>-</w:t>
            </w:r>
          </w:p>
        </w:tc>
        <w:tc>
          <w:tcPr>
            <w:tcW w:w="1134" w:type="dxa"/>
          </w:tcPr>
          <w:p w14:paraId="15CFF909" w14:textId="77777777" w:rsidR="00025C8D" w:rsidRPr="006343CE" w:rsidRDefault="00025C8D" w:rsidP="00B61115">
            <w:pPr>
              <w:keepNext/>
              <w:spacing w:after="40"/>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c>
          <w:tcPr>
            <w:tcW w:w="2268" w:type="dxa"/>
          </w:tcPr>
          <w:p w14:paraId="6691929A" w14:textId="77777777" w:rsidR="00025C8D" w:rsidRPr="006343CE" w:rsidRDefault="00025C8D" w:rsidP="00B61115">
            <w:pPr>
              <w:keepNext/>
              <w:spacing w:after="40"/>
              <w:ind w:left="113"/>
              <w:rPr>
                <w:rFonts w:ascii="Arial Narrow" w:hAnsi="Arial Narrow"/>
                <w:sz w:val="20"/>
                <w:szCs w:val="20"/>
                <w:highlight w:val="yellow"/>
              </w:rPr>
            </w:pPr>
            <w:r w:rsidRPr="006343CE">
              <w:rPr>
                <w:rFonts w:ascii="Arial Narrow" w:hAnsi="Arial Narrow"/>
                <w:sz w:val="20"/>
                <w:szCs w:val="20"/>
              </w:rPr>
              <w:t>Total with outcome</w:t>
            </w:r>
          </w:p>
        </w:tc>
        <w:tc>
          <w:tcPr>
            <w:tcW w:w="1984" w:type="dxa"/>
          </w:tcPr>
          <w:p w14:paraId="79B210F5" w14:textId="77777777" w:rsidR="00025C8D" w:rsidRPr="006343CE" w:rsidRDefault="00025C8D" w:rsidP="00166F6C">
            <w:pPr>
              <w:keepNext/>
              <w:ind w:left="113"/>
              <w:rPr>
                <w:rFonts w:ascii="Arial Narrow" w:hAnsi="Arial Narrow"/>
                <w:sz w:val="20"/>
                <w:szCs w:val="20"/>
                <w:highlight w:val="yellow"/>
              </w:rPr>
            </w:pPr>
            <w:r w:rsidRPr="006343CE">
              <w:rPr>
                <w:rFonts w:ascii="Arial Narrow" w:hAnsi="Arial Narrow"/>
                <w:sz w:val="20"/>
                <w:szCs w:val="20"/>
              </w:rPr>
              <w:t>Total without outcome</w:t>
            </w:r>
          </w:p>
        </w:tc>
        <w:tc>
          <w:tcPr>
            <w:tcW w:w="2127" w:type="dxa"/>
          </w:tcPr>
          <w:p w14:paraId="3F41803D" w14:textId="77777777" w:rsidR="00025C8D" w:rsidRPr="006343CE" w:rsidRDefault="00025C8D" w:rsidP="00166F6C">
            <w:pPr>
              <w:keepNext/>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r>
    </w:tbl>
    <w:p w14:paraId="5A98F88F" w14:textId="1AC419C1" w:rsidR="00025C8D" w:rsidRPr="006343CE" w:rsidRDefault="00025C8D" w:rsidP="00166F6C">
      <w:pPr>
        <w:spacing w:before="240"/>
        <w:jc w:val="both"/>
      </w:pPr>
      <w:r w:rsidRPr="006343CE">
        <w:t>Test sensitivity was calculated as the proportion of pe</w:t>
      </w:r>
      <w:r w:rsidR="00FB4838">
        <w:t xml:space="preserve">ople with the clinical outcome, </w:t>
      </w:r>
      <w:r w:rsidRPr="006343CE">
        <w:t>deter</w:t>
      </w:r>
      <w:r w:rsidR="00FB4838">
        <w:t>mined by the reference standard,</w:t>
      </w:r>
      <w:r w:rsidRPr="006343CE">
        <w:t xml:space="preserve"> who were test positive:</w:t>
      </w:r>
    </w:p>
    <w:p w14:paraId="3984670F" w14:textId="10922133" w:rsidR="00025C8D" w:rsidRPr="006343CE" w:rsidRDefault="00025C8D" w:rsidP="00025C8D">
      <w:pPr>
        <w:jc w:val="both"/>
        <w:rPr>
          <w:rFonts w:ascii="Arial Narrow" w:hAnsi="Arial Narrow"/>
          <w:szCs w:val="24"/>
        </w:rPr>
      </w:pPr>
      <w:bookmarkStart w:id="247" w:name="_Toc240694210"/>
      <w:bookmarkStart w:id="248" w:name="_Toc241647425"/>
      <w:bookmarkStart w:id="249" w:name="_Toc244940616"/>
      <w:bookmarkStart w:id="250" w:name="_Toc248638292"/>
      <w:r w:rsidRPr="006343CE">
        <w:rPr>
          <w:rFonts w:ascii="Arial Narrow" w:hAnsi="Arial Narrow"/>
          <w:szCs w:val="24"/>
        </w:rPr>
        <w:t>Sensitivity (</w:t>
      </w:r>
      <w:r w:rsidR="00772EDC">
        <w:rPr>
          <w:rFonts w:ascii="Arial Narrow" w:hAnsi="Arial Narrow"/>
          <w:szCs w:val="24"/>
        </w:rPr>
        <w:t>true-positive rate) = number with true-</w:t>
      </w:r>
      <w:r w:rsidRPr="006343CE">
        <w:rPr>
          <w:rFonts w:ascii="Arial Narrow" w:hAnsi="Arial Narrow"/>
          <w:szCs w:val="24"/>
        </w:rPr>
        <w:t xml:space="preserve">positive result / total with </w:t>
      </w:r>
      <w:bookmarkEnd w:id="247"/>
      <w:bookmarkEnd w:id="248"/>
      <w:bookmarkEnd w:id="249"/>
      <w:bookmarkEnd w:id="250"/>
      <w:r w:rsidRPr="006343CE">
        <w:rPr>
          <w:rFonts w:ascii="Arial Narrow" w:hAnsi="Arial Narrow"/>
          <w:szCs w:val="24"/>
        </w:rPr>
        <w:t>clinical outcome</w:t>
      </w:r>
    </w:p>
    <w:p w14:paraId="27726D83" w14:textId="4272E22B" w:rsidR="00025C8D" w:rsidRPr="006343CE" w:rsidRDefault="00025C8D" w:rsidP="00025C8D">
      <w:pPr>
        <w:jc w:val="both"/>
      </w:pPr>
      <w:r w:rsidRPr="006343CE">
        <w:t>Test specificity was calculated as the proportion of peopl</w:t>
      </w:r>
      <w:r w:rsidR="00FB4838">
        <w:t xml:space="preserve">e without the clinical outcome, </w:t>
      </w:r>
      <w:r w:rsidRPr="006343CE">
        <w:t>deter</w:t>
      </w:r>
      <w:r w:rsidR="00FB4838">
        <w:t>mined by the reference standard,</w:t>
      </w:r>
      <w:r w:rsidRPr="006343CE">
        <w:t xml:space="preserve"> who were test negative:</w:t>
      </w:r>
    </w:p>
    <w:p w14:paraId="6BE003DE" w14:textId="2B4F0A4D" w:rsidR="00025C8D" w:rsidRPr="006343CE" w:rsidRDefault="00025C8D" w:rsidP="00025C8D">
      <w:pPr>
        <w:jc w:val="both"/>
        <w:rPr>
          <w:rFonts w:ascii="Arial Narrow" w:hAnsi="Arial Narrow"/>
          <w:szCs w:val="24"/>
        </w:rPr>
      </w:pPr>
      <w:bookmarkStart w:id="251" w:name="_Toc240694211"/>
      <w:bookmarkStart w:id="252" w:name="_Toc241647426"/>
      <w:bookmarkStart w:id="253" w:name="_Toc244940617"/>
      <w:bookmarkStart w:id="254" w:name="_Toc248638293"/>
      <w:r w:rsidRPr="006343CE">
        <w:rPr>
          <w:rFonts w:ascii="Arial Narrow" w:hAnsi="Arial Narrow"/>
          <w:szCs w:val="24"/>
        </w:rPr>
        <w:t>Specificity (</w:t>
      </w:r>
      <w:r w:rsidR="00772EDC">
        <w:rPr>
          <w:rFonts w:ascii="Arial Narrow" w:hAnsi="Arial Narrow"/>
          <w:szCs w:val="24"/>
        </w:rPr>
        <w:t>true-negative rate</w:t>
      </w:r>
      <w:r w:rsidRPr="006343CE">
        <w:rPr>
          <w:rFonts w:ascii="Arial Narrow" w:hAnsi="Arial Narrow"/>
          <w:szCs w:val="24"/>
        </w:rPr>
        <w:t xml:space="preserve">) = number with </w:t>
      </w:r>
      <w:r w:rsidR="00772EDC">
        <w:rPr>
          <w:rFonts w:ascii="Arial Narrow" w:hAnsi="Arial Narrow"/>
          <w:szCs w:val="24"/>
        </w:rPr>
        <w:t>true-negative result</w:t>
      </w:r>
      <w:r w:rsidRPr="006343CE">
        <w:rPr>
          <w:rFonts w:ascii="Arial Narrow" w:hAnsi="Arial Narrow"/>
          <w:szCs w:val="24"/>
        </w:rPr>
        <w:t xml:space="preserve"> / total without </w:t>
      </w:r>
      <w:bookmarkEnd w:id="251"/>
      <w:bookmarkEnd w:id="252"/>
      <w:bookmarkEnd w:id="253"/>
      <w:bookmarkEnd w:id="254"/>
      <w:r w:rsidRPr="006343CE">
        <w:rPr>
          <w:rFonts w:ascii="Arial Narrow" w:hAnsi="Arial Narrow"/>
          <w:szCs w:val="24"/>
        </w:rPr>
        <w:t>clinical outcome</w:t>
      </w:r>
    </w:p>
    <w:p w14:paraId="0C014E38" w14:textId="77777777" w:rsidR="00025C8D" w:rsidRPr="006343CE" w:rsidRDefault="00025C8D" w:rsidP="00025C8D">
      <w:pPr>
        <w:jc w:val="both"/>
      </w:pPr>
      <w:bookmarkStart w:id="255" w:name="_Toc240694212"/>
      <w:bookmarkStart w:id="256" w:name="_Toc241647427"/>
      <w:bookmarkStart w:id="257" w:name="_Toc244940618"/>
      <w:r w:rsidRPr="006343CE">
        <w:t>The 95%CI was calculated by exact binomial methods.</w:t>
      </w:r>
      <w:bookmarkEnd w:id="255"/>
      <w:bookmarkEnd w:id="256"/>
      <w:bookmarkEnd w:id="257"/>
    </w:p>
    <w:p w14:paraId="20B6DD6E" w14:textId="77777777" w:rsidR="006343CE" w:rsidRPr="006343CE" w:rsidRDefault="006343CE" w:rsidP="003F773B">
      <w:pPr>
        <w:pStyle w:val="Heading3"/>
      </w:pPr>
      <w:bookmarkStart w:id="258" w:name="_Toc502832933"/>
      <w:r w:rsidRPr="006343CE">
        <w:t>Receiver operator characteristic (ROC) analysis</w:t>
      </w:r>
      <w:bookmarkEnd w:id="258"/>
    </w:p>
    <w:p w14:paraId="225995F6" w14:textId="7B046B2C" w:rsidR="006343CE" w:rsidRPr="006343CE" w:rsidRDefault="006343CE" w:rsidP="006343CE">
      <w:pPr>
        <w:jc w:val="both"/>
      </w:pPr>
      <w:r w:rsidRPr="006343CE">
        <w:t xml:space="preserve">For a given diagnostic test, the </w:t>
      </w:r>
      <w:r w:rsidR="00772EDC">
        <w:t>true-positive rate</w:t>
      </w:r>
      <w:r w:rsidRPr="006343CE">
        <w:t xml:space="preserve"> (TPR) against false</w:t>
      </w:r>
      <w:r w:rsidR="00DE6DD5">
        <w:t>-</w:t>
      </w:r>
      <w:r w:rsidRPr="006343CE">
        <w:t>positive rate (FPR) can be plotted on a ROC curve, where:</w:t>
      </w:r>
    </w:p>
    <w:p w14:paraId="61DABF67" w14:textId="7D45FA41" w:rsidR="006343CE" w:rsidRPr="006343CE" w:rsidRDefault="00772EDC" w:rsidP="006343CE">
      <w:pPr>
        <w:rPr>
          <w:rFonts w:ascii="Arial Narrow" w:hAnsi="Arial Narrow"/>
        </w:rPr>
      </w:pPr>
      <w:r>
        <w:rPr>
          <w:rFonts w:ascii="Arial Narrow" w:hAnsi="Arial Narrow"/>
        </w:rPr>
        <w:t>TPR = number with true-</w:t>
      </w:r>
      <w:r w:rsidR="006343CE" w:rsidRPr="006343CE">
        <w:rPr>
          <w:rFonts w:ascii="Arial Narrow" w:hAnsi="Arial Narrow"/>
        </w:rPr>
        <w:t>positive result / total with clinical outcome = sensitivity</w:t>
      </w:r>
    </w:p>
    <w:p w14:paraId="1FEDC5BC" w14:textId="5AAD3CF4" w:rsidR="006343CE" w:rsidRPr="006343CE" w:rsidRDefault="006343CE" w:rsidP="006343CE">
      <w:pPr>
        <w:rPr>
          <w:rFonts w:ascii="Arial Narrow" w:hAnsi="Arial Narrow"/>
        </w:rPr>
      </w:pPr>
      <w:r w:rsidRPr="006343CE">
        <w:rPr>
          <w:rFonts w:ascii="Arial Narrow" w:hAnsi="Arial Narrow"/>
        </w:rPr>
        <w:t xml:space="preserve">FPR = number with </w:t>
      </w:r>
      <w:r w:rsidR="00772EDC">
        <w:rPr>
          <w:rFonts w:ascii="Arial Narrow" w:hAnsi="Arial Narrow"/>
        </w:rPr>
        <w:t>false-positive result</w:t>
      </w:r>
      <w:r w:rsidRPr="006343CE">
        <w:rPr>
          <w:rFonts w:ascii="Arial Narrow" w:hAnsi="Arial Narrow"/>
        </w:rPr>
        <w:t xml:space="preserve"> / total without clinical outcome = 1 </w:t>
      </w:r>
      <w:r w:rsidR="00B50CCE">
        <w:rPr>
          <w:rFonts w:ascii="Arial Narrow" w:hAnsi="Arial Narrow"/>
        </w:rPr>
        <w:t>-</w:t>
      </w:r>
      <w:r w:rsidRPr="006343CE">
        <w:rPr>
          <w:rFonts w:ascii="Arial Narrow" w:hAnsi="Arial Narrow"/>
        </w:rPr>
        <w:t xml:space="preserve"> specificity</w:t>
      </w:r>
    </w:p>
    <w:p w14:paraId="7FC785AD" w14:textId="69EF78B7" w:rsidR="006343CE" w:rsidRPr="006343CE" w:rsidRDefault="00E876B1" w:rsidP="006343CE">
      <w:pPr>
        <w:jc w:val="both"/>
      </w:pPr>
      <w:r>
        <w:t>The</w:t>
      </w:r>
      <w:r w:rsidRPr="006343CE">
        <w:t xml:space="preserve"> ROC space </w:t>
      </w:r>
      <w:r>
        <w:t>comprises a</w:t>
      </w:r>
      <w:r w:rsidR="006343CE" w:rsidRPr="006343CE">
        <w:t xml:space="preserve">ll possible combinations of </w:t>
      </w:r>
      <w:r>
        <w:t xml:space="preserve">the </w:t>
      </w:r>
      <w:r w:rsidR="006343CE" w:rsidRPr="006343CE">
        <w:t xml:space="preserve">TPR and </w:t>
      </w:r>
      <w:r>
        <w:t xml:space="preserve">the </w:t>
      </w:r>
      <w:r w:rsidR="006343CE" w:rsidRPr="006343CE">
        <w:t xml:space="preserve">FPR, and the position of a point in the ROC space shows the trade-off between sensitivity and specificity. The </w:t>
      </w:r>
      <w:r w:rsidR="0076789D">
        <w:t>AUC</w:t>
      </w:r>
      <w:r w:rsidR="006343CE" w:rsidRPr="006343CE">
        <w:t xml:space="preserve"> is the average sensitivity given that all values of specificity are equally likely</w:t>
      </w:r>
      <w:r>
        <w:t>. The AUC</w:t>
      </w:r>
      <w:r w:rsidR="006343CE" w:rsidRPr="006343CE">
        <w:t xml:space="preserve"> serves as a global measure of test performance. </w:t>
      </w:r>
      <w:r w:rsidR="00233301">
        <w:t>Given</w:t>
      </w:r>
      <w:r w:rsidR="006343CE" w:rsidRPr="006343CE">
        <w:t xml:space="preserve"> two randomly chosen people, </w:t>
      </w:r>
      <w:r w:rsidR="00233301" w:rsidRPr="006343CE">
        <w:t xml:space="preserve">one with and one without </w:t>
      </w:r>
      <w:r w:rsidR="00233301">
        <w:t>a</w:t>
      </w:r>
      <w:r w:rsidR="00233301" w:rsidRPr="006343CE">
        <w:t xml:space="preserve"> </w:t>
      </w:r>
      <w:r w:rsidR="00233301">
        <w:t xml:space="preserve">disease or </w:t>
      </w:r>
      <w:r w:rsidR="00233301" w:rsidRPr="006343CE">
        <w:t>condition</w:t>
      </w:r>
      <w:r w:rsidR="00233301">
        <w:t>, the AUC can be interpreted as the probability that</w:t>
      </w:r>
      <w:r w:rsidR="006343CE" w:rsidRPr="006343CE">
        <w:t xml:space="preserve"> the diagnostic test will rank </w:t>
      </w:r>
      <w:r w:rsidR="00233301">
        <w:t xml:space="preserve">suspicion of disease higher in </w:t>
      </w:r>
      <w:r w:rsidR="006343CE" w:rsidRPr="006343CE">
        <w:t xml:space="preserve">the person with the </w:t>
      </w:r>
      <w:r w:rsidR="00233301">
        <w:t>disease</w:t>
      </w:r>
      <w:r w:rsidR="006343CE" w:rsidRPr="006343CE">
        <w:t xml:space="preserve"> </w:t>
      </w:r>
      <w:r w:rsidR="00233301">
        <w:t>compared to the disease-free individual</w:t>
      </w:r>
      <w:r w:rsidR="006343CE" w:rsidRPr="006343CE">
        <w:t>.</w:t>
      </w:r>
    </w:p>
    <w:p w14:paraId="021956CC" w14:textId="157EE0F7" w:rsidR="00673A7E" w:rsidRDefault="00673A7E" w:rsidP="006343CE">
      <w:pPr>
        <w:tabs>
          <w:tab w:val="left" w:pos="4111"/>
        </w:tabs>
        <w:contextualSpacing/>
        <w:jc w:val="both"/>
      </w:pPr>
      <w:r>
        <w:t>In this assessment, the</w:t>
      </w:r>
      <w:r w:rsidR="006343CE" w:rsidRPr="006343CE">
        <w:t xml:space="preserve"> AUC </w:t>
      </w:r>
      <w:r>
        <w:t>is interpreted according to the following test performance cut-offs:</w:t>
      </w:r>
    </w:p>
    <w:p w14:paraId="24602986" w14:textId="774AA710" w:rsidR="006343CE" w:rsidRPr="00494D5E" w:rsidRDefault="00673A7E" w:rsidP="00494D5E">
      <w:pPr>
        <w:numPr>
          <w:ilvl w:val="0"/>
          <w:numId w:val="35"/>
        </w:numPr>
        <w:ind w:left="709" w:hanging="349"/>
        <w:contextualSpacing/>
        <w:jc w:val="both"/>
      </w:pPr>
      <w:r w:rsidRPr="00494D5E">
        <w:t>&gt;0.9 = very good</w:t>
      </w:r>
    </w:p>
    <w:p w14:paraId="1825ADE8" w14:textId="27B5F7D6" w:rsidR="006343CE" w:rsidRPr="00494D5E" w:rsidRDefault="006343CE" w:rsidP="00494D5E">
      <w:pPr>
        <w:numPr>
          <w:ilvl w:val="0"/>
          <w:numId w:val="35"/>
        </w:numPr>
        <w:ind w:left="709" w:hanging="349"/>
        <w:contextualSpacing/>
        <w:jc w:val="both"/>
      </w:pPr>
      <w:r w:rsidRPr="00494D5E">
        <w:t xml:space="preserve">0.8–0.9 </w:t>
      </w:r>
      <w:r w:rsidR="00673A7E" w:rsidRPr="00494D5E">
        <w:t>= good</w:t>
      </w:r>
    </w:p>
    <w:p w14:paraId="788D67E8" w14:textId="728D51F1" w:rsidR="006343CE" w:rsidRPr="00494D5E" w:rsidRDefault="006343CE" w:rsidP="00494D5E">
      <w:pPr>
        <w:numPr>
          <w:ilvl w:val="0"/>
          <w:numId w:val="35"/>
        </w:numPr>
        <w:ind w:left="709" w:hanging="349"/>
        <w:contextualSpacing/>
        <w:jc w:val="both"/>
      </w:pPr>
      <w:r w:rsidRPr="00494D5E">
        <w:t xml:space="preserve">0.7–0.8 </w:t>
      </w:r>
      <w:r w:rsidR="00673A7E" w:rsidRPr="00494D5E">
        <w:t>= moderate</w:t>
      </w:r>
    </w:p>
    <w:p w14:paraId="63D82C2F" w14:textId="37B65D98" w:rsidR="006343CE" w:rsidRPr="00494D5E" w:rsidRDefault="006343CE" w:rsidP="00494D5E">
      <w:pPr>
        <w:numPr>
          <w:ilvl w:val="0"/>
          <w:numId w:val="35"/>
        </w:numPr>
        <w:ind w:left="709" w:hanging="349"/>
        <w:contextualSpacing/>
        <w:jc w:val="both"/>
      </w:pPr>
      <w:r w:rsidRPr="00494D5E">
        <w:t xml:space="preserve">&lt;0.7 </w:t>
      </w:r>
      <w:r w:rsidR="00673A7E" w:rsidRPr="00494D5E">
        <w:t>= poor</w:t>
      </w:r>
    </w:p>
    <w:p w14:paraId="7723FF7B" w14:textId="77777777" w:rsidR="006343CE" w:rsidRPr="006343CE" w:rsidRDefault="006343CE" w:rsidP="003F773B">
      <w:pPr>
        <w:pStyle w:val="Heading3"/>
      </w:pPr>
      <w:bookmarkStart w:id="259" w:name="_Toc502832934"/>
      <w:r w:rsidRPr="006343CE">
        <w:lastRenderedPageBreak/>
        <w:t>Correlation</w:t>
      </w:r>
      <w:bookmarkEnd w:id="259"/>
    </w:p>
    <w:p w14:paraId="5F8F651B" w14:textId="5DFFA12D" w:rsidR="007518CF" w:rsidRDefault="006343CE" w:rsidP="006343CE">
      <w:pPr>
        <w:keepNext/>
      </w:pPr>
      <w:r w:rsidRPr="006343CE">
        <w:t xml:space="preserve">To assess the concordance between the AMH test and the comparator tests, data were extracted into a classic </w:t>
      </w:r>
      <w:r w:rsidR="008308DE" w:rsidRPr="008308DE">
        <w:t>2 × 2</w:t>
      </w:r>
      <w:r w:rsidRPr="006343CE">
        <w:t xml:space="preserve"> table (</w:t>
      </w:r>
      <w:r w:rsidRPr="006343CE">
        <w:fldChar w:fldCharType="begin"/>
      </w:r>
      <w:r w:rsidRPr="006343CE">
        <w:instrText xml:space="preserve"> REF _Ref455578680 \h </w:instrText>
      </w:r>
      <w:r w:rsidR="00DC70E2">
        <w:instrText xml:space="preserve"> \* MERGEFORMAT </w:instrText>
      </w:r>
      <w:r w:rsidRPr="006343CE">
        <w:fldChar w:fldCharType="separate"/>
      </w:r>
      <w:r w:rsidR="00AC4BE5" w:rsidRPr="006343CE">
        <w:t xml:space="preserve">Table </w:t>
      </w:r>
      <w:r w:rsidR="00AC4BE5">
        <w:t>30</w:t>
      </w:r>
      <w:r w:rsidRPr="006343CE">
        <w:fldChar w:fldCharType="end"/>
      </w:r>
      <w:r w:rsidRPr="006343CE">
        <w:t>).</w:t>
      </w:r>
    </w:p>
    <w:p w14:paraId="7EDBAA23" w14:textId="77A3BCD0" w:rsidR="006343CE" w:rsidRPr="006343CE" w:rsidRDefault="006343CE" w:rsidP="00634539">
      <w:pPr>
        <w:pStyle w:val="TableHeading"/>
      </w:pPr>
      <w:bookmarkStart w:id="260" w:name="_Ref455578680"/>
      <w:bookmarkStart w:id="261" w:name="_Toc460528009"/>
      <w:bookmarkStart w:id="262" w:name="_Toc502833048"/>
      <w:r w:rsidRPr="006343CE">
        <w:t xml:space="preserve">Table </w:t>
      </w:r>
      <w:r w:rsidR="00AC4BE5">
        <w:fldChar w:fldCharType="begin"/>
      </w:r>
      <w:r w:rsidR="00AC4BE5">
        <w:instrText xml:space="preserve"> SEQ Table \* ARABIC </w:instrText>
      </w:r>
      <w:r w:rsidR="00AC4BE5">
        <w:fldChar w:fldCharType="separate"/>
      </w:r>
      <w:r w:rsidR="00AC4BE5">
        <w:rPr>
          <w:noProof/>
        </w:rPr>
        <w:t>30</w:t>
      </w:r>
      <w:r w:rsidR="00AC4BE5">
        <w:rPr>
          <w:noProof/>
        </w:rPr>
        <w:fldChar w:fldCharType="end"/>
      </w:r>
      <w:bookmarkEnd w:id="260"/>
      <w:r w:rsidRPr="006343CE">
        <w:tab/>
        <w:t>Concordance data extraction</w:t>
      </w:r>
      <w:bookmarkEnd w:id="261"/>
      <w:bookmarkEnd w:id="262"/>
    </w:p>
    <w:tbl>
      <w:tblPr>
        <w:tblStyle w:val="TableGrid1"/>
        <w:tblW w:w="9039" w:type="dxa"/>
        <w:tblLayout w:type="fixed"/>
        <w:tblLook w:val="0000" w:firstRow="0" w:lastRow="0" w:firstColumn="0" w:lastColumn="0" w:noHBand="0" w:noVBand="0"/>
        <w:tblDescription w:val="Concordance data extraction table"/>
      </w:tblPr>
      <w:tblGrid>
        <w:gridCol w:w="1526"/>
        <w:gridCol w:w="1134"/>
        <w:gridCol w:w="2268"/>
        <w:gridCol w:w="2302"/>
        <w:gridCol w:w="1809"/>
      </w:tblGrid>
      <w:tr w:rsidR="006343CE" w:rsidRPr="006343CE" w14:paraId="00341427" w14:textId="77777777" w:rsidTr="009B1C7A">
        <w:trPr>
          <w:trHeight w:val="177"/>
          <w:tblHeader/>
        </w:trPr>
        <w:tc>
          <w:tcPr>
            <w:tcW w:w="1526" w:type="dxa"/>
          </w:tcPr>
          <w:p w14:paraId="4C1B02A4" w14:textId="77777777" w:rsidR="006343CE" w:rsidRPr="006343CE" w:rsidRDefault="006343CE" w:rsidP="006343CE">
            <w:pPr>
              <w:keepNext/>
              <w:spacing w:after="40" w:line="240" w:lineRule="auto"/>
              <w:jc w:val="both"/>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c>
          <w:tcPr>
            <w:tcW w:w="1134" w:type="dxa"/>
          </w:tcPr>
          <w:p w14:paraId="43412638" w14:textId="77777777" w:rsidR="006343CE" w:rsidRPr="006343CE" w:rsidRDefault="006343CE" w:rsidP="006343CE">
            <w:pPr>
              <w:keepNext/>
              <w:spacing w:after="40" w:line="240" w:lineRule="auto"/>
              <w:jc w:val="both"/>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c>
          <w:tcPr>
            <w:tcW w:w="2268" w:type="dxa"/>
          </w:tcPr>
          <w:p w14:paraId="3564079D" w14:textId="77777777" w:rsidR="006343CE" w:rsidRPr="006343CE" w:rsidRDefault="006343CE" w:rsidP="006343CE">
            <w:pPr>
              <w:keepNext/>
              <w:spacing w:after="40" w:line="240" w:lineRule="auto"/>
              <w:jc w:val="right"/>
              <w:rPr>
                <w:rFonts w:ascii="Arial Narrow" w:hAnsi="Arial Narrow"/>
                <w:b/>
                <w:sz w:val="20"/>
                <w:szCs w:val="20"/>
              </w:rPr>
            </w:pPr>
            <w:r w:rsidRPr="006343CE">
              <w:rPr>
                <w:rFonts w:ascii="Arial Narrow" w:hAnsi="Arial Narrow"/>
                <w:b/>
                <w:sz w:val="20"/>
                <w:szCs w:val="20"/>
              </w:rPr>
              <w:t>Test 1</w:t>
            </w:r>
          </w:p>
        </w:tc>
        <w:tc>
          <w:tcPr>
            <w:tcW w:w="2302" w:type="dxa"/>
          </w:tcPr>
          <w:p w14:paraId="5984E0A2" w14:textId="77777777" w:rsidR="006343CE" w:rsidRPr="006343CE" w:rsidRDefault="006343CE" w:rsidP="006343CE">
            <w:pPr>
              <w:keepNext/>
              <w:spacing w:after="40" w:line="240" w:lineRule="auto"/>
              <w:jc w:val="both"/>
              <w:rPr>
                <w:rFonts w:ascii="Arial Narrow" w:hAnsi="Arial Narrow"/>
                <w:b/>
                <w:color w:val="FFFFFF" w:themeColor="background1"/>
                <w:sz w:val="20"/>
                <w:szCs w:val="20"/>
              </w:rPr>
            </w:pPr>
          </w:p>
        </w:tc>
        <w:tc>
          <w:tcPr>
            <w:tcW w:w="1809" w:type="dxa"/>
          </w:tcPr>
          <w:p w14:paraId="59AA9572" w14:textId="77777777" w:rsidR="006343CE" w:rsidRPr="006343CE" w:rsidRDefault="006343CE" w:rsidP="006343CE">
            <w:pPr>
              <w:keepNext/>
              <w:spacing w:after="40" w:line="240" w:lineRule="auto"/>
              <w:jc w:val="both"/>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r>
      <w:tr w:rsidR="006343CE" w:rsidRPr="006343CE" w14:paraId="35559D8F" w14:textId="77777777" w:rsidTr="009B1C7A">
        <w:trPr>
          <w:trHeight w:val="310"/>
        </w:trPr>
        <w:tc>
          <w:tcPr>
            <w:tcW w:w="1526" w:type="dxa"/>
          </w:tcPr>
          <w:p w14:paraId="68F5D88F" w14:textId="77777777" w:rsidR="006343CE" w:rsidRPr="006343CE" w:rsidRDefault="006343CE" w:rsidP="006343CE">
            <w:pPr>
              <w:keepNext/>
              <w:spacing w:after="40" w:line="240" w:lineRule="auto"/>
              <w:jc w:val="both"/>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c>
          <w:tcPr>
            <w:tcW w:w="1134" w:type="dxa"/>
          </w:tcPr>
          <w:p w14:paraId="3A81CF3A" w14:textId="77777777" w:rsidR="006343CE" w:rsidRPr="006343CE" w:rsidRDefault="006343CE" w:rsidP="006343CE">
            <w:pPr>
              <w:keepNext/>
              <w:spacing w:after="40" w:line="240" w:lineRule="auto"/>
              <w:jc w:val="both"/>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c>
          <w:tcPr>
            <w:tcW w:w="2268" w:type="dxa"/>
          </w:tcPr>
          <w:p w14:paraId="20F7ADCD" w14:textId="77777777" w:rsidR="006343CE" w:rsidRPr="006343CE" w:rsidRDefault="006343CE" w:rsidP="006343CE">
            <w:pPr>
              <w:keepNext/>
              <w:spacing w:after="40" w:line="240" w:lineRule="auto"/>
              <w:jc w:val="both"/>
              <w:rPr>
                <w:rFonts w:ascii="Arial Narrow" w:hAnsi="Arial Narrow"/>
                <w:sz w:val="20"/>
                <w:szCs w:val="20"/>
              </w:rPr>
            </w:pPr>
            <w:r w:rsidRPr="006343CE">
              <w:rPr>
                <w:rFonts w:ascii="Arial Narrow" w:hAnsi="Arial Narrow"/>
                <w:i/>
                <w:sz w:val="20"/>
                <w:szCs w:val="20"/>
              </w:rPr>
              <w:t>Test 1 +</w:t>
            </w:r>
          </w:p>
        </w:tc>
        <w:tc>
          <w:tcPr>
            <w:tcW w:w="2302" w:type="dxa"/>
          </w:tcPr>
          <w:p w14:paraId="58D3611F" w14:textId="7CD849A7" w:rsidR="006343CE" w:rsidRPr="006343CE" w:rsidRDefault="006343CE" w:rsidP="001E7102">
            <w:pPr>
              <w:keepNext/>
              <w:spacing w:after="40" w:line="240" w:lineRule="auto"/>
              <w:jc w:val="both"/>
              <w:rPr>
                <w:rFonts w:ascii="Arial Narrow" w:hAnsi="Arial Narrow"/>
                <w:sz w:val="20"/>
                <w:szCs w:val="20"/>
              </w:rPr>
            </w:pPr>
            <w:r w:rsidRPr="006343CE">
              <w:rPr>
                <w:rFonts w:ascii="Arial Narrow" w:hAnsi="Arial Narrow"/>
                <w:i/>
                <w:sz w:val="20"/>
                <w:szCs w:val="20"/>
              </w:rPr>
              <w:t xml:space="preserve">Test 1 </w:t>
            </w:r>
            <w:r w:rsidR="001E7102">
              <w:rPr>
                <w:rFonts w:ascii="Arial Narrow" w:hAnsi="Arial Narrow"/>
                <w:i/>
                <w:sz w:val="20"/>
                <w:szCs w:val="20"/>
              </w:rPr>
              <w:t>-</w:t>
            </w:r>
          </w:p>
        </w:tc>
        <w:tc>
          <w:tcPr>
            <w:tcW w:w="1809" w:type="dxa"/>
          </w:tcPr>
          <w:p w14:paraId="4041BF53" w14:textId="77777777" w:rsidR="006343CE" w:rsidRPr="006343CE" w:rsidRDefault="006343CE" w:rsidP="006343CE">
            <w:pPr>
              <w:keepNext/>
              <w:spacing w:after="40" w:line="240" w:lineRule="auto"/>
              <w:jc w:val="both"/>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r>
      <w:tr w:rsidR="006343CE" w:rsidRPr="006343CE" w14:paraId="70BC9A28" w14:textId="77777777" w:rsidTr="009B1C7A">
        <w:trPr>
          <w:trHeight w:val="449"/>
        </w:trPr>
        <w:tc>
          <w:tcPr>
            <w:tcW w:w="1526" w:type="dxa"/>
          </w:tcPr>
          <w:p w14:paraId="308A3896" w14:textId="77777777" w:rsidR="006343CE" w:rsidRPr="006343CE" w:rsidRDefault="006343CE" w:rsidP="006343CE">
            <w:pPr>
              <w:keepNext/>
              <w:spacing w:after="40" w:line="240" w:lineRule="auto"/>
              <w:jc w:val="center"/>
              <w:rPr>
                <w:rFonts w:ascii="Arial Narrow" w:hAnsi="Arial Narrow"/>
                <w:b/>
                <w:sz w:val="20"/>
                <w:szCs w:val="20"/>
              </w:rPr>
            </w:pPr>
            <w:r w:rsidRPr="006343CE">
              <w:rPr>
                <w:rFonts w:ascii="Arial Narrow" w:hAnsi="Arial Narrow"/>
                <w:b/>
                <w:sz w:val="20"/>
                <w:szCs w:val="20"/>
              </w:rPr>
              <w:t xml:space="preserve">Test 2 </w:t>
            </w:r>
          </w:p>
        </w:tc>
        <w:tc>
          <w:tcPr>
            <w:tcW w:w="1134" w:type="dxa"/>
          </w:tcPr>
          <w:p w14:paraId="41A9B0D4" w14:textId="77777777" w:rsidR="006343CE" w:rsidRPr="006343CE" w:rsidRDefault="006343CE" w:rsidP="006343CE">
            <w:pPr>
              <w:keepNext/>
              <w:spacing w:after="40" w:line="240" w:lineRule="auto"/>
              <w:jc w:val="both"/>
              <w:rPr>
                <w:rFonts w:ascii="Arial Narrow" w:hAnsi="Arial Narrow"/>
                <w:sz w:val="20"/>
                <w:szCs w:val="20"/>
              </w:rPr>
            </w:pPr>
            <w:r w:rsidRPr="006343CE">
              <w:rPr>
                <w:rFonts w:ascii="Arial Narrow" w:hAnsi="Arial Narrow"/>
                <w:i/>
                <w:sz w:val="20"/>
                <w:szCs w:val="20"/>
              </w:rPr>
              <w:t>Test 2 +</w:t>
            </w:r>
          </w:p>
        </w:tc>
        <w:tc>
          <w:tcPr>
            <w:tcW w:w="2268" w:type="dxa"/>
          </w:tcPr>
          <w:p w14:paraId="25F182CB" w14:textId="77777777" w:rsidR="006343CE" w:rsidRPr="006343CE" w:rsidRDefault="006343CE" w:rsidP="006343CE">
            <w:pPr>
              <w:keepNext/>
              <w:spacing w:after="40" w:line="240" w:lineRule="auto"/>
              <w:jc w:val="both"/>
              <w:rPr>
                <w:rFonts w:ascii="Arial Narrow" w:hAnsi="Arial Narrow"/>
                <w:sz w:val="20"/>
                <w:szCs w:val="20"/>
              </w:rPr>
            </w:pPr>
            <w:r w:rsidRPr="006343CE">
              <w:rPr>
                <w:rFonts w:ascii="Arial Narrow" w:hAnsi="Arial Narrow"/>
                <w:sz w:val="20"/>
                <w:szCs w:val="20"/>
              </w:rPr>
              <w:t>Positive with both tests (a)</w:t>
            </w:r>
          </w:p>
        </w:tc>
        <w:tc>
          <w:tcPr>
            <w:tcW w:w="2302" w:type="dxa"/>
          </w:tcPr>
          <w:p w14:paraId="3D336E0D" w14:textId="77777777" w:rsidR="006343CE" w:rsidRPr="006343CE" w:rsidRDefault="006343CE" w:rsidP="006343CE">
            <w:pPr>
              <w:keepNext/>
              <w:spacing w:after="40" w:line="240" w:lineRule="auto"/>
              <w:jc w:val="both"/>
              <w:rPr>
                <w:rFonts w:ascii="Arial Narrow" w:hAnsi="Arial Narrow"/>
                <w:sz w:val="20"/>
                <w:szCs w:val="20"/>
              </w:rPr>
            </w:pPr>
            <w:r w:rsidRPr="006343CE">
              <w:rPr>
                <w:rFonts w:ascii="Arial Narrow" w:hAnsi="Arial Narrow"/>
                <w:sz w:val="20"/>
                <w:szCs w:val="20"/>
              </w:rPr>
              <w:t>Negative with test 1</w:t>
            </w:r>
          </w:p>
          <w:p w14:paraId="7911CD6C" w14:textId="7B47D683" w:rsidR="006343CE" w:rsidRPr="006343CE" w:rsidRDefault="00757706" w:rsidP="006343CE">
            <w:pPr>
              <w:keepNext/>
              <w:spacing w:after="40" w:line="240" w:lineRule="auto"/>
              <w:jc w:val="both"/>
              <w:rPr>
                <w:rFonts w:ascii="Arial Narrow" w:hAnsi="Arial Narrow"/>
                <w:sz w:val="20"/>
                <w:szCs w:val="20"/>
              </w:rPr>
            </w:pPr>
            <w:r>
              <w:rPr>
                <w:rFonts w:ascii="Arial Narrow" w:hAnsi="Arial Narrow"/>
                <w:sz w:val="20"/>
                <w:szCs w:val="20"/>
              </w:rPr>
              <w:t xml:space="preserve">Positive with test 2 </w:t>
            </w:r>
            <w:r w:rsidR="006343CE" w:rsidRPr="006343CE">
              <w:rPr>
                <w:rFonts w:ascii="Arial Narrow" w:hAnsi="Arial Narrow"/>
                <w:sz w:val="20"/>
                <w:szCs w:val="20"/>
              </w:rPr>
              <w:t>(b)</w:t>
            </w:r>
          </w:p>
        </w:tc>
        <w:tc>
          <w:tcPr>
            <w:tcW w:w="1809" w:type="dxa"/>
          </w:tcPr>
          <w:p w14:paraId="3B02AD3C" w14:textId="77777777" w:rsidR="006343CE" w:rsidRPr="006343CE" w:rsidRDefault="006343CE" w:rsidP="006343CE">
            <w:pPr>
              <w:keepNext/>
              <w:spacing w:after="40" w:line="240" w:lineRule="auto"/>
              <w:jc w:val="both"/>
              <w:rPr>
                <w:rFonts w:ascii="Arial Narrow" w:hAnsi="Arial Narrow"/>
                <w:sz w:val="20"/>
                <w:szCs w:val="20"/>
              </w:rPr>
            </w:pPr>
            <w:r w:rsidRPr="006343CE">
              <w:rPr>
                <w:rFonts w:ascii="Arial Narrow" w:hAnsi="Arial Narrow"/>
                <w:sz w:val="20"/>
                <w:szCs w:val="20"/>
              </w:rPr>
              <w:t>Total test 2 positive</w:t>
            </w:r>
          </w:p>
        </w:tc>
      </w:tr>
      <w:tr w:rsidR="006343CE" w:rsidRPr="006343CE" w14:paraId="5ADAD8BC" w14:textId="77777777" w:rsidTr="009B1C7A">
        <w:trPr>
          <w:trHeight w:val="426"/>
        </w:trPr>
        <w:tc>
          <w:tcPr>
            <w:tcW w:w="1526" w:type="dxa"/>
          </w:tcPr>
          <w:p w14:paraId="0E72D5B0" w14:textId="77777777" w:rsidR="006343CE" w:rsidRPr="006343CE" w:rsidRDefault="006343CE" w:rsidP="006343CE">
            <w:pPr>
              <w:keepNext/>
              <w:spacing w:after="40" w:line="240" w:lineRule="auto"/>
              <w:jc w:val="center"/>
              <w:rPr>
                <w:rFonts w:ascii="Arial Narrow" w:hAnsi="Arial Narrow"/>
                <w:color w:val="FFFFFF" w:themeColor="background1"/>
                <w:sz w:val="20"/>
                <w:szCs w:val="20"/>
                <w:lang w:eastAsia="en-US"/>
              </w:rPr>
            </w:pPr>
            <w:r w:rsidRPr="006343CE">
              <w:rPr>
                <w:rFonts w:ascii="Arial Narrow" w:hAnsi="Arial Narrow"/>
                <w:color w:val="FFFFFF" w:themeColor="background1"/>
                <w:sz w:val="20"/>
                <w:szCs w:val="20"/>
                <w:lang w:eastAsia="en-US"/>
              </w:rPr>
              <w:t>-</w:t>
            </w:r>
          </w:p>
        </w:tc>
        <w:tc>
          <w:tcPr>
            <w:tcW w:w="1134" w:type="dxa"/>
          </w:tcPr>
          <w:p w14:paraId="667C7CCE" w14:textId="498445B8" w:rsidR="006343CE" w:rsidRPr="006343CE" w:rsidRDefault="006343CE" w:rsidP="001E7102">
            <w:pPr>
              <w:keepNext/>
              <w:spacing w:after="40" w:line="240" w:lineRule="auto"/>
              <w:jc w:val="both"/>
              <w:rPr>
                <w:rFonts w:ascii="Arial Narrow" w:hAnsi="Arial Narrow"/>
                <w:sz w:val="20"/>
                <w:szCs w:val="20"/>
              </w:rPr>
            </w:pPr>
            <w:r w:rsidRPr="006343CE">
              <w:rPr>
                <w:rFonts w:ascii="Arial Narrow" w:hAnsi="Arial Narrow"/>
                <w:i/>
                <w:sz w:val="20"/>
                <w:szCs w:val="20"/>
              </w:rPr>
              <w:t xml:space="preserve">Test 2 </w:t>
            </w:r>
            <w:r w:rsidR="001E7102">
              <w:rPr>
                <w:rFonts w:ascii="Arial Narrow" w:hAnsi="Arial Narrow"/>
                <w:i/>
                <w:sz w:val="20"/>
                <w:szCs w:val="20"/>
              </w:rPr>
              <w:t>-</w:t>
            </w:r>
          </w:p>
        </w:tc>
        <w:tc>
          <w:tcPr>
            <w:tcW w:w="2268" w:type="dxa"/>
          </w:tcPr>
          <w:p w14:paraId="50CCC9B2" w14:textId="77777777" w:rsidR="006343CE" w:rsidRPr="006343CE" w:rsidRDefault="006343CE" w:rsidP="006343CE">
            <w:pPr>
              <w:keepNext/>
              <w:spacing w:after="40" w:line="240" w:lineRule="auto"/>
              <w:jc w:val="both"/>
              <w:rPr>
                <w:rFonts w:ascii="Arial Narrow" w:hAnsi="Arial Narrow"/>
                <w:sz w:val="20"/>
                <w:szCs w:val="20"/>
              </w:rPr>
            </w:pPr>
            <w:r w:rsidRPr="006343CE">
              <w:rPr>
                <w:rFonts w:ascii="Arial Narrow" w:hAnsi="Arial Narrow"/>
                <w:sz w:val="20"/>
                <w:szCs w:val="20"/>
              </w:rPr>
              <w:t>Positive with test 1</w:t>
            </w:r>
          </w:p>
          <w:p w14:paraId="5B6289DA" w14:textId="61CB581B" w:rsidR="006343CE" w:rsidRPr="006343CE" w:rsidRDefault="00757706" w:rsidP="006343CE">
            <w:pPr>
              <w:keepNext/>
              <w:spacing w:after="40" w:line="240" w:lineRule="auto"/>
              <w:jc w:val="both"/>
              <w:rPr>
                <w:rFonts w:ascii="Arial Narrow" w:hAnsi="Arial Narrow"/>
                <w:sz w:val="20"/>
                <w:szCs w:val="20"/>
              </w:rPr>
            </w:pPr>
            <w:r>
              <w:rPr>
                <w:rFonts w:ascii="Arial Narrow" w:hAnsi="Arial Narrow"/>
                <w:sz w:val="20"/>
                <w:szCs w:val="20"/>
              </w:rPr>
              <w:t xml:space="preserve">Negative with test 2 </w:t>
            </w:r>
            <w:r w:rsidR="006343CE" w:rsidRPr="006343CE">
              <w:rPr>
                <w:rFonts w:ascii="Arial Narrow" w:hAnsi="Arial Narrow"/>
                <w:sz w:val="20"/>
                <w:szCs w:val="20"/>
              </w:rPr>
              <w:t>(c)</w:t>
            </w:r>
          </w:p>
        </w:tc>
        <w:tc>
          <w:tcPr>
            <w:tcW w:w="2302" w:type="dxa"/>
          </w:tcPr>
          <w:p w14:paraId="6E4F6861" w14:textId="77777777" w:rsidR="006343CE" w:rsidRPr="006343CE" w:rsidRDefault="006343CE" w:rsidP="006343CE">
            <w:pPr>
              <w:keepNext/>
              <w:spacing w:after="40" w:line="240" w:lineRule="auto"/>
              <w:jc w:val="both"/>
              <w:rPr>
                <w:rFonts w:ascii="Arial Narrow" w:hAnsi="Arial Narrow"/>
                <w:sz w:val="20"/>
                <w:szCs w:val="20"/>
              </w:rPr>
            </w:pPr>
            <w:r w:rsidRPr="006343CE">
              <w:rPr>
                <w:rFonts w:ascii="Arial Narrow" w:hAnsi="Arial Narrow"/>
                <w:sz w:val="20"/>
                <w:szCs w:val="20"/>
              </w:rPr>
              <w:t>Negative with both tests (d)</w:t>
            </w:r>
          </w:p>
        </w:tc>
        <w:tc>
          <w:tcPr>
            <w:tcW w:w="1809" w:type="dxa"/>
          </w:tcPr>
          <w:p w14:paraId="77643890" w14:textId="77777777" w:rsidR="006343CE" w:rsidRPr="006343CE" w:rsidRDefault="006343CE" w:rsidP="006343CE">
            <w:pPr>
              <w:keepNext/>
              <w:spacing w:after="40" w:line="240" w:lineRule="auto"/>
              <w:jc w:val="both"/>
              <w:rPr>
                <w:rFonts w:ascii="Arial Narrow" w:hAnsi="Arial Narrow"/>
                <w:sz w:val="20"/>
                <w:szCs w:val="20"/>
              </w:rPr>
            </w:pPr>
            <w:r w:rsidRPr="006343CE">
              <w:rPr>
                <w:rFonts w:ascii="Arial Narrow" w:hAnsi="Arial Narrow"/>
                <w:sz w:val="20"/>
                <w:szCs w:val="20"/>
              </w:rPr>
              <w:t>Total test 2 negative</w:t>
            </w:r>
          </w:p>
        </w:tc>
      </w:tr>
      <w:tr w:rsidR="006343CE" w:rsidRPr="006343CE" w14:paraId="56F37B44" w14:textId="77777777" w:rsidTr="009B1C7A">
        <w:trPr>
          <w:trHeight w:val="149"/>
        </w:trPr>
        <w:tc>
          <w:tcPr>
            <w:tcW w:w="1526" w:type="dxa"/>
          </w:tcPr>
          <w:p w14:paraId="18B977D8" w14:textId="77777777" w:rsidR="006343CE" w:rsidRPr="006343CE" w:rsidRDefault="006343CE" w:rsidP="006343CE">
            <w:pPr>
              <w:spacing w:after="40" w:line="240" w:lineRule="auto"/>
              <w:jc w:val="both"/>
              <w:rPr>
                <w:rFonts w:ascii="Arial Narrow" w:hAnsi="Arial Narrow"/>
                <w:color w:val="FFFFFF" w:themeColor="background1"/>
                <w:sz w:val="20"/>
                <w:szCs w:val="20"/>
                <w:lang w:eastAsia="en-US"/>
              </w:rPr>
            </w:pPr>
            <w:r w:rsidRPr="006343CE">
              <w:rPr>
                <w:rFonts w:ascii="Arial Narrow" w:hAnsi="Arial Narrow"/>
                <w:color w:val="FFFFFF" w:themeColor="background1"/>
                <w:sz w:val="20"/>
                <w:szCs w:val="20"/>
                <w:lang w:eastAsia="en-US"/>
              </w:rPr>
              <w:t>-</w:t>
            </w:r>
          </w:p>
        </w:tc>
        <w:tc>
          <w:tcPr>
            <w:tcW w:w="1134" w:type="dxa"/>
          </w:tcPr>
          <w:p w14:paraId="1E376141" w14:textId="77777777" w:rsidR="006343CE" w:rsidRPr="006343CE" w:rsidRDefault="006343CE" w:rsidP="006343CE">
            <w:pPr>
              <w:spacing w:after="40" w:line="240" w:lineRule="auto"/>
              <w:jc w:val="both"/>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c>
          <w:tcPr>
            <w:tcW w:w="2268" w:type="dxa"/>
          </w:tcPr>
          <w:p w14:paraId="4D9AAE8A" w14:textId="77777777" w:rsidR="006343CE" w:rsidRPr="006343CE" w:rsidRDefault="006343CE" w:rsidP="006343CE">
            <w:pPr>
              <w:spacing w:after="40" w:line="240" w:lineRule="auto"/>
              <w:jc w:val="both"/>
              <w:rPr>
                <w:rFonts w:ascii="Arial Narrow" w:hAnsi="Arial Narrow"/>
                <w:sz w:val="20"/>
                <w:szCs w:val="20"/>
                <w:highlight w:val="yellow"/>
              </w:rPr>
            </w:pPr>
            <w:r w:rsidRPr="006343CE">
              <w:rPr>
                <w:rFonts w:ascii="Arial Narrow" w:hAnsi="Arial Narrow"/>
                <w:sz w:val="20"/>
                <w:szCs w:val="20"/>
              </w:rPr>
              <w:t>Total test 1 positive</w:t>
            </w:r>
          </w:p>
        </w:tc>
        <w:tc>
          <w:tcPr>
            <w:tcW w:w="2302" w:type="dxa"/>
          </w:tcPr>
          <w:p w14:paraId="4226B940" w14:textId="77777777" w:rsidR="006343CE" w:rsidRPr="006343CE" w:rsidRDefault="006343CE" w:rsidP="009C0DD0">
            <w:pPr>
              <w:spacing w:line="240" w:lineRule="auto"/>
              <w:jc w:val="both"/>
              <w:rPr>
                <w:rFonts w:ascii="Arial Narrow" w:hAnsi="Arial Narrow"/>
                <w:sz w:val="20"/>
                <w:szCs w:val="20"/>
                <w:highlight w:val="yellow"/>
              </w:rPr>
            </w:pPr>
            <w:r w:rsidRPr="006343CE">
              <w:rPr>
                <w:rFonts w:ascii="Arial Narrow" w:hAnsi="Arial Narrow"/>
                <w:sz w:val="20"/>
                <w:szCs w:val="20"/>
              </w:rPr>
              <w:t>Total test 1 negative</w:t>
            </w:r>
          </w:p>
        </w:tc>
        <w:tc>
          <w:tcPr>
            <w:tcW w:w="1809" w:type="dxa"/>
          </w:tcPr>
          <w:p w14:paraId="629DB346" w14:textId="77777777" w:rsidR="006343CE" w:rsidRPr="006343CE" w:rsidRDefault="006343CE" w:rsidP="009C0DD0">
            <w:pPr>
              <w:spacing w:line="240" w:lineRule="auto"/>
              <w:jc w:val="both"/>
              <w:rPr>
                <w:rFonts w:ascii="Arial Narrow" w:hAnsi="Arial Narrow"/>
                <w:color w:val="FFFFFF" w:themeColor="background1"/>
                <w:sz w:val="20"/>
                <w:szCs w:val="20"/>
              </w:rPr>
            </w:pPr>
            <w:r w:rsidRPr="006343CE">
              <w:rPr>
                <w:rFonts w:ascii="Arial Narrow" w:hAnsi="Arial Narrow"/>
                <w:color w:val="FFFFFF" w:themeColor="background1"/>
                <w:sz w:val="20"/>
                <w:szCs w:val="20"/>
              </w:rPr>
              <w:t>-</w:t>
            </w:r>
          </w:p>
        </w:tc>
      </w:tr>
    </w:tbl>
    <w:p w14:paraId="2A6F95BD" w14:textId="492BE4B4" w:rsidR="006343CE" w:rsidRPr="006343CE" w:rsidRDefault="006343CE" w:rsidP="006343CE">
      <w:pPr>
        <w:jc w:val="both"/>
      </w:pPr>
      <w:r w:rsidRPr="006343CE">
        <w:t>The overall, positive and negative per</w:t>
      </w:r>
      <w:r w:rsidR="00B169D7">
        <w:t> </w:t>
      </w:r>
      <w:r w:rsidR="00757706">
        <w:t>cent agreement</w:t>
      </w:r>
      <w:r w:rsidRPr="006343CE">
        <w:t xml:space="preserve"> between the tests were calculated. Overall per</w:t>
      </w:r>
      <w:r w:rsidR="00B169D7">
        <w:t> </w:t>
      </w:r>
      <w:r w:rsidRPr="006343CE">
        <w:t>cent agreement is defined as the number of people who are either positive or negative for both tests divided by the total number of people. Positive per</w:t>
      </w:r>
      <w:r w:rsidR="00B169D7">
        <w:t> </w:t>
      </w:r>
      <w:r w:rsidRPr="006343CE">
        <w:t>cent agreement is defined as the number of people who are positive for both tests divided by the number who are positive for either test. Negative per</w:t>
      </w:r>
      <w:r w:rsidR="00B169D7">
        <w:t> </w:t>
      </w:r>
      <w:r w:rsidRPr="006343CE">
        <w:t>cent agreement is defined as the number of people who are negative for both tests divided by the number who are negative for either test.</w:t>
      </w:r>
    </w:p>
    <w:p w14:paraId="15D0396C" w14:textId="3EEC9DEC" w:rsidR="006343CE" w:rsidRPr="006343CE" w:rsidRDefault="006343CE" w:rsidP="006343CE">
      <w:pPr>
        <w:rPr>
          <w:rFonts w:ascii="Arial Narrow" w:hAnsi="Arial Narrow"/>
        </w:rPr>
      </w:pPr>
      <w:r w:rsidRPr="006343CE">
        <w:rPr>
          <w:rFonts w:ascii="Arial Narrow" w:hAnsi="Arial Narrow"/>
        </w:rPr>
        <w:t>Overall per</w:t>
      </w:r>
      <w:r w:rsidR="00B169D7">
        <w:rPr>
          <w:rFonts w:ascii="Arial Narrow" w:hAnsi="Arial Narrow"/>
        </w:rPr>
        <w:t> </w:t>
      </w:r>
      <w:r w:rsidRPr="006343CE">
        <w:rPr>
          <w:rFonts w:ascii="Arial Narrow" w:hAnsi="Arial Narrow"/>
        </w:rPr>
        <w:t>cent agreement = (a + d) / (a + b + c + d)</w:t>
      </w:r>
    </w:p>
    <w:p w14:paraId="70379BD4" w14:textId="16734F90" w:rsidR="006343CE" w:rsidRPr="006343CE" w:rsidRDefault="006343CE" w:rsidP="006343CE">
      <w:pPr>
        <w:rPr>
          <w:rFonts w:ascii="Arial Narrow" w:hAnsi="Arial Narrow"/>
        </w:rPr>
      </w:pPr>
      <w:r w:rsidRPr="006343CE">
        <w:rPr>
          <w:rFonts w:ascii="Arial Narrow" w:hAnsi="Arial Narrow"/>
        </w:rPr>
        <w:t>Positive per</w:t>
      </w:r>
      <w:r w:rsidR="00B169D7">
        <w:rPr>
          <w:rFonts w:ascii="Arial Narrow" w:hAnsi="Arial Narrow"/>
        </w:rPr>
        <w:t> </w:t>
      </w:r>
      <w:r w:rsidRPr="006343CE">
        <w:rPr>
          <w:rFonts w:ascii="Arial Narrow" w:hAnsi="Arial Narrow"/>
        </w:rPr>
        <w:t>cent agreement = a / (a + b + c)</w:t>
      </w:r>
    </w:p>
    <w:p w14:paraId="20620BAE" w14:textId="60BFFF35" w:rsidR="006343CE" w:rsidRPr="006343CE" w:rsidRDefault="006343CE" w:rsidP="006343CE">
      <w:pPr>
        <w:rPr>
          <w:rFonts w:ascii="Arial Narrow" w:hAnsi="Arial Narrow"/>
        </w:rPr>
      </w:pPr>
      <w:r w:rsidRPr="006343CE">
        <w:rPr>
          <w:rFonts w:ascii="Arial Narrow" w:hAnsi="Arial Narrow"/>
        </w:rPr>
        <w:t>Negative per</w:t>
      </w:r>
      <w:r w:rsidR="00B169D7">
        <w:rPr>
          <w:rFonts w:ascii="Arial Narrow" w:hAnsi="Arial Narrow"/>
        </w:rPr>
        <w:t> </w:t>
      </w:r>
      <w:r w:rsidRPr="006343CE">
        <w:rPr>
          <w:rFonts w:ascii="Arial Narrow" w:hAnsi="Arial Narrow"/>
        </w:rPr>
        <w:t>cent agreement = d / (b + c + d)</w:t>
      </w:r>
    </w:p>
    <w:p w14:paraId="6C66C8D5" w14:textId="77777777" w:rsidR="006343CE" w:rsidRPr="006343CE" w:rsidRDefault="006343CE" w:rsidP="001B2A30">
      <w:pPr>
        <w:contextualSpacing/>
        <w:jc w:val="both"/>
      </w:pPr>
      <w:r w:rsidRPr="006343CE">
        <w:t>The correlation studies used two different correlation coefficients, either Spearman’s rank correlation coefficient (rho) or Pearson’s bivariate correlation coefficient (r).</w:t>
      </w:r>
    </w:p>
    <w:p w14:paraId="58561378" w14:textId="0B3EA0A0" w:rsidR="006343CE" w:rsidRPr="006343CE" w:rsidRDefault="006343CE" w:rsidP="006343CE">
      <w:pPr>
        <w:spacing w:after="0"/>
        <w:contextualSpacing/>
        <w:jc w:val="both"/>
      </w:pPr>
      <w:r w:rsidRPr="006343CE">
        <w:t>Spearman</w:t>
      </w:r>
      <w:r w:rsidR="00FA6107">
        <w:t>’s rank correlation coefficient</w:t>
      </w:r>
      <w:r w:rsidRPr="006343CE">
        <w:t xml:space="preserve"> measures the strength and direction of association between two ranked variables, and ranges between zero (no tendency for Y to increase or decrease when X increases) and ±1 (when X and Y are perfectly monotonically related). The sign of the Spearman correlation indicates the direction of association between X and Y:</w:t>
      </w:r>
    </w:p>
    <w:p w14:paraId="7935C08D" w14:textId="4486784D" w:rsidR="006343CE" w:rsidRPr="006343CE" w:rsidRDefault="00FA6107" w:rsidP="00B7183E">
      <w:pPr>
        <w:numPr>
          <w:ilvl w:val="0"/>
          <w:numId w:val="35"/>
        </w:numPr>
        <w:ind w:left="709" w:hanging="349"/>
        <w:contextualSpacing/>
        <w:jc w:val="both"/>
      </w:pPr>
      <w:r>
        <w:t>i</w:t>
      </w:r>
      <w:r w:rsidR="006343CE" w:rsidRPr="006343CE">
        <w:t xml:space="preserve">f Y tends to increase when X increases, </w:t>
      </w:r>
      <w:r>
        <w:t>rho is positive</w:t>
      </w:r>
    </w:p>
    <w:p w14:paraId="1E28D8E3" w14:textId="4D3F1A4D" w:rsidR="006343CE" w:rsidRPr="006343CE" w:rsidRDefault="00FA6107" w:rsidP="00B7183E">
      <w:pPr>
        <w:numPr>
          <w:ilvl w:val="0"/>
          <w:numId w:val="35"/>
        </w:numPr>
        <w:ind w:left="709" w:hanging="349"/>
        <w:jc w:val="both"/>
      </w:pPr>
      <w:r>
        <w:t>i</w:t>
      </w:r>
      <w:r w:rsidR="006343CE" w:rsidRPr="006343CE">
        <w:t xml:space="preserve">f Y tends to decrease when X increases, </w:t>
      </w:r>
      <w:r>
        <w:t>rho</w:t>
      </w:r>
      <w:r w:rsidR="006343CE" w:rsidRPr="006343CE">
        <w:t xml:space="preserve"> is negative.</w:t>
      </w:r>
    </w:p>
    <w:p w14:paraId="20153317" w14:textId="5CB7B8DA" w:rsidR="006343CE" w:rsidRPr="006343CE" w:rsidRDefault="006343CE" w:rsidP="006343CE">
      <w:pPr>
        <w:spacing w:after="0"/>
        <w:contextualSpacing/>
        <w:jc w:val="both"/>
      </w:pPr>
      <w:r w:rsidRPr="006343CE">
        <w:t>Pearson’s bivar</w:t>
      </w:r>
      <w:r w:rsidR="00FA6107">
        <w:t>iate correlation coefficient</w:t>
      </w:r>
      <w:r w:rsidRPr="006343CE">
        <w:t xml:space="preserve"> is a measure of the linear correlation between two variables. It has a value between +1 and −1, where:</w:t>
      </w:r>
    </w:p>
    <w:p w14:paraId="6855BCCA" w14:textId="77777777" w:rsidR="006343CE" w:rsidRPr="006343CE" w:rsidRDefault="006343CE" w:rsidP="00B7183E">
      <w:pPr>
        <w:numPr>
          <w:ilvl w:val="0"/>
          <w:numId w:val="34"/>
        </w:numPr>
        <w:ind w:left="709" w:hanging="428"/>
        <w:contextualSpacing/>
        <w:jc w:val="both"/>
      </w:pPr>
      <w:r w:rsidRPr="006343CE">
        <w:t>1 is total positive linear correlation</w:t>
      </w:r>
    </w:p>
    <w:p w14:paraId="3C387D81" w14:textId="77777777" w:rsidR="006343CE" w:rsidRPr="006343CE" w:rsidRDefault="006343CE" w:rsidP="00B7183E">
      <w:pPr>
        <w:numPr>
          <w:ilvl w:val="0"/>
          <w:numId w:val="34"/>
        </w:numPr>
        <w:ind w:left="709" w:hanging="428"/>
        <w:contextualSpacing/>
        <w:jc w:val="both"/>
      </w:pPr>
      <w:r w:rsidRPr="006343CE">
        <w:t>0 is no linear correlation</w:t>
      </w:r>
    </w:p>
    <w:p w14:paraId="5E339BD2" w14:textId="34D3683D" w:rsidR="003A50B9" w:rsidRDefault="006343CE" w:rsidP="00B7183E">
      <w:pPr>
        <w:numPr>
          <w:ilvl w:val="0"/>
          <w:numId w:val="34"/>
        </w:numPr>
        <w:ind w:left="709" w:hanging="428"/>
        <w:jc w:val="both"/>
      </w:pPr>
      <w:r w:rsidRPr="006343CE">
        <w:t>−1 is total negative linear correlation.</w:t>
      </w:r>
    </w:p>
    <w:p w14:paraId="2D52B5E4" w14:textId="77777777" w:rsidR="003A50B9" w:rsidRDefault="003A50B9">
      <w:pPr>
        <w:spacing w:after="0" w:line="240" w:lineRule="auto"/>
      </w:pPr>
      <w:r>
        <w:br w:type="page"/>
      </w:r>
    </w:p>
    <w:p w14:paraId="7791ED07" w14:textId="564E3B62" w:rsidR="007A49EE" w:rsidRDefault="007A49EE" w:rsidP="003F773B">
      <w:pPr>
        <w:pStyle w:val="Heading2"/>
        <w:numPr>
          <w:ilvl w:val="1"/>
          <w:numId w:val="21"/>
        </w:numPr>
      </w:pPr>
      <w:bookmarkStart w:id="263" w:name="_Toc502832935"/>
      <w:r w:rsidRPr="00183E4D">
        <w:lastRenderedPageBreak/>
        <w:t xml:space="preserve">Results of the </w:t>
      </w:r>
      <w:r w:rsidR="00DC5CE5">
        <w:t>s</w:t>
      </w:r>
      <w:r w:rsidRPr="00183E4D">
        <w:t xml:space="preserve">ystematic </w:t>
      </w:r>
      <w:r w:rsidR="00DC5CE5">
        <w:t>l</w:t>
      </w:r>
      <w:r w:rsidRPr="00183E4D">
        <w:t xml:space="preserve">iterature </w:t>
      </w:r>
      <w:r w:rsidR="00DC5CE5">
        <w:t>r</w:t>
      </w:r>
      <w:r w:rsidRPr="00183E4D">
        <w:t>eview</w:t>
      </w:r>
      <w:bookmarkEnd w:id="263"/>
    </w:p>
    <w:p w14:paraId="76014CFC" w14:textId="77777777" w:rsidR="00364786" w:rsidRPr="00BA56CC" w:rsidRDefault="00364786" w:rsidP="00364786">
      <w:pPr>
        <w:pStyle w:val="Heading3"/>
      </w:pPr>
      <w:bookmarkStart w:id="264" w:name="_Toc502832936"/>
      <w:r w:rsidRPr="00BA56CC">
        <w:t>Is it accurate?</w:t>
      </w:r>
      <w:bookmarkEnd w:id="264"/>
    </w:p>
    <w:p w14:paraId="362A0325" w14:textId="50DF0E46" w:rsidR="00B32B47" w:rsidRDefault="00DD53E7" w:rsidP="00A55B95">
      <w:pPr>
        <w:pStyle w:val="Summaryboxheading"/>
        <w:pBdr>
          <w:top w:val="single" w:sz="4" w:space="1" w:color="auto"/>
          <w:left w:val="single" w:sz="4" w:space="4" w:color="auto"/>
          <w:bottom w:val="single" w:sz="4" w:space="0" w:color="auto"/>
          <w:right w:val="single" w:sz="4" w:space="4" w:color="auto"/>
        </w:pBdr>
        <w:jc w:val="both"/>
      </w:pPr>
      <w:r>
        <w:t>Summary</w:t>
      </w:r>
    </w:p>
    <w:p w14:paraId="55C41976" w14:textId="4FD33C68" w:rsidR="00364786" w:rsidRDefault="003668D6" w:rsidP="00A55B95">
      <w:pPr>
        <w:pStyle w:val="Summaryboxheading"/>
        <w:pBdr>
          <w:top w:val="single" w:sz="4" w:space="1" w:color="auto"/>
          <w:left w:val="single" w:sz="4" w:space="4" w:color="auto"/>
          <w:bottom w:val="single" w:sz="4" w:space="0" w:color="auto"/>
          <w:right w:val="single" w:sz="4" w:space="4" w:color="auto"/>
        </w:pBdr>
        <w:jc w:val="both"/>
      </w:pPr>
      <w:r>
        <w:t xml:space="preserve">Analytical validity </w:t>
      </w:r>
      <w:r w:rsidR="00364786" w:rsidRPr="009905E5">
        <w:t>of AMH test</w:t>
      </w:r>
      <w:r>
        <w:t>s</w:t>
      </w:r>
      <w:r w:rsidR="00364786" w:rsidRPr="009905E5">
        <w:t xml:space="preserve"> compared with a clinical reference standard</w:t>
      </w:r>
    </w:p>
    <w:p w14:paraId="0B2C4050" w14:textId="3A428858" w:rsidR="007518CF" w:rsidRDefault="00364786" w:rsidP="00A55B95">
      <w:pPr>
        <w:pStyle w:val="Summaryboxheading"/>
        <w:pBdr>
          <w:top w:val="single" w:sz="4" w:space="1" w:color="auto"/>
          <w:left w:val="single" w:sz="4" w:space="4" w:color="auto"/>
          <w:bottom w:val="single" w:sz="4" w:space="0" w:color="auto"/>
          <w:right w:val="single" w:sz="4" w:space="4" w:color="auto"/>
        </w:pBdr>
        <w:jc w:val="both"/>
        <w:rPr>
          <w:b w:val="0"/>
        </w:rPr>
      </w:pPr>
      <w:r w:rsidRPr="003668D6">
        <w:rPr>
          <w:b w:val="0"/>
        </w:rPr>
        <w:t xml:space="preserve">Decanter et al. (2014) reported that the sensitivity of the EIA AMH/MIS assay was only 11% (95%CI 2, 28), compared with the </w:t>
      </w:r>
      <w:r w:rsidR="006A169E" w:rsidRPr="003668D6">
        <w:rPr>
          <w:b w:val="0"/>
        </w:rPr>
        <w:t>pico</w:t>
      </w:r>
      <w:r w:rsidRPr="003668D6">
        <w:rPr>
          <w:b w:val="0"/>
        </w:rPr>
        <w:t>-AMH ELISA</w:t>
      </w:r>
      <w:r w:rsidRPr="009905E5">
        <w:rPr>
          <w:b w:val="0"/>
        </w:rPr>
        <w:t xml:space="preserve"> of 71% (95%CI 51, 87). </w:t>
      </w:r>
      <w:r w:rsidR="000D262D">
        <w:rPr>
          <w:b w:val="0"/>
        </w:rPr>
        <w:t>This can be explained by the</w:t>
      </w:r>
      <w:r>
        <w:rPr>
          <w:b w:val="0"/>
        </w:rPr>
        <w:t xml:space="preserve"> </w:t>
      </w:r>
      <w:r w:rsidRPr="009905E5">
        <w:rPr>
          <w:b w:val="0"/>
        </w:rPr>
        <w:t xml:space="preserve">40-fold difference in the level of AMH detectable </w:t>
      </w:r>
      <w:r>
        <w:rPr>
          <w:b w:val="0"/>
        </w:rPr>
        <w:t>by</w:t>
      </w:r>
      <w:r w:rsidRPr="009905E5">
        <w:rPr>
          <w:b w:val="0"/>
        </w:rPr>
        <w:t xml:space="preserve"> th</w:t>
      </w:r>
      <w:r w:rsidR="000D262D">
        <w:rPr>
          <w:b w:val="0"/>
        </w:rPr>
        <w:t>e two AMH tests, and shows that i</w:t>
      </w:r>
      <w:r w:rsidRPr="009905E5">
        <w:rPr>
          <w:b w:val="0"/>
        </w:rPr>
        <w:t xml:space="preserve">f the presence of detectable AMH in the serum is used to determine ovarian </w:t>
      </w:r>
      <w:r>
        <w:rPr>
          <w:b w:val="0"/>
        </w:rPr>
        <w:t>recovery</w:t>
      </w:r>
      <w:r w:rsidRPr="009905E5">
        <w:rPr>
          <w:b w:val="0"/>
        </w:rPr>
        <w:t xml:space="preserve"> in women </w:t>
      </w:r>
      <w:r>
        <w:rPr>
          <w:b w:val="0"/>
        </w:rPr>
        <w:t>soon after</w:t>
      </w:r>
      <w:r w:rsidRPr="009905E5">
        <w:rPr>
          <w:b w:val="0"/>
        </w:rPr>
        <w:t xml:space="preserve"> complet</w:t>
      </w:r>
      <w:r>
        <w:rPr>
          <w:b w:val="0"/>
        </w:rPr>
        <w:t>ion of</w:t>
      </w:r>
      <w:r w:rsidRPr="009905E5">
        <w:rPr>
          <w:b w:val="0"/>
        </w:rPr>
        <w:t xml:space="preserve"> chemotherapy, a sensitive AMH test is needed to detect very low AMH levels. Even then, about </w:t>
      </w:r>
      <w:r w:rsidR="000D262D">
        <w:rPr>
          <w:b w:val="0"/>
        </w:rPr>
        <w:t>one in three</w:t>
      </w:r>
      <w:r w:rsidR="003668D6">
        <w:rPr>
          <w:b w:val="0"/>
        </w:rPr>
        <w:t xml:space="preserve"> samples of</w:t>
      </w:r>
      <w:r w:rsidRPr="009905E5">
        <w:rPr>
          <w:b w:val="0"/>
        </w:rPr>
        <w:t xml:space="preserve"> women who will resume menstruation </w:t>
      </w:r>
      <w:r>
        <w:rPr>
          <w:b w:val="0"/>
        </w:rPr>
        <w:t>had</w:t>
      </w:r>
      <w:r w:rsidRPr="009905E5">
        <w:rPr>
          <w:b w:val="0"/>
        </w:rPr>
        <w:t xml:space="preserve"> a </w:t>
      </w:r>
      <w:r w:rsidR="00772EDC">
        <w:rPr>
          <w:b w:val="0"/>
        </w:rPr>
        <w:t>false-negative result</w:t>
      </w:r>
      <w:r w:rsidRPr="009905E5">
        <w:rPr>
          <w:b w:val="0"/>
        </w:rPr>
        <w:t xml:space="preserve"> </w:t>
      </w:r>
      <w:r>
        <w:rPr>
          <w:b w:val="0"/>
        </w:rPr>
        <w:t>in this study</w:t>
      </w:r>
      <w:r w:rsidR="00EF14CC">
        <w:rPr>
          <w:b w:val="0"/>
        </w:rPr>
        <w:t xml:space="preserve"> </w:t>
      </w:r>
      <w:r w:rsidR="00EF14CC" w:rsidRPr="009905E5">
        <w:rPr>
          <w:b w:val="0"/>
        </w:rPr>
        <w:t>(undetectable AMH)</w:t>
      </w:r>
      <w:r w:rsidRPr="009905E5">
        <w:rPr>
          <w:b w:val="0"/>
        </w:rPr>
        <w:t xml:space="preserve">. </w:t>
      </w:r>
      <w:r w:rsidR="000D262D">
        <w:rPr>
          <w:b w:val="0"/>
        </w:rPr>
        <w:t>T</w:t>
      </w:r>
      <w:r>
        <w:rPr>
          <w:b w:val="0"/>
        </w:rPr>
        <w:t xml:space="preserve">he </w:t>
      </w:r>
      <w:r w:rsidRPr="009905E5">
        <w:rPr>
          <w:b w:val="0"/>
        </w:rPr>
        <w:t xml:space="preserve">specificity for both tests </w:t>
      </w:r>
      <w:r>
        <w:rPr>
          <w:b w:val="0"/>
        </w:rPr>
        <w:t xml:space="preserve">was </w:t>
      </w:r>
      <w:r w:rsidRPr="009905E5">
        <w:rPr>
          <w:b w:val="0"/>
        </w:rPr>
        <w:t>93%</w:t>
      </w:r>
      <w:r>
        <w:rPr>
          <w:b w:val="0"/>
        </w:rPr>
        <w:t xml:space="preserve"> </w:t>
      </w:r>
      <w:r w:rsidRPr="009905E5">
        <w:rPr>
          <w:b w:val="0"/>
        </w:rPr>
        <w:t>at the 3-month follow-up</w:t>
      </w:r>
      <w:r>
        <w:rPr>
          <w:b w:val="0"/>
        </w:rPr>
        <w:t>,</w:t>
      </w:r>
      <w:r w:rsidRPr="009905E5">
        <w:rPr>
          <w:b w:val="0"/>
        </w:rPr>
        <w:t xml:space="preserve"> </w:t>
      </w:r>
      <w:r>
        <w:rPr>
          <w:b w:val="0"/>
        </w:rPr>
        <w:t>suggesting that</w:t>
      </w:r>
      <w:r w:rsidRPr="009905E5">
        <w:rPr>
          <w:b w:val="0"/>
        </w:rPr>
        <w:t xml:space="preserve"> undetectable AMH was a strong indicator for non-resumption of menses</w:t>
      </w:r>
      <w:r>
        <w:rPr>
          <w:b w:val="0"/>
        </w:rPr>
        <w:t>.</w:t>
      </w:r>
      <w:r w:rsidRPr="009905E5">
        <w:rPr>
          <w:b w:val="0"/>
        </w:rPr>
        <w:t xml:space="preserve"> </w:t>
      </w:r>
      <w:r>
        <w:rPr>
          <w:b w:val="0"/>
        </w:rPr>
        <w:t>O</w:t>
      </w:r>
      <w:r w:rsidRPr="009905E5">
        <w:rPr>
          <w:b w:val="0"/>
        </w:rPr>
        <w:t>nly 7%</w:t>
      </w:r>
      <w:r w:rsidR="003668D6">
        <w:rPr>
          <w:b w:val="0"/>
        </w:rPr>
        <w:t xml:space="preserve"> of</w:t>
      </w:r>
      <w:r w:rsidRPr="009905E5">
        <w:rPr>
          <w:b w:val="0"/>
        </w:rPr>
        <w:t xml:space="preserve"> </w:t>
      </w:r>
      <w:r w:rsidR="003668D6">
        <w:rPr>
          <w:b w:val="0"/>
        </w:rPr>
        <w:t xml:space="preserve">samples </w:t>
      </w:r>
      <w:r w:rsidR="00EF14CC">
        <w:rPr>
          <w:b w:val="0"/>
        </w:rPr>
        <w:t>of women who had</w:t>
      </w:r>
      <w:r w:rsidRPr="009905E5">
        <w:rPr>
          <w:b w:val="0"/>
        </w:rPr>
        <w:t xml:space="preserve"> not resumed menstruation </w:t>
      </w:r>
      <w:r>
        <w:rPr>
          <w:b w:val="0"/>
        </w:rPr>
        <w:t>were</w:t>
      </w:r>
      <w:r w:rsidRPr="009905E5">
        <w:rPr>
          <w:b w:val="0"/>
        </w:rPr>
        <w:t xml:space="preserve"> false positive (i.e. detectable AMH levels).</w:t>
      </w:r>
    </w:p>
    <w:p w14:paraId="794F885F" w14:textId="4BBC2034" w:rsidR="00364786" w:rsidRPr="00557693" w:rsidRDefault="00364786" w:rsidP="00A55B95">
      <w:pPr>
        <w:pStyle w:val="Summaryboxheading"/>
        <w:pBdr>
          <w:top w:val="single" w:sz="4" w:space="1" w:color="auto"/>
          <w:left w:val="single" w:sz="4" w:space="4" w:color="auto"/>
          <w:bottom w:val="single" w:sz="4" w:space="0" w:color="auto"/>
          <w:right w:val="single" w:sz="4" w:space="4" w:color="auto"/>
        </w:pBdr>
        <w:spacing w:after="240" w:afterAutospacing="0"/>
        <w:jc w:val="both"/>
      </w:pPr>
      <w:r w:rsidRPr="00557693">
        <w:t>ROC analysis of the ability of the various hormones to discriminate between women with and without menses</w:t>
      </w:r>
    </w:p>
    <w:p w14:paraId="6E056FD8" w14:textId="58011911" w:rsidR="00364786" w:rsidRDefault="00364786" w:rsidP="00A55B95">
      <w:pPr>
        <w:pStyle w:val="Summaryboxheading"/>
        <w:pBdr>
          <w:top w:val="single" w:sz="4" w:space="1" w:color="auto"/>
          <w:left w:val="single" w:sz="4" w:space="4" w:color="auto"/>
          <w:bottom w:val="single" w:sz="4" w:space="0" w:color="auto"/>
          <w:right w:val="single" w:sz="4" w:space="4" w:color="auto"/>
        </w:pBdr>
        <w:spacing w:after="240" w:afterAutospacing="0"/>
        <w:jc w:val="both"/>
        <w:rPr>
          <w:b w:val="0"/>
        </w:rPr>
      </w:pPr>
      <w:r w:rsidRPr="003668D6">
        <w:rPr>
          <w:b w:val="0"/>
        </w:rPr>
        <w:t>Su et al. (2011) measured</w:t>
      </w:r>
      <w:r w:rsidRPr="002C1146">
        <w:rPr>
          <w:b w:val="0"/>
        </w:rPr>
        <w:t xml:space="preserve"> AFC an</w:t>
      </w:r>
      <w:r w:rsidR="00431969">
        <w:rPr>
          <w:b w:val="0"/>
        </w:rPr>
        <w:t>d serum levels of AMH, FSH and i</w:t>
      </w:r>
      <w:r w:rsidRPr="002C1146">
        <w:rPr>
          <w:b w:val="0"/>
        </w:rPr>
        <w:t xml:space="preserve">nhibin B to identify </w:t>
      </w:r>
      <w:r w:rsidR="000D262D">
        <w:rPr>
          <w:b w:val="0"/>
        </w:rPr>
        <w:t>CRA</w:t>
      </w:r>
      <w:r w:rsidRPr="002C1146">
        <w:rPr>
          <w:b w:val="0"/>
        </w:rPr>
        <w:t xml:space="preserve"> in 56 female, post-chemotherapy late</w:t>
      </w:r>
      <w:r w:rsidR="00916047">
        <w:rPr>
          <w:b w:val="0"/>
        </w:rPr>
        <w:t xml:space="preserve"> </w:t>
      </w:r>
      <w:r w:rsidRPr="002C1146">
        <w:rPr>
          <w:b w:val="0"/>
        </w:rPr>
        <w:t>reproductive</w:t>
      </w:r>
      <w:r w:rsidR="003036C4">
        <w:rPr>
          <w:b w:val="0"/>
        </w:rPr>
        <w:t>-</w:t>
      </w:r>
      <w:r w:rsidRPr="002C1146">
        <w:rPr>
          <w:b w:val="0"/>
        </w:rPr>
        <w:t>aged breast cancer survivors.</w:t>
      </w:r>
      <w:r>
        <w:rPr>
          <w:b w:val="0"/>
        </w:rPr>
        <w:t xml:space="preserve"> </w:t>
      </w:r>
      <w:r w:rsidR="00DE061A">
        <w:rPr>
          <w:b w:val="0"/>
        </w:rPr>
        <w:t>The study</w:t>
      </w:r>
      <w:r>
        <w:rPr>
          <w:b w:val="0"/>
        </w:rPr>
        <w:t xml:space="preserve"> used ROC analysis</w:t>
      </w:r>
      <w:r w:rsidR="00DE061A">
        <w:rPr>
          <w:b w:val="0"/>
        </w:rPr>
        <w:t xml:space="preserve"> and</w:t>
      </w:r>
      <w:r w:rsidRPr="002C1146">
        <w:rPr>
          <w:b w:val="0"/>
        </w:rPr>
        <w:t xml:space="preserve"> </w:t>
      </w:r>
      <w:r>
        <w:rPr>
          <w:b w:val="0"/>
        </w:rPr>
        <w:t>found that o</w:t>
      </w:r>
      <w:r w:rsidRPr="006B3410">
        <w:rPr>
          <w:b w:val="0"/>
        </w:rPr>
        <w:t xml:space="preserve">nly the AFC test had an AUC above 0.8, indicating good accuracy. </w:t>
      </w:r>
      <w:r>
        <w:rPr>
          <w:b w:val="0"/>
        </w:rPr>
        <w:t>However, they reported that the</w:t>
      </w:r>
      <w:r w:rsidRPr="006B3410">
        <w:rPr>
          <w:b w:val="0"/>
        </w:rPr>
        <w:t xml:space="preserve"> combination of the AFC test with the AMH or FSH tests improv</w:t>
      </w:r>
      <w:r>
        <w:rPr>
          <w:b w:val="0"/>
        </w:rPr>
        <w:t>ed</w:t>
      </w:r>
      <w:r w:rsidRPr="006B3410">
        <w:rPr>
          <w:b w:val="0"/>
        </w:rPr>
        <w:t xml:space="preserve"> the accuracy </w:t>
      </w:r>
      <w:r w:rsidR="00431969">
        <w:rPr>
          <w:b w:val="0"/>
        </w:rPr>
        <w:t>compared to the</w:t>
      </w:r>
      <w:r w:rsidRPr="006B3410">
        <w:rPr>
          <w:b w:val="0"/>
        </w:rPr>
        <w:t xml:space="preserve"> AFC test alone.</w:t>
      </w:r>
    </w:p>
    <w:p w14:paraId="4E9F2B26" w14:textId="225D2940" w:rsidR="007518CF" w:rsidRDefault="00364786" w:rsidP="00A55B95">
      <w:pPr>
        <w:pStyle w:val="Summaryboxheading"/>
        <w:pBdr>
          <w:top w:val="single" w:sz="4" w:space="1" w:color="auto"/>
          <w:left w:val="single" w:sz="4" w:space="4" w:color="auto"/>
          <w:bottom w:val="single" w:sz="4" w:space="0" w:color="auto"/>
          <w:right w:val="single" w:sz="4" w:space="4" w:color="auto"/>
        </w:pBdr>
        <w:spacing w:after="240"/>
        <w:rPr>
          <w:b w:val="0"/>
          <w:sz w:val="20"/>
        </w:rPr>
      </w:pPr>
      <w:r w:rsidRPr="005B3CFD">
        <w:rPr>
          <w:b w:val="0"/>
        </w:rPr>
        <w:t>Su et al. (2011) also</w:t>
      </w:r>
      <w:r w:rsidRPr="006B3410">
        <w:rPr>
          <w:b w:val="0"/>
        </w:rPr>
        <w:t xml:space="preserve"> calculated the sensitivity and specificity of the tests using the threshold values determined by ROC curve analysis. AFC was more specific (89% versus 60–64%) than the AMH, FSH and inhibin B tests</w:t>
      </w:r>
      <w:r>
        <w:rPr>
          <w:b w:val="0"/>
        </w:rPr>
        <w:t>. Thus,</w:t>
      </w:r>
      <w:r w:rsidRPr="006B3410">
        <w:rPr>
          <w:b w:val="0"/>
        </w:rPr>
        <w:t xml:space="preserve"> </w:t>
      </w:r>
      <w:r>
        <w:rPr>
          <w:b w:val="0"/>
        </w:rPr>
        <w:t xml:space="preserve">there were </w:t>
      </w:r>
      <w:r w:rsidRPr="006B3410">
        <w:rPr>
          <w:b w:val="0"/>
        </w:rPr>
        <w:t>less women ha</w:t>
      </w:r>
      <w:r>
        <w:rPr>
          <w:b w:val="0"/>
        </w:rPr>
        <w:t>ving</w:t>
      </w:r>
      <w:r w:rsidRPr="006B3410">
        <w:rPr>
          <w:b w:val="0"/>
        </w:rPr>
        <w:t xml:space="preserve"> a </w:t>
      </w:r>
      <w:r w:rsidR="00772EDC">
        <w:rPr>
          <w:b w:val="0"/>
        </w:rPr>
        <w:t>false-positive result</w:t>
      </w:r>
      <w:r w:rsidRPr="006B3410">
        <w:rPr>
          <w:b w:val="0"/>
        </w:rPr>
        <w:t xml:space="preserve"> indicating </w:t>
      </w:r>
      <w:r>
        <w:rPr>
          <w:b w:val="0"/>
        </w:rPr>
        <w:t>CRA</w:t>
      </w:r>
      <w:r w:rsidRPr="006B3410">
        <w:rPr>
          <w:b w:val="0"/>
        </w:rPr>
        <w:t xml:space="preserve"> with AFC (11%) than with the three hormone tests (36–40%). However, the sensitivity of the AFC, AMH and FSH test</w:t>
      </w:r>
      <w:r w:rsidR="000D262D">
        <w:rPr>
          <w:b w:val="0"/>
        </w:rPr>
        <w:t>s did not vary greatly (76–79%)</w:t>
      </w:r>
      <w:r w:rsidR="007F4459">
        <w:rPr>
          <w:b w:val="0"/>
        </w:rPr>
        <w:t xml:space="preserve">. </w:t>
      </w:r>
      <w:r w:rsidRPr="006B3410">
        <w:rPr>
          <w:b w:val="0"/>
        </w:rPr>
        <w:t>21–24% o</w:t>
      </w:r>
      <w:r w:rsidR="00FB1D94" w:rsidRPr="006B3410">
        <w:rPr>
          <w:b w:val="0"/>
        </w:rPr>
        <w:t xml:space="preserve">f women who had </w:t>
      </w:r>
      <w:r w:rsidR="00FB1D94">
        <w:rPr>
          <w:b w:val="0"/>
        </w:rPr>
        <w:t>CRA</w:t>
      </w:r>
      <w:r w:rsidR="00FB1D94" w:rsidRPr="006B3410">
        <w:rPr>
          <w:b w:val="0"/>
        </w:rPr>
        <w:t xml:space="preserve"> would have had a </w:t>
      </w:r>
      <w:r w:rsidR="00772EDC">
        <w:rPr>
          <w:b w:val="0"/>
        </w:rPr>
        <w:t>false-negative result</w:t>
      </w:r>
      <w:r w:rsidR="00FB1D94" w:rsidRPr="006B3410">
        <w:rPr>
          <w:b w:val="0"/>
        </w:rPr>
        <w:t>.</w:t>
      </w:r>
    </w:p>
    <w:p w14:paraId="7B899715" w14:textId="3BABF33C" w:rsidR="00FB1D94" w:rsidRDefault="00FB1D94" w:rsidP="00A55B95">
      <w:pPr>
        <w:pStyle w:val="Summaryboxheading"/>
        <w:pBdr>
          <w:top w:val="single" w:sz="4" w:space="1" w:color="auto"/>
          <w:left w:val="single" w:sz="4" w:space="4" w:color="auto"/>
          <w:bottom w:val="single" w:sz="4" w:space="0" w:color="auto"/>
          <w:right w:val="single" w:sz="4" w:space="4" w:color="auto"/>
        </w:pBdr>
        <w:spacing w:after="240"/>
      </w:pPr>
      <w:r w:rsidRPr="00FB1D94">
        <w:t>What is the conco</w:t>
      </w:r>
      <w:r w:rsidR="0031673F">
        <w:t>rdance of AMH, FSH and E2</w:t>
      </w:r>
      <w:r w:rsidRPr="00FB1D94">
        <w:t xml:space="preserve"> in female patients prior to receiving</w:t>
      </w:r>
      <w:r w:rsidR="009606A4">
        <w:t xml:space="preserve"> or following completion of</w:t>
      </w:r>
      <w:r w:rsidRPr="00FB1D94">
        <w:t xml:space="preserve"> gonadotoxic treatment?</w:t>
      </w:r>
    </w:p>
    <w:p w14:paraId="7298EC18" w14:textId="2EA34510" w:rsidR="00294E0C" w:rsidRDefault="0031673F" w:rsidP="00A55B95">
      <w:pPr>
        <w:pStyle w:val="Summaryboxheading"/>
        <w:pBdr>
          <w:top w:val="single" w:sz="4" w:space="1" w:color="auto"/>
          <w:left w:val="single" w:sz="4" w:space="4" w:color="auto"/>
          <w:bottom w:val="single" w:sz="4" w:space="0" w:color="auto"/>
          <w:right w:val="single" w:sz="4" w:space="4" w:color="auto"/>
        </w:pBdr>
        <w:spacing w:after="240"/>
        <w:rPr>
          <w:b w:val="0"/>
        </w:rPr>
      </w:pPr>
      <w:r>
        <w:rPr>
          <w:b w:val="0"/>
        </w:rPr>
        <w:t>Eleven studies reported correlations between AMH and FSH. Two studies found AMH serum levels to be negatively correlated with FSH, and another found a negative correlation between detectable/undetectable AMH and FSH levels. This was expected</w:t>
      </w:r>
      <w:r w:rsidR="00431969">
        <w:rPr>
          <w:b w:val="0"/>
        </w:rPr>
        <w:t>,</w:t>
      </w:r>
      <w:r>
        <w:rPr>
          <w:b w:val="0"/>
        </w:rPr>
        <w:t xml:space="preserve"> as per</w:t>
      </w:r>
      <w:r w:rsidR="008C57D4">
        <w:rPr>
          <w:b w:val="0"/>
        </w:rPr>
        <w:t xml:space="preserve"> </w:t>
      </w:r>
      <w:r w:rsidR="008C57D4">
        <w:rPr>
          <w:b w:val="0"/>
        </w:rPr>
        <w:fldChar w:fldCharType="begin"/>
      </w:r>
      <w:r w:rsidR="008C57D4">
        <w:rPr>
          <w:b w:val="0"/>
        </w:rPr>
        <w:instrText xml:space="preserve"> REF _Ref502758420 \h  \* MERGEFORMAT </w:instrText>
      </w:r>
      <w:r w:rsidR="008C57D4">
        <w:rPr>
          <w:b w:val="0"/>
        </w:rPr>
      </w:r>
      <w:r w:rsidR="008C57D4">
        <w:rPr>
          <w:b w:val="0"/>
        </w:rPr>
        <w:fldChar w:fldCharType="separate"/>
      </w:r>
      <w:r w:rsidR="00AC4BE5" w:rsidRPr="00AC4BE5">
        <w:rPr>
          <w:b w:val="0"/>
        </w:rPr>
        <w:t>Figure 1</w:t>
      </w:r>
      <w:r w:rsidR="008C57D4">
        <w:rPr>
          <w:b w:val="0"/>
        </w:rPr>
        <w:fldChar w:fldCharType="end"/>
      </w:r>
      <w:r>
        <w:rPr>
          <w:b w:val="0"/>
        </w:rPr>
        <w:t>. Five studies found no significant correlation between AMH and FSH serum levels.</w:t>
      </w:r>
    </w:p>
    <w:p w14:paraId="04EE0599" w14:textId="5C013A40" w:rsidR="007518CF" w:rsidRDefault="0031673F" w:rsidP="00A55B95">
      <w:pPr>
        <w:pStyle w:val="Summaryboxheading"/>
        <w:pBdr>
          <w:top w:val="single" w:sz="4" w:space="1" w:color="auto"/>
          <w:left w:val="single" w:sz="4" w:space="4" w:color="auto"/>
          <w:bottom w:val="single" w:sz="4" w:space="0" w:color="auto"/>
          <w:right w:val="single" w:sz="4" w:space="4" w:color="auto"/>
        </w:pBdr>
        <w:spacing w:after="240"/>
        <w:rPr>
          <w:b w:val="0"/>
        </w:rPr>
      </w:pPr>
      <w:r>
        <w:rPr>
          <w:b w:val="0"/>
        </w:rPr>
        <w:t xml:space="preserve">Three studies found a positive correlation between AMH and E2 levels, as expected according to </w:t>
      </w:r>
      <w:r w:rsidR="00A42B1E">
        <w:rPr>
          <w:b w:val="0"/>
        </w:rPr>
        <w:fldChar w:fldCharType="begin"/>
      </w:r>
      <w:r w:rsidR="00A42B1E">
        <w:rPr>
          <w:b w:val="0"/>
        </w:rPr>
        <w:instrText xml:space="preserve"> REF _Ref502758420 \h  \* MERGEFORMAT </w:instrText>
      </w:r>
      <w:r w:rsidR="00A42B1E">
        <w:rPr>
          <w:b w:val="0"/>
        </w:rPr>
      </w:r>
      <w:r w:rsidR="00A42B1E">
        <w:rPr>
          <w:b w:val="0"/>
        </w:rPr>
        <w:fldChar w:fldCharType="separate"/>
      </w:r>
      <w:r w:rsidR="00AC4BE5" w:rsidRPr="00AC4BE5">
        <w:rPr>
          <w:b w:val="0"/>
        </w:rPr>
        <w:t>Figure 1</w:t>
      </w:r>
      <w:r w:rsidR="00A42B1E">
        <w:rPr>
          <w:b w:val="0"/>
        </w:rPr>
        <w:fldChar w:fldCharType="end"/>
      </w:r>
      <w:r>
        <w:rPr>
          <w:b w:val="0"/>
        </w:rPr>
        <w:t xml:space="preserve">. </w:t>
      </w:r>
      <w:r w:rsidR="00CE47E5">
        <w:rPr>
          <w:b w:val="0"/>
        </w:rPr>
        <w:t>Studies that included blood samples from the early follicular phase found a negative or no correlation between the two tests. The reason for these discrepancies is unclear.</w:t>
      </w:r>
    </w:p>
    <w:p w14:paraId="21992DC0" w14:textId="0743845D" w:rsidR="00A55B95" w:rsidRDefault="00FB1D94" w:rsidP="00A55B95">
      <w:pPr>
        <w:pStyle w:val="Summaryboxheading"/>
        <w:pBdr>
          <w:top w:val="single" w:sz="4" w:space="1" w:color="auto"/>
          <w:left w:val="single" w:sz="4" w:space="4" w:color="auto"/>
          <w:bottom w:val="single" w:sz="4" w:space="0" w:color="auto"/>
          <w:right w:val="single" w:sz="4" w:space="4" w:color="auto"/>
        </w:pBdr>
        <w:spacing w:after="240"/>
        <w:rPr>
          <w:u w:val="single"/>
        </w:rPr>
      </w:pPr>
      <w:r w:rsidRPr="00FB1D94">
        <w:lastRenderedPageBreak/>
        <w:t xml:space="preserve">What is the concordance between AMH and AFC ultrasound, compared to FSH and </w:t>
      </w:r>
      <w:r w:rsidR="004145B8">
        <w:t>E2</w:t>
      </w:r>
      <w:r w:rsidRPr="00FB1D94">
        <w:t xml:space="preserve"> in female patients prior to receiving</w:t>
      </w:r>
      <w:r w:rsidR="009606A4">
        <w:t xml:space="preserve"> or following completion of</w:t>
      </w:r>
      <w:r w:rsidRPr="00FB1D94">
        <w:t xml:space="preserve"> gonadotoxic treatment?</w:t>
      </w:r>
    </w:p>
    <w:p w14:paraId="723002B4" w14:textId="77777777" w:rsidR="004145B8" w:rsidRPr="004145B8" w:rsidRDefault="00A55B95" w:rsidP="00A55B95">
      <w:pPr>
        <w:pStyle w:val="Summaryboxheading"/>
        <w:pBdr>
          <w:top w:val="single" w:sz="4" w:space="1" w:color="auto"/>
          <w:left w:val="single" w:sz="4" w:space="4" w:color="auto"/>
          <w:bottom w:val="single" w:sz="4" w:space="0" w:color="auto"/>
          <w:right w:val="single" w:sz="4" w:space="4" w:color="auto"/>
        </w:pBdr>
        <w:spacing w:after="240"/>
        <w:rPr>
          <w:b w:val="0"/>
        </w:rPr>
      </w:pPr>
      <w:r>
        <w:rPr>
          <w:b w:val="0"/>
        </w:rPr>
        <w:t>All included studies (k=8) found a positive correlation between AFC and AMH serum levels.</w:t>
      </w:r>
      <w:r w:rsidR="00951E18">
        <w:rPr>
          <w:b w:val="0"/>
        </w:rPr>
        <w:t xml:space="preserve"> Two studies showed a stronger correlation between AFC and AMH, compared to</w:t>
      </w:r>
      <w:r w:rsidR="009C18C5" w:rsidRPr="00951E18">
        <w:rPr>
          <w:b w:val="0"/>
        </w:rPr>
        <w:t xml:space="preserve"> AFC and FSH </w:t>
      </w:r>
      <w:r w:rsidR="00951E18" w:rsidRPr="00951E18">
        <w:rPr>
          <w:b w:val="0"/>
        </w:rPr>
        <w:t>or E2</w:t>
      </w:r>
      <w:r w:rsidR="009C18C5" w:rsidRPr="00951E18">
        <w:rPr>
          <w:b w:val="0"/>
        </w:rPr>
        <w:t>.</w:t>
      </w:r>
    </w:p>
    <w:p w14:paraId="4F53DBD0" w14:textId="0742D25A" w:rsidR="00A55B95" w:rsidRDefault="00A55B95" w:rsidP="00A55B95">
      <w:pPr>
        <w:pStyle w:val="Summaryboxheading"/>
        <w:pBdr>
          <w:top w:val="single" w:sz="4" w:space="1" w:color="auto"/>
          <w:left w:val="single" w:sz="4" w:space="4" w:color="auto"/>
          <w:bottom w:val="single" w:sz="4" w:space="0" w:color="auto"/>
          <w:right w:val="single" w:sz="4" w:space="4" w:color="auto"/>
        </w:pBdr>
        <w:spacing w:after="240"/>
      </w:pPr>
      <w:r w:rsidRPr="00A55B95">
        <w:t xml:space="preserve">What is the reliability of AMH testing, compared to FSH and </w:t>
      </w:r>
      <w:r w:rsidR="004145B8">
        <w:t>E2</w:t>
      </w:r>
      <w:r w:rsidRPr="00A55B95">
        <w:t xml:space="preserve"> in female patients prior to receiving or following completion of gonadotoxic treatment?</w:t>
      </w:r>
    </w:p>
    <w:p w14:paraId="40B23000" w14:textId="0F279699" w:rsidR="00A00B06" w:rsidRDefault="00200788" w:rsidP="00A55B95">
      <w:pPr>
        <w:pStyle w:val="Summaryboxheading"/>
        <w:pBdr>
          <w:top w:val="single" w:sz="4" w:space="1" w:color="auto"/>
          <w:left w:val="single" w:sz="4" w:space="4" w:color="auto"/>
          <w:bottom w:val="single" w:sz="4" w:space="0" w:color="auto"/>
          <w:right w:val="single" w:sz="4" w:space="4" w:color="auto"/>
        </w:pBdr>
        <w:spacing w:after="240"/>
        <w:rPr>
          <w:b w:val="0"/>
        </w:rPr>
      </w:pPr>
      <w:r>
        <w:rPr>
          <w:b w:val="0"/>
        </w:rPr>
        <w:t>No studies were identified investigating the reliability of AMH compared to FSH and E2. However, high intra- and inter-cycle variability has been observed for FSH and E2 levels</w:t>
      </w:r>
      <w:r w:rsidR="005D145A">
        <w:rPr>
          <w:b w:val="0"/>
          <w:noProof/>
        </w:rPr>
        <w:t xml:space="preserve"> </w:t>
      </w:r>
      <w:r w:rsidR="0085281A">
        <w:rPr>
          <w:b w:val="0"/>
          <w:noProof/>
        </w:rPr>
        <w:fldChar w:fldCharType="begin"/>
      </w:r>
      <w:r w:rsidR="0085281A">
        <w:rPr>
          <w:b w:val="0"/>
          <w:noProof/>
        </w:rPr>
        <w:instrText xml:space="preserve"> ADDIN EN.CITE &lt;EndNote&gt;&lt;Cite&gt;&lt;Author&gt;American Society for Reproductive Medicine Practice Committee&lt;/Author&gt;&lt;Year&gt;2015&lt;/Year&gt;&lt;RecNum&gt;289&lt;/RecNum&gt;&lt;IDText&gt;e9-e17&lt;/IDText&gt;&lt;DisplayText&gt;(American Society for Reproductive Medicine Practice Committee 2015)&lt;/DisplayText&gt;&lt;record&gt;&lt;rec-number&gt;289&lt;/rec-number&gt;&lt;foreign-keys&gt;&lt;key app="EN" db-id="s2dftfxw1fvsr1efx58vfvxtvfwzxea0td02" timestamp="1511748092"&gt;289&lt;/key&gt;&lt;/foreign-keys&gt;&lt;ref-type name="Journal Article"&gt;17&lt;/ref-type&gt;&lt;contributors&gt;&lt;authors&gt;&lt;author&gt;American Society for Reproductive Medicine Practice Committee,.&lt;/author&gt;&lt;/authors&gt;&lt;/contributors&gt;&lt;titles&gt;&lt;title&gt;Testing and interpreting measures of ovarian reserve: a committee opinion&lt;/title&gt;&lt;secondary-title&gt;Fertil Steril&lt;/secondary-title&gt;&lt;/titles&gt;&lt;periodical&gt;&lt;full-title&gt;Fertil Steril&lt;/full-title&gt;&lt;/periodical&gt;&lt;pages&gt;e9-e17&lt;/pages&gt;&lt;volume&gt;103&lt;/volume&gt;&lt;number&gt;3&lt;/number&gt;&lt;keywords&gt;&lt;keyword&gt;Anti-Mullerian Hormone/blood&lt;/keyword&gt;&lt;keyword&gt;Cell Count/standards/statistics &amp;amp; numerical data&lt;/keyword&gt;&lt;keyword&gt;Clomiphene&lt;/keyword&gt;&lt;keyword&gt;Data Interpretation, Statistical&lt;/keyword&gt;&lt;keyword&gt;Estradiol/blood&lt;/keyword&gt;&lt;keyword&gt;Expert Testimony&lt;/keyword&gt;&lt;keyword&gt;Female&lt;/keyword&gt;&lt;keyword&gt;Follicle Stimulating Hormone/blood&lt;/keyword&gt;&lt;keyword&gt;Humans&lt;/keyword&gt;&lt;keyword&gt;Infertility, Female/blood/diagnosis&lt;/keyword&gt;&lt;keyword&gt;Ovarian Diseases/blood/*diagnosis&lt;/keyword&gt;&lt;keyword&gt;Ovarian Follicle/cytology&lt;/keyword&gt;&lt;keyword&gt;Ovarian Function Tests/standards/statistics &amp;amp; numerical data&lt;/keyword&gt;&lt;keyword&gt;*Ovarian Reserve&lt;/keyword&gt;&lt;/keywords&gt;&lt;dates&gt;&lt;year&gt;2015&lt;/year&gt;&lt;pub-dates&gt;&lt;date&gt;Mar&lt;/date&gt;&lt;/pub-dates&gt;&lt;/dates&gt;&lt;isbn&gt;1556-5653 (Electronic)&amp;#xD;0015-0282 (Linking)&lt;/isbn&gt;&lt;accession-num&gt;25585505&lt;/accession-num&gt;&lt;urls&gt;&lt;related-urls&gt;&lt;url&gt;http://www.ncbi.nlm.nih.gov/pubmed/25585505&lt;/url&gt;&lt;/related-urls&gt;&lt;/urls&gt;&lt;electronic-resource-num&gt;10.1016/j.fertnstert.2014.12.093&lt;/electronic-resource-num&gt;&lt;/record&gt;&lt;/Cite&gt;&lt;/EndNote&gt;</w:instrText>
      </w:r>
      <w:r w:rsidR="0085281A">
        <w:rPr>
          <w:b w:val="0"/>
          <w:noProof/>
        </w:rPr>
        <w:fldChar w:fldCharType="separate"/>
      </w:r>
      <w:r w:rsidR="0085281A">
        <w:rPr>
          <w:b w:val="0"/>
          <w:noProof/>
        </w:rPr>
        <w:t>(</w:t>
      </w:r>
      <w:hyperlink w:anchor="_ENREF_3" w:tooltip="American Society for Reproductive Medicine Practice Committee, 2015 #289" w:history="1">
        <w:r w:rsidR="00835BA6">
          <w:rPr>
            <w:b w:val="0"/>
            <w:noProof/>
          </w:rPr>
          <w:t>American Society for Reproductive Medicine Practice Committee 2015</w:t>
        </w:r>
      </w:hyperlink>
      <w:r w:rsidR="0085281A">
        <w:rPr>
          <w:b w:val="0"/>
          <w:noProof/>
        </w:rPr>
        <w:t>)</w:t>
      </w:r>
      <w:r w:rsidR="0085281A">
        <w:rPr>
          <w:b w:val="0"/>
          <w:noProof/>
        </w:rPr>
        <w:fldChar w:fldCharType="end"/>
      </w:r>
      <w:r w:rsidR="007F4459">
        <w:rPr>
          <w:b w:val="0"/>
        </w:rPr>
        <w:t>.</w:t>
      </w:r>
    </w:p>
    <w:p w14:paraId="6AB14F47" w14:textId="654C71AF" w:rsidR="00364786" w:rsidRDefault="005B3CFD" w:rsidP="00364786">
      <w:pPr>
        <w:pStyle w:val="Heading4"/>
      </w:pPr>
      <w:r>
        <w:t>Analytical validity</w:t>
      </w:r>
      <w:r w:rsidR="00364786">
        <w:t xml:space="preserve"> of two AMH tests compared with a clinical reference standard</w:t>
      </w:r>
    </w:p>
    <w:p w14:paraId="342AD785" w14:textId="16E4CCE5" w:rsidR="00836985" w:rsidRDefault="00836985" w:rsidP="00836985">
      <w:pPr>
        <w:jc w:val="both"/>
        <w:rPr>
          <w:color w:val="000000" w:themeColor="text1"/>
        </w:rPr>
      </w:pPr>
      <w:r w:rsidRPr="008A26FB">
        <w:rPr>
          <w:color w:val="000000" w:themeColor="text1"/>
        </w:rPr>
        <w:t>The study by Decanter et al. (2014) compared the sensitivity and specificity of two AMH tests (EIA</w:t>
      </w:r>
      <w:r w:rsidRPr="001F3408">
        <w:rPr>
          <w:color w:val="000000" w:themeColor="text1"/>
        </w:rPr>
        <w:t xml:space="preserve"> AMH/MIS assay</w:t>
      </w:r>
      <w:r>
        <w:rPr>
          <w:color w:val="000000" w:themeColor="text1"/>
        </w:rPr>
        <w:t xml:space="preserve"> and </w:t>
      </w:r>
      <w:r w:rsidR="000701EE">
        <w:rPr>
          <w:color w:val="000000" w:themeColor="text1"/>
        </w:rPr>
        <w:t>p</w:t>
      </w:r>
      <w:r w:rsidRPr="001F3408">
        <w:rPr>
          <w:color w:val="000000" w:themeColor="text1"/>
        </w:rPr>
        <w:t>ico-AMH ELISA</w:t>
      </w:r>
      <w:r>
        <w:rPr>
          <w:color w:val="000000" w:themeColor="text1"/>
        </w:rPr>
        <w:t xml:space="preserve">) to detect ovarian recovery by the resumption of menses during the ovarian recovery period in 30 </w:t>
      </w:r>
      <w:r w:rsidRPr="001F3408">
        <w:rPr>
          <w:color w:val="000000" w:themeColor="text1"/>
        </w:rPr>
        <w:t>women</w:t>
      </w:r>
      <w:r>
        <w:rPr>
          <w:color w:val="000000" w:themeColor="text1"/>
        </w:rPr>
        <w:t xml:space="preserve"> with either early breast cancer or lymphoma, </w:t>
      </w:r>
      <w:r w:rsidRPr="001F3408">
        <w:rPr>
          <w:color w:val="000000" w:themeColor="text1"/>
        </w:rPr>
        <w:t>3</w:t>
      </w:r>
      <w:r w:rsidR="000701EE">
        <w:rPr>
          <w:color w:val="000000" w:themeColor="text1"/>
        </w:rPr>
        <w:t xml:space="preserve"> to </w:t>
      </w:r>
      <w:r w:rsidRPr="001F3408">
        <w:rPr>
          <w:color w:val="000000" w:themeColor="text1"/>
        </w:rPr>
        <w:t>24 months after the end of chemotherapy</w:t>
      </w:r>
      <w:r>
        <w:rPr>
          <w:color w:val="000000" w:themeColor="text1"/>
        </w:rPr>
        <w:t>.</w:t>
      </w:r>
      <w:r w:rsidRPr="001F3408">
        <w:rPr>
          <w:color w:val="000000" w:themeColor="text1"/>
        </w:rPr>
        <w:t xml:space="preserve"> The distribution of the </w:t>
      </w:r>
      <w:r w:rsidRPr="001B2A30">
        <w:rPr>
          <w:color w:val="000000" w:themeColor="text1"/>
        </w:rPr>
        <w:t xml:space="preserve">serum samples was as follows: 9 were taken at 3-months post-chemotherapy, 13 at 6-months, 11 at 9-months, 18 at 12-months, 2 at 18-months, and </w:t>
      </w:r>
      <w:r w:rsidR="00B023DE">
        <w:rPr>
          <w:color w:val="000000" w:themeColor="text1"/>
        </w:rPr>
        <w:t>five</w:t>
      </w:r>
      <w:r w:rsidRPr="001B2A30">
        <w:rPr>
          <w:color w:val="000000" w:themeColor="text1"/>
        </w:rPr>
        <w:t xml:space="preserve"> at 24-months.</w:t>
      </w:r>
    </w:p>
    <w:p w14:paraId="6A9ADBCF" w14:textId="3CDA4B36" w:rsidR="00836985" w:rsidRDefault="00836985" w:rsidP="00836985">
      <w:pPr>
        <w:jc w:val="both"/>
        <w:rPr>
          <w:color w:val="000000" w:themeColor="text1"/>
        </w:rPr>
      </w:pPr>
      <w:r w:rsidRPr="001F3408">
        <w:rPr>
          <w:color w:val="000000" w:themeColor="text1"/>
        </w:rPr>
        <w:t>For this study, results under the first calibrator value were expressed as undetectable</w:t>
      </w:r>
      <w:r>
        <w:rPr>
          <w:color w:val="000000" w:themeColor="text1"/>
        </w:rPr>
        <w:t xml:space="preserve">. This value was </w:t>
      </w:r>
      <w:r w:rsidRPr="001F3408">
        <w:rPr>
          <w:color w:val="000000" w:themeColor="text1"/>
        </w:rPr>
        <w:t>3.0 pmol/L</w:t>
      </w:r>
      <w:r>
        <w:rPr>
          <w:color w:val="000000" w:themeColor="text1"/>
        </w:rPr>
        <w:t xml:space="preserve"> (0.42 ng/</w:t>
      </w:r>
      <w:r w:rsidR="00023800">
        <w:rPr>
          <w:color w:val="000000" w:themeColor="text1"/>
        </w:rPr>
        <w:t>mL</w:t>
      </w:r>
      <w:r>
        <w:rPr>
          <w:color w:val="000000" w:themeColor="text1"/>
        </w:rPr>
        <w:t xml:space="preserve">) for the </w:t>
      </w:r>
      <w:r w:rsidRPr="0059687F">
        <w:rPr>
          <w:color w:val="000000" w:themeColor="text1"/>
        </w:rPr>
        <w:t>EIA AMH/MIS assay</w:t>
      </w:r>
      <w:r>
        <w:rPr>
          <w:color w:val="000000" w:themeColor="text1"/>
        </w:rPr>
        <w:t xml:space="preserve"> and 0.07 pmol/L (0.01 ng/</w:t>
      </w:r>
      <w:r w:rsidR="00023800">
        <w:rPr>
          <w:color w:val="000000" w:themeColor="text1"/>
        </w:rPr>
        <w:t>mL</w:t>
      </w:r>
      <w:r>
        <w:rPr>
          <w:color w:val="000000" w:themeColor="text1"/>
        </w:rPr>
        <w:t xml:space="preserve">) for the </w:t>
      </w:r>
      <w:r w:rsidR="006C61D3">
        <w:rPr>
          <w:color w:val="000000" w:themeColor="text1"/>
        </w:rPr>
        <w:t>p</w:t>
      </w:r>
      <w:r w:rsidR="006C61D3" w:rsidRPr="00963144">
        <w:rPr>
          <w:color w:val="000000" w:themeColor="text1"/>
        </w:rPr>
        <w:t>ico</w:t>
      </w:r>
      <w:r w:rsidRPr="00963144">
        <w:rPr>
          <w:color w:val="000000" w:themeColor="text1"/>
        </w:rPr>
        <w:t>-AMH ELISA</w:t>
      </w:r>
      <w:r w:rsidRPr="001F3408">
        <w:rPr>
          <w:color w:val="000000" w:themeColor="text1"/>
        </w:rPr>
        <w:t>.</w:t>
      </w:r>
      <w:r>
        <w:rPr>
          <w:color w:val="000000" w:themeColor="text1"/>
        </w:rPr>
        <w:t xml:space="preserve"> </w:t>
      </w:r>
      <w:r w:rsidRPr="001F3408">
        <w:rPr>
          <w:color w:val="000000" w:themeColor="text1"/>
        </w:rPr>
        <w:t xml:space="preserve">Samples were selected </w:t>
      </w:r>
      <w:r>
        <w:rPr>
          <w:color w:val="000000" w:themeColor="text1"/>
        </w:rPr>
        <w:t xml:space="preserve">from women </w:t>
      </w:r>
      <w:r w:rsidRPr="001F3408">
        <w:rPr>
          <w:color w:val="000000" w:themeColor="text1"/>
        </w:rPr>
        <w:t>according to the menstrual status</w:t>
      </w:r>
      <w:r>
        <w:rPr>
          <w:color w:val="000000" w:themeColor="text1"/>
        </w:rPr>
        <w:t>, such that they</w:t>
      </w:r>
      <w:r w:rsidRPr="001F3408">
        <w:rPr>
          <w:color w:val="000000" w:themeColor="text1"/>
        </w:rPr>
        <w:t xml:space="preserve"> constitute</w:t>
      </w:r>
      <w:r>
        <w:rPr>
          <w:color w:val="000000" w:themeColor="text1"/>
        </w:rPr>
        <w:t>d two equally sized groups</w:t>
      </w:r>
      <w:r w:rsidRPr="001F3408">
        <w:rPr>
          <w:color w:val="000000" w:themeColor="text1"/>
        </w:rPr>
        <w:t xml:space="preserve"> </w:t>
      </w:r>
      <w:r>
        <w:rPr>
          <w:color w:val="000000" w:themeColor="text1"/>
        </w:rPr>
        <w:t>at the time of sampling. The accuracy res</w:t>
      </w:r>
      <w:r w:rsidR="00C60F45">
        <w:rPr>
          <w:color w:val="000000" w:themeColor="text1"/>
        </w:rPr>
        <w:t xml:space="preserve">ults at the time of sampling, including </w:t>
      </w:r>
      <w:r>
        <w:rPr>
          <w:color w:val="000000" w:themeColor="text1"/>
        </w:rPr>
        <w:t>28 samples from wom</w:t>
      </w:r>
      <w:r w:rsidR="00C60F45">
        <w:rPr>
          <w:color w:val="000000" w:themeColor="text1"/>
        </w:rPr>
        <w:t>en who had resumption of menses,</w:t>
      </w:r>
      <w:r>
        <w:rPr>
          <w:color w:val="000000" w:themeColor="text1"/>
        </w:rPr>
        <w:t xml:space="preserve"> are summarised in </w:t>
      </w:r>
      <w:r>
        <w:rPr>
          <w:color w:val="000000" w:themeColor="text1"/>
        </w:rPr>
        <w:fldChar w:fldCharType="begin"/>
      </w:r>
      <w:r>
        <w:rPr>
          <w:color w:val="000000" w:themeColor="text1"/>
        </w:rPr>
        <w:instrText xml:space="preserve"> REF _Ref494375820 \h </w:instrText>
      </w:r>
      <w:r>
        <w:rPr>
          <w:color w:val="000000" w:themeColor="text1"/>
        </w:rPr>
      </w:r>
      <w:r>
        <w:rPr>
          <w:color w:val="000000" w:themeColor="text1"/>
        </w:rPr>
        <w:fldChar w:fldCharType="separate"/>
      </w:r>
      <w:r w:rsidR="00AC4BE5" w:rsidRPr="001F3408">
        <w:t xml:space="preserve">Table </w:t>
      </w:r>
      <w:r w:rsidR="00AC4BE5">
        <w:rPr>
          <w:noProof/>
        </w:rPr>
        <w:t>31</w:t>
      </w:r>
      <w:r>
        <w:rPr>
          <w:color w:val="000000" w:themeColor="text1"/>
        </w:rPr>
        <w:fldChar w:fldCharType="end"/>
      </w:r>
      <w:r>
        <w:rPr>
          <w:color w:val="000000" w:themeColor="text1"/>
        </w:rPr>
        <w:t>.</w:t>
      </w:r>
    </w:p>
    <w:p w14:paraId="6D33AAF2" w14:textId="77777777" w:rsidR="00170274" w:rsidRPr="001F3408" w:rsidRDefault="00170274" w:rsidP="00170274">
      <w:pPr>
        <w:pStyle w:val="TableHeading"/>
        <w:ind w:left="1134" w:hanging="1134"/>
        <w:rPr>
          <w:snapToGrid w:val="0"/>
          <w:lang w:eastAsia="en-US"/>
        </w:rPr>
      </w:pPr>
      <w:bookmarkStart w:id="265" w:name="_Ref494375820"/>
      <w:bookmarkStart w:id="266" w:name="_Toc502833049"/>
      <w:r w:rsidRPr="001F3408">
        <w:t xml:space="preserve">Table </w:t>
      </w:r>
      <w:r w:rsidR="00AC4BE5">
        <w:fldChar w:fldCharType="begin"/>
      </w:r>
      <w:r w:rsidR="00AC4BE5">
        <w:instrText xml:space="preserve"> SEQ Table \* ARABIC </w:instrText>
      </w:r>
      <w:r w:rsidR="00AC4BE5">
        <w:fldChar w:fldCharType="separate"/>
      </w:r>
      <w:r w:rsidR="00AC4BE5">
        <w:rPr>
          <w:noProof/>
        </w:rPr>
        <w:t>31</w:t>
      </w:r>
      <w:r w:rsidR="00AC4BE5">
        <w:rPr>
          <w:noProof/>
        </w:rPr>
        <w:fldChar w:fldCharType="end"/>
      </w:r>
      <w:bookmarkEnd w:id="265"/>
      <w:r w:rsidRPr="001F3408">
        <w:tab/>
      </w:r>
      <w:r>
        <w:t>Analytical validity</w:t>
      </w:r>
      <w:r w:rsidRPr="001F3408">
        <w:rPr>
          <w:snapToGrid w:val="0"/>
          <w:lang w:eastAsia="en-US"/>
        </w:rPr>
        <w:t xml:space="preserve"> </w:t>
      </w:r>
      <w:r>
        <w:rPr>
          <w:snapToGrid w:val="0"/>
          <w:lang w:eastAsia="en-US"/>
        </w:rPr>
        <w:t>of</w:t>
      </w:r>
      <w:r w:rsidRPr="001F3408">
        <w:rPr>
          <w:snapToGrid w:val="0"/>
          <w:lang w:eastAsia="en-US"/>
        </w:rPr>
        <w:t xml:space="preserve"> </w:t>
      </w:r>
      <w:r w:rsidRPr="00963144">
        <w:rPr>
          <w:snapToGrid w:val="0"/>
          <w:lang w:eastAsia="en-US"/>
        </w:rPr>
        <w:t xml:space="preserve">the EIA AMH/MIS </w:t>
      </w:r>
      <w:r>
        <w:rPr>
          <w:snapToGrid w:val="0"/>
          <w:lang w:eastAsia="en-US"/>
        </w:rPr>
        <w:t xml:space="preserve">assay </w:t>
      </w:r>
      <w:r w:rsidRPr="001F3408">
        <w:rPr>
          <w:snapToGrid w:val="0"/>
          <w:lang w:eastAsia="en-US"/>
        </w:rPr>
        <w:t xml:space="preserve">and </w:t>
      </w:r>
      <w:r>
        <w:rPr>
          <w:snapToGrid w:val="0"/>
          <w:lang w:eastAsia="en-US"/>
        </w:rPr>
        <w:t>pico</w:t>
      </w:r>
      <w:r w:rsidRPr="00963144">
        <w:rPr>
          <w:snapToGrid w:val="0"/>
          <w:lang w:eastAsia="en-US"/>
        </w:rPr>
        <w:t xml:space="preserve">-AMH ELISA </w:t>
      </w:r>
      <w:r w:rsidRPr="001F3408">
        <w:rPr>
          <w:snapToGrid w:val="0"/>
          <w:lang w:eastAsia="en-US"/>
        </w:rPr>
        <w:t xml:space="preserve">against </w:t>
      </w:r>
      <w:r>
        <w:rPr>
          <w:snapToGrid w:val="0"/>
          <w:lang w:eastAsia="en-US"/>
        </w:rPr>
        <w:t>the clinical refe</w:t>
      </w:r>
      <w:r w:rsidRPr="001F3408">
        <w:rPr>
          <w:snapToGrid w:val="0"/>
          <w:lang w:eastAsia="en-US"/>
        </w:rPr>
        <w:t xml:space="preserve">rence standard </w:t>
      </w:r>
      <w:r>
        <w:rPr>
          <w:snapToGrid w:val="0"/>
          <w:lang w:eastAsia="en-US"/>
        </w:rPr>
        <w:t>of resumption of menses</w:t>
      </w:r>
      <w:bookmarkEnd w:id="266"/>
    </w:p>
    <w:tbl>
      <w:tblPr>
        <w:tblStyle w:val="TableGrid1"/>
        <w:tblW w:w="4917"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2002"/>
        <w:gridCol w:w="1772"/>
        <w:gridCol w:w="1772"/>
        <w:gridCol w:w="1772"/>
        <w:gridCol w:w="1771"/>
      </w:tblGrid>
      <w:tr w:rsidR="00170274" w:rsidRPr="001F3408" w14:paraId="07BD6FAB" w14:textId="77777777" w:rsidTr="009B1C7A">
        <w:trPr>
          <w:cnfStyle w:val="100000000000" w:firstRow="1" w:lastRow="0" w:firstColumn="0" w:lastColumn="0" w:oddVBand="0" w:evenVBand="0" w:oddHBand="0" w:evenHBand="0" w:firstRowFirstColumn="0" w:firstRowLastColumn="0" w:lastRowFirstColumn="0" w:lastRowLastColumn="0"/>
          <w:tblHeader/>
        </w:trPr>
        <w:tc>
          <w:tcPr>
            <w:tcW w:w="1101" w:type="pct"/>
          </w:tcPr>
          <w:p w14:paraId="7231EE83" w14:textId="77777777" w:rsidR="00170274" w:rsidRPr="001B2A30" w:rsidRDefault="00170274" w:rsidP="006464EF">
            <w:pPr>
              <w:pStyle w:val="Tabletext1"/>
              <w:rPr>
                <w:b/>
                <w:snapToGrid w:val="0"/>
                <w:lang w:eastAsia="en-US"/>
              </w:rPr>
            </w:pPr>
            <w:r w:rsidRPr="001B2A30">
              <w:rPr>
                <w:b/>
                <w:snapToGrid w:val="0"/>
                <w:lang w:eastAsia="en-US"/>
              </w:rPr>
              <w:t>Study ID</w:t>
            </w:r>
          </w:p>
        </w:tc>
        <w:tc>
          <w:tcPr>
            <w:tcW w:w="975" w:type="pct"/>
          </w:tcPr>
          <w:p w14:paraId="00980750" w14:textId="77777777" w:rsidR="00170274" w:rsidRPr="001B2A30" w:rsidRDefault="00170274" w:rsidP="006464EF">
            <w:pPr>
              <w:pStyle w:val="Tabletext1"/>
              <w:rPr>
                <w:b/>
                <w:snapToGrid w:val="0"/>
                <w:lang w:eastAsia="en-US"/>
              </w:rPr>
            </w:pPr>
            <w:r w:rsidRPr="001B2A30">
              <w:rPr>
                <w:b/>
                <w:snapToGrid w:val="0"/>
                <w:lang w:eastAsia="en-US"/>
              </w:rPr>
              <w:t>Result</w:t>
            </w:r>
          </w:p>
        </w:tc>
        <w:tc>
          <w:tcPr>
            <w:tcW w:w="975" w:type="pct"/>
          </w:tcPr>
          <w:p w14:paraId="635D34F1" w14:textId="77777777" w:rsidR="00170274" w:rsidRPr="001B2A30" w:rsidRDefault="00170274" w:rsidP="006464EF">
            <w:pPr>
              <w:pStyle w:val="Tabletext1"/>
              <w:rPr>
                <w:b/>
                <w:snapToGrid w:val="0"/>
                <w:lang w:eastAsia="en-US"/>
              </w:rPr>
            </w:pPr>
            <w:r w:rsidRPr="001B2A30">
              <w:rPr>
                <w:b/>
                <w:snapToGrid w:val="0"/>
                <w:lang w:eastAsia="en-US"/>
              </w:rPr>
              <w:t>EIA AMH/MIS assay [95%CI]</w:t>
            </w:r>
          </w:p>
        </w:tc>
        <w:tc>
          <w:tcPr>
            <w:tcW w:w="975" w:type="pct"/>
          </w:tcPr>
          <w:p w14:paraId="09C4FA31" w14:textId="77777777" w:rsidR="00170274" w:rsidRPr="001B2A30" w:rsidRDefault="00170274" w:rsidP="006464EF">
            <w:pPr>
              <w:pStyle w:val="Tabletext1"/>
              <w:rPr>
                <w:b/>
                <w:snapToGrid w:val="0"/>
                <w:lang w:eastAsia="en-US"/>
              </w:rPr>
            </w:pPr>
            <w:r w:rsidRPr="001B2A30">
              <w:rPr>
                <w:b/>
                <w:snapToGrid w:val="0"/>
                <w:lang w:eastAsia="en-US"/>
              </w:rPr>
              <w:t>Pico-AMH ELISA [95%CI]</w:t>
            </w:r>
          </w:p>
        </w:tc>
        <w:tc>
          <w:tcPr>
            <w:tcW w:w="974" w:type="pct"/>
          </w:tcPr>
          <w:p w14:paraId="64BED34F" w14:textId="77777777" w:rsidR="00170274" w:rsidRPr="001B2A30" w:rsidRDefault="00170274" w:rsidP="006464EF">
            <w:pPr>
              <w:pStyle w:val="Tabletext1"/>
              <w:rPr>
                <w:b/>
                <w:snapToGrid w:val="0"/>
                <w:lang w:eastAsia="en-US"/>
              </w:rPr>
            </w:pPr>
            <w:r w:rsidRPr="001B2A30">
              <w:rPr>
                <w:b/>
                <w:snapToGrid w:val="0"/>
                <w:lang w:eastAsia="en-US"/>
              </w:rPr>
              <w:t>Difference</w:t>
            </w:r>
          </w:p>
        </w:tc>
      </w:tr>
      <w:tr w:rsidR="00170274" w:rsidRPr="001F3408" w14:paraId="7E83E074" w14:textId="77777777" w:rsidTr="009B1C7A">
        <w:tc>
          <w:tcPr>
            <w:tcW w:w="1101" w:type="pct"/>
          </w:tcPr>
          <w:p w14:paraId="0971B12A" w14:textId="77777777" w:rsidR="00170274" w:rsidRPr="008A26FB" w:rsidRDefault="00170274" w:rsidP="006464EF">
            <w:pPr>
              <w:pStyle w:val="Tabletext1"/>
              <w:rPr>
                <w:snapToGrid w:val="0"/>
              </w:rPr>
            </w:pPr>
            <w:r w:rsidRPr="008A26FB">
              <w:rPr>
                <w:snapToGrid w:val="0"/>
              </w:rPr>
              <w:t>Decanter et al. (2014)</w:t>
            </w:r>
          </w:p>
          <w:p w14:paraId="69A65B04" w14:textId="77777777" w:rsidR="00170274" w:rsidRPr="008A26FB" w:rsidRDefault="00170274" w:rsidP="006464EF">
            <w:pPr>
              <w:pStyle w:val="Tabletext1"/>
              <w:rPr>
                <w:snapToGrid w:val="0"/>
              </w:rPr>
            </w:pPr>
            <w:r w:rsidRPr="008A26FB">
              <w:rPr>
                <w:snapToGrid w:val="0"/>
              </w:rPr>
              <w:t>Undetectable AMH versus RS at time of AMH</w:t>
            </w:r>
          </w:p>
        </w:tc>
        <w:tc>
          <w:tcPr>
            <w:tcW w:w="975" w:type="pct"/>
          </w:tcPr>
          <w:p w14:paraId="2DFEA296" w14:textId="77777777" w:rsidR="00170274" w:rsidRPr="008A26FB" w:rsidRDefault="00170274" w:rsidP="006464EF">
            <w:pPr>
              <w:pStyle w:val="Tabletext1"/>
              <w:rPr>
                <w:snapToGrid w:val="0"/>
              </w:rPr>
            </w:pPr>
            <w:r w:rsidRPr="008A26FB">
              <w:rPr>
                <w:snapToGrid w:val="0"/>
              </w:rPr>
              <w:t>Sensitivity</w:t>
            </w:r>
          </w:p>
          <w:p w14:paraId="1CB0312E" w14:textId="77777777" w:rsidR="00170274" w:rsidRPr="008A26FB" w:rsidRDefault="00170274" w:rsidP="006464EF">
            <w:pPr>
              <w:pStyle w:val="Tabletext1"/>
              <w:rPr>
                <w:snapToGrid w:val="0"/>
              </w:rPr>
            </w:pPr>
            <w:r w:rsidRPr="008A26FB">
              <w:rPr>
                <w:snapToGrid w:val="0"/>
              </w:rPr>
              <w:t>Specificity</w:t>
            </w:r>
          </w:p>
        </w:tc>
        <w:tc>
          <w:tcPr>
            <w:tcW w:w="975" w:type="pct"/>
          </w:tcPr>
          <w:p w14:paraId="2E5B7FA3" w14:textId="77777777" w:rsidR="00170274" w:rsidRPr="008A26FB" w:rsidRDefault="00170274" w:rsidP="006464EF">
            <w:pPr>
              <w:pStyle w:val="Tabletext1"/>
              <w:rPr>
                <w:snapToGrid w:val="0"/>
              </w:rPr>
            </w:pPr>
            <w:r w:rsidRPr="008A26FB">
              <w:rPr>
                <w:snapToGrid w:val="0"/>
              </w:rPr>
              <w:t>11% [2, 28]</w:t>
            </w:r>
          </w:p>
          <w:p w14:paraId="073C6676" w14:textId="77777777" w:rsidR="00170274" w:rsidRPr="008A26FB" w:rsidRDefault="00170274" w:rsidP="006464EF">
            <w:pPr>
              <w:pStyle w:val="Tabletext1"/>
              <w:rPr>
                <w:snapToGrid w:val="0"/>
              </w:rPr>
            </w:pPr>
            <w:r w:rsidRPr="008A26FB">
              <w:rPr>
                <w:snapToGrid w:val="0"/>
              </w:rPr>
              <w:t>93% [78, 99]</w:t>
            </w:r>
          </w:p>
        </w:tc>
        <w:tc>
          <w:tcPr>
            <w:tcW w:w="975" w:type="pct"/>
          </w:tcPr>
          <w:p w14:paraId="333372F7" w14:textId="77777777" w:rsidR="00170274" w:rsidRPr="008A26FB" w:rsidRDefault="00170274" w:rsidP="006464EF">
            <w:pPr>
              <w:pStyle w:val="Tabletext1"/>
              <w:rPr>
                <w:snapToGrid w:val="0"/>
              </w:rPr>
            </w:pPr>
            <w:r w:rsidRPr="008A26FB">
              <w:rPr>
                <w:snapToGrid w:val="0"/>
              </w:rPr>
              <w:t>71% [51, 87]</w:t>
            </w:r>
          </w:p>
          <w:p w14:paraId="57CE4D1D" w14:textId="77777777" w:rsidR="00170274" w:rsidRPr="008A26FB" w:rsidRDefault="00170274" w:rsidP="006464EF">
            <w:pPr>
              <w:pStyle w:val="Tabletext1"/>
              <w:rPr>
                <w:snapToGrid w:val="0"/>
              </w:rPr>
            </w:pPr>
            <w:r w:rsidRPr="008A26FB">
              <w:rPr>
                <w:snapToGrid w:val="0"/>
              </w:rPr>
              <w:t>83% [65, 94]</w:t>
            </w:r>
          </w:p>
        </w:tc>
        <w:tc>
          <w:tcPr>
            <w:tcW w:w="974" w:type="pct"/>
          </w:tcPr>
          <w:p w14:paraId="20713425" w14:textId="77777777" w:rsidR="00170274" w:rsidRPr="008A26FB" w:rsidRDefault="00170274" w:rsidP="006464EF">
            <w:pPr>
              <w:pStyle w:val="Tabletext1"/>
              <w:rPr>
                <w:snapToGrid w:val="0"/>
              </w:rPr>
            </w:pPr>
            <w:r w:rsidRPr="008A26FB">
              <w:rPr>
                <w:snapToGrid w:val="0"/>
              </w:rPr>
              <w:t>60%</w:t>
            </w:r>
          </w:p>
          <w:p w14:paraId="31EA246B" w14:textId="77777777" w:rsidR="00170274" w:rsidRPr="001F3408" w:rsidRDefault="00170274" w:rsidP="006464EF">
            <w:pPr>
              <w:pStyle w:val="Tabletext1"/>
              <w:rPr>
                <w:snapToGrid w:val="0"/>
              </w:rPr>
            </w:pPr>
            <w:r>
              <w:rPr>
                <w:snapToGrid w:val="0"/>
              </w:rPr>
              <w:t>-</w:t>
            </w:r>
            <w:r w:rsidRPr="008A26FB">
              <w:rPr>
                <w:snapToGrid w:val="0"/>
              </w:rPr>
              <w:t>7%</w:t>
            </w:r>
          </w:p>
        </w:tc>
      </w:tr>
    </w:tbl>
    <w:p w14:paraId="25DDFDF4" w14:textId="73FB10CD" w:rsidR="00170274" w:rsidRPr="00170274" w:rsidRDefault="00170274" w:rsidP="00170274">
      <w:pPr>
        <w:pStyle w:val="Tablenotes0"/>
      </w:pPr>
      <w:r w:rsidRPr="00F85BC1">
        <w:t>AMH = anti-Müllerian hormone; CI = con</w:t>
      </w:r>
      <w:r>
        <w:t>fidence interval; EIA = enzyme i</w:t>
      </w:r>
      <w:r w:rsidRPr="00F85BC1">
        <w:t>mmunoassay; MIS = Mü</w:t>
      </w:r>
      <w:r>
        <w:t>llerian-inhibiting substance</w:t>
      </w:r>
    </w:p>
    <w:p w14:paraId="51EF93E0" w14:textId="36CF2854" w:rsidR="00836985" w:rsidRDefault="00836985" w:rsidP="00836985">
      <w:pPr>
        <w:jc w:val="both"/>
        <w:rPr>
          <w:color w:val="000000" w:themeColor="text1"/>
        </w:rPr>
      </w:pPr>
      <w:r>
        <w:rPr>
          <w:color w:val="000000" w:themeColor="text1"/>
        </w:rPr>
        <w:t xml:space="preserve">There was a 40-fold difference in the level of detectable AMH between the two AMH tests. Thus, it is not surprising that more samples had undetectable levels with the less sensitive </w:t>
      </w:r>
      <w:r w:rsidRPr="004A3487">
        <w:rPr>
          <w:color w:val="000000" w:themeColor="text1"/>
        </w:rPr>
        <w:t xml:space="preserve">EIA AMH/MIS assay </w:t>
      </w:r>
      <w:r>
        <w:rPr>
          <w:color w:val="000000" w:themeColor="text1"/>
        </w:rPr>
        <w:t xml:space="preserve">(53 samples) compared with the </w:t>
      </w:r>
      <w:r w:rsidR="000701EE">
        <w:rPr>
          <w:color w:val="000000" w:themeColor="text1"/>
        </w:rPr>
        <w:t>pico</w:t>
      </w:r>
      <w:r w:rsidRPr="004A3487">
        <w:rPr>
          <w:color w:val="000000" w:themeColor="text1"/>
        </w:rPr>
        <w:t>-AMH ELISA</w:t>
      </w:r>
      <w:r>
        <w:rPr>
          <w:color w:val="000000" w:themeColor="text1"/>
        </w:rPr>
        <w:t xml:space="preserve"> (33 samples). The sensitivity of the </w:t>
      </w:r>
      <w:r w:rsidRPr="00C6292C">
        <w:rPr>
          <w:color w:val="000000" w:themeColor="text1"/>
        </w:rPr>
        <w:t xml:space="preserve">EIA AMH/MIS assay </w:t>
      </w:r>
      <w:r>
        <w:rPr>
          <w:color w:val="000000" w:themeColor="text1"/>
        </w:rPr>
        <w:t xml:space="preserve">was only 11% (95%CI 2, 28), compared with the </w:t>
      </w:r>
      <w:r w:rsidR="000701EE">
        <w:rPr>
          <w:color w:val="000000" w:themeColor="text1"/>
        </w:rPr>
        <w:t>pico</w:t>
      </w:r>
      <w:r w:rsidRPr="00C6292C">
        <w:rPr>
          <w:color w:val="000000" w:themeColor="text1"/>
        </w:rPr>
        <w:t xml:space="preserve">-AMH </w:t>
      </w:r>
      <w:r>
        <w:rPr>
          <w:color w:val="000000" w:themeColor="text1"/>
        </w:rPr>
        <w:t>ELISA</w:t>
      </w:r>
      <w:r w:rsidRPr="00C6292C">
        <w:rPr>
          <w:color w:val="000000" w:themeColor="text1"/>
        </w:rPr>
        <w:t xml:space="preserve"> </w:t>
      </w:r>
      <w:r>
        <w:rPr>
          <w:color w:val="000000" w:themeColor="text1"/>
        </w:rPr>
        <w:t xml:space="preserve">of 71% (95%CI 51, 87). Thus, if the presence of detectable AMH in the serum is used to determine ovarian recovery as defined by the return of menses in women who have completed chemotherapy, a sensitive AMH test is needed </w:t>
      </w:r>
      <w:r>
        <w:rPr>
          <w:color w:val="000000" w:themeColor="text1"/>
        </w:rPr>
        <w:lastRenderedPageBreak/>
        <w:t>to detect very low AMH levels in the early recovery period. Even then, about 30% of samples from women who will resume menstruation were falsely negative (undetectable AMH). However, undetectable AMH was a strong indicator for non-resumption of menses for both tests.</w:t>
      </w:r>
    </w:p>
    <w:p w14:paraId="4B34F50A" w14:textId="77777777" w:rsidR="00364786" w:rsidRDefault="00364786" w:rsidP="00364786">
      <w:pPr>
        <w:pStyle w:val="Heading4"/>
      </w:pPr>
      <w:bookmarkStart w:id="267" w:name="_Ref497897706"/>
      <w:r>
        <w:t>ROC analysis</w:t>
      </w:r>
      <w:r w:rsidRPr="00A93D91">
        <w:t xml:space="preserve"> </w:t>
      </w:r>
      <w:r>
        <w:t xml:space="preserve">of the </w:t>
      </w:r>
      <w:r w:rsidRPr="00A93D91">
        <w:t>ability of the various hormones to discriminate between women with and without menses</w:t>
      </w:r>
      <w:bookmarkEnd w:id="267"/>
    </w:p>
    <w:p w14:paraId="3B79CFF5" w14:textId="4849180E" w:rsidR="007518CF" w:rsidRDefault="00364786" w:rsidP="00364786">
      <w:pPr>
        <w:jc w:val="both"/>
        <w:rPr>
          <w:color w:val="000000" w:themeColor="text1"/>
        </w:rPr>
      </w:pPr>
      <w:r w:rsidRPr="008A26FB">
        <w:rPr>
          <w:color w:val="000000" w:themeColor="text1"/>
        </w:rPr>
        <w:t>Su et al. (2011)</w:t>
      </w:r>
      <w:r w:rsidR="007049EB" w:rsidRPr="008A26FB">
        <w:rPr>
          <w:color w:val="000000" w:themeColor="text1"/>
        </w:rPr>
        <w:t xml:space="preserve"> con</w:t>
      </w:r>
      <w:r w:rsidR="00A949E0" w:rsidRPr="008A26FB">
        <w:rPr>
          <w:color w:val="000000" w:themeColor="text1"/>
        </w:rPr>
        <w:t>ducted a retrospective study</w:t>
      </w:r>
      <w:r w:rsidR="007049EB" w:rsidRPr="008A26FB">
        <w:rPr>
          <w:color w:val="000000" w:themeColor="text1"/>
        </w:rPr>
        <w:t xml:space="preserve"> and</w:t>
      </w:r>
      <w:r w:rsidRPr="008A26FB">
        <w:rPr>
          <w:color w:val="000000" w:themeColor="text1"/>
        </w:rPr>
        <w:t xml:space="preserve"> used Poisson regression methods to model the</w:t>
      </w:r>
      <w:r>
        <w:rPr>
          <w:color w:val="000000" w:themeColor="text1"/>
        </w:rPr>
        <w:t xml:space="preserve"> optimum thresholds</w:t>
      </w:r>
      <w:r w:rsidRPr="002A040E">
        <w:rPr>
          <w:color w:val="000000" w:themeColor="text1"/>
        </w:rPr>
        <w:t xml:space="preserve"> for </w:t>
      </w:r>
      <w:r>
        <w:rPr>
          <w:color w:val="000000" w:themeColor="text1"/>
        </w:rPr>
        <w:t>AFC as measured by transvaginal ultrasound, and serum lev</w:t>
      </w:r>
      <w:r w:rsidR="003928C3">
        <w:rPr>
          <w:color w:val="000000" w:themeColor="text1"/>
        </w:rPr>
        <w:t>els of AMH, FSH and i</w:t>
      </w:r>
      <w:r>
        <w:rPr>
          <w:color w:val="000000" w:themeColor="text1"/>
        </w:rPr>
        <w:t xml:space="preserve">nhibin B to identify </w:t>
      </w:r>
      <w:r w:rsidR="0076789D">
        <w:rPr>
          <w:color w:val="000000" w:themeColor="text1"/>
        </w:rPr>
        <w:t>CRA</w:t>
      </w:r>
      <w:r w:rsidRPr="0052326E">
        <w:t xml:space="preserve"> </w:t>
      </w:r>
      <w:r>
        <w:t xml:space="preserve">in </w:t>
      </w:r>
      <w:r w:rsidRPr="0052326E">
        <w:rPr>
          <w:color w:val="000000" w:themeColor="text1"/>
        </w:rPr>
        <w:t xml:space="preserve">56 female, post-chemotherapy </w:t>
      </w:r>
      <w:r w:rsidRPr="00653A2E">
        <w:rPr>
          <w:color w:val="000000" w:themeColor="text1"/>
        </w:rPr>
        <w:t>late</w:t>
      </w:r>
      <w:r w:rsidR="00916047">
        <w:rPr>
          <w:color w:val="000000" w:themeColor="text1"/>
        </w:rPr>
        <w:t xml:space="preserve"> </w:t>
      </w:r>
      <w:r w:rsidRPr="00653A2E">
        <w:rPr>
          <w:color w:val="000000" w:themeColor="text1"/>
        </w:rPr>
        <w:t>reproductive</w:t>
      </w:r>
      <w:r w:rsidR="003036C4">
        <w:rPr>
          <w:color w:val="000000" w:themeColor="text1"/>
        </w:rPr>
        <w:t>-</w:t>
      </w:r>
      <w:r w:rsidRPr="00653A2E">
        <w:rPr>
          <w:color w:val="000000" w:themeColor="text1"/>
        </w:rPr>
        <w:t xml:space="preserve">aged </w:t>
      </w:r>
      <w:r w:rsidRPr="0052326E">
        <w:rPr>
          <w:color w:val="000000" w:themeColor="text1"/>
        </w:rPr>
        <w:t>breast cancer survivor</w:t>
      </w:r>
      <w:r>
        <w:rPr>
          <w:color w:val="000000" w:themeColor="text1"/>
        </w:rPr>
        <w:t>s of at least 1-year duration.</w:t>
      </w:r>
      <w:r w:rsidRPr="0052326E">
        <w:t xml:space="preserve"> </w:t>
      </w:r>
      <w:r w:rsidRPr="0052326E">
        <w:rPr>
          <w:color w:val="000000" w:themeColor="text1"/>
        </w:rPr>
        <w:t>CR</w:t>
      </w:r>
      <w:r>
        <w:rPr>
          <w:color w:val="000000" w:themeColor="text1"/>
        </w:rPr>
        <w:t xml:space="preserve">A was </w:t>
      </w:r>
      <w:r w:rsidRPr="0052326E">
        <w:rPr>
          <w:color w:val="000000" w:themeColor="text1"/>
        </w:rPr>
        <w:t xml:space="preserve">defined as </w:t>
      </w:r>
      <w:r w:rsidR="003928C3">
        <w:rPr>
          <w:color w:val="000000" w:themeColor="text1"/>
        </w:rPr>
        <w:t xml:space="preserve">at least </w:t>
      </w:r>
      <w:r w:rsidRPr="0052326E">
        <w:rPr>
          <w:color w:val="000000" w:themeColor="text1"/>
        </w:rPr>
        <w:t>12 months of amenorrhea occurring after</w:t>
      </w:r>
      <w:r>
        <w:rPr>
          <w:color w:val="000000" w:themeColor="text1"/>
        </w:rPr>
        <w:t xml:space="preserve"> </w:t>
      </w:r>
      <w:r w:rsidRPr="0052326E">
        <w:rPr>
          <w:color w:val="000000" w:themeColor="text1"/>
        </w:rPr>
        <w:t>start of chemotherapy.</w:t>
      </w:r>
      <w:r w:rsidRPr="007B1873">
        <w:rPr>
          <w:color w:val="000000" w:themeColor="text1"/>
        </w:rPr>
        <w:t xml:space="preserve"> </w:t>
      </w:r>
      <w:r w:rsidRPr="00012491">
        <w:rPr>
          <w:color w:val="000000" w:themeColor="text1"/>
        </w:rPr>
        <w:t xml:space="preserve">Thirty-four </w:t>
      </w:r>
      <w:r>
        <w:rPr>
          <w:color w:val="000000" w:themeColor="text1"/>
        </w:rPr>
        <w:t>women</w:t>
      </w:r>
      <w:r w:rsidRPr="00012491">
        <w:rPr>
          <w:color w:val="000000" w:themeColor="text1"/>
        </w:rPr>
        <w:t xml:space="preserve"> (6</w:t>
      </w:r>
      <w:r>
        <w:rPr>
          <w:color w:val="000000" w:themeColor="text1"/>
        </w:rPr>
        <w:t>0.7</w:t>
      </w:r>
      <w:r w:rsidRPr="00012491">
        <w:rPr>
          <w:color w:val="000000" w:themeColor="text1"/>
        </w:rPr>
        <w:t xml:space="preserve">%) met criteria for </w:t>
      </w:r>
      <w:r>
        <w:rPr>
          <w:color w:val="000000" w:themeColor="text1"/>
        </w:rPr>
        <w:t>CRA</w:t>
      </w:r>
      <w:r w:rsidRPr="007B1873">
        <w:rPr>
          <w:color w:val="000000" w:themeColor="text1"/>
        </w:rPr>
        <w:t>. ROC curves were generated for each model</w:t>
      </w:r>
      <w:r>
        <w:rPr>
          <w:color w:val="000000" w:themeColor="text1"/>
        </w:rPr>
        <w:t xml:space="preserve"> as shown in </w:t>
      </w:r>
      <w:r>
        <w:rPr>
          <w:color w:val="000000" w:themeColor="text1"/>
        </w:rPr>
        <w:fldChar w:fldCharType="begin"/>
      </w:r>
      <w:r>
        <w:rPr>
          <w:color w:val="000000" w:themeColor="text1"/>
        </w:rPr>
        <w:instrText xml:space="preserve"> REF _Ref494466987 \h </w:instrText>
      </w:r>
      <w:r>
        <w:rPr>
          <w:color w:val="000000" w:themeColor="text1"/>
        </w:rPr>
      </w:r>
      <w:r>
        <w:rPr>
          <w:color w:val="000000" w:themeColor="text1"/>
        </w:rPr>
        <w:fldChar w:fldCharType="separate"/>
      </w:r>
      <w:r w:rsidR="00AC4BE5">
        <w:t xml:space="preserve">Table </w:t>
      </w:r>
      <w:r w:rsidR="00AC4BE5">
        <w:rPr>
          <w:noProof/>
        </w:rPr>
        <w:t>32</w:t>
      </w:r>
      <w:r>
        <w:rPr>
          <w:color w:val="000000" w:themeColor="text1"/>
        </w:rPr>
        <w:fldChar w:fldCharType="end"/>
      </w:r>
      <w:r>
        <w:rPr>
          <w:color w:val="000000" w:themeColor="text1"/>
        </w:rPr>
        <w:t xml:space="preserve">. This study used an older </w:t>
      </w:r>
      <w:r w:rsidR="004D3E0E">
        <w:rPr>
          <w:color w:val="000000" w:themeColor="text1"/>
        </w:rPr>
        <w:t>first generation</w:t>
      </w:r>
      <w:r>
        <w:rPr>
          <w:color w:val="000000" w:themeColor="text1"/>
        </w:rPr>
        <w:t xml:space="preserve"> AMH test, the </w:t>
      </w:r>
      <w:r w:rsidRPr="00415EEE">
        <w:rPr>
          <w:color w:val="000000" w:themeColor="text1"/>
        </w:rPr>
        <w:t>DSL ACTIVE® AMH/MIS ELISA</w:t>
      </w:r>
      <w:r>
        <w:rPr>
          <w:color w:val="000000" w:themeColor="text1"/>
        </w:rPr>
        <w:t xml:space="preserve">, which had a </w:t>
      </w:r>
      <w:r w:rsidRPr="00415EEE">
        <w:rPr>
          <w:color w:val="000000" w:themeColor="text1"/>
        </w:rPr>
        <w:t xml:space="preserve">lower limit of detection for AMH </w:t>
      </w:r>
      <w:r>
        <w:rPr>
          <w:color w:val="000000" w:themeColor="text1"/>
        </w:rPr>
        <w:t>of 25 pg/mL, according to the manufacturer. This limit coincided with the optimum threshold</w:t>
      </w:r>
      <w:r w:rsidRPr="007B1873">
        <w:rPr>
          <w:color w:val="000000" w:themeColor="text1"/>
        </w:rPr>
        <w:t xml:space="preserve"> </w:t>
      </w:r>
      <w:r>
        <w:rPr>
          <w:color w:val="000000" w:themeColor="text1"/>
        </w:rPr>
        <w:t xml:space="preserve">to distinguish women with and without CRA. Only the AFC test had an AUC above 0.8, indicating good test performance in identifying women with CRA. The tests for AMH and FSH showed </w:t>
      </w:r>
      <w:r w:rsidR="003928C3">
        <w:rPr>
          <w:color w:val="000000" w:themeColor="text1"/>
        </w:rPr>
        <w:t>moderate test performance, but i</w:t>
      </w:r>
      <w:r>
        <w:rPr>
          <w:color w:val="000000" w:themeColor="text1"/>
        </w:rPr>
        <w:t>nhibin B had poor test performance</w:t>
      </w:r>
      <w:r w:rsidRPr="00FB016F">
        <w:t xml:space="preserve"> </w:t>
      </w:r>
      <w:r w:rsidRPr="00FB016F">
        <w:rPr>
          <w:color w:val="000000" w:themeColor="text1"/>
        </w:rPr>
        <w:t xml:space="preserve">in identifying women with </w:t>
      </w:r>
      <w:r>
        <w:rPr>
          <w:color w:val="000000" w:themeColor="text1"/>
        </w:rPr>
        <w:t>CRA. The combination of the AFC test with the AMH or FSH tests improved the performance of the AFC test alone.</w:t>
      </w:r>
    </w:p>
    <w:p w14:paraId="2ABC9F99" w14:textId="71AAAB48" w:rsidR="00364786" w:rsidRPr="001F3408" w:rsidRDefault="00364786" w:rsidP="00364786">
      <w:pPr>
        <w:pStyle w:val="TableHeading"/>
        <w:rPr>
          <w:color w:val="000000" w:themeColor="text1"/>
        </w:rPr>
      </w:pPr>
      <w:bookmarkStart w:id="268" w:name="_Ref494466987"/>
      <w:bookmarkStart w:id="269" w:name="_Toc502833050"/>
      <w:r>
        <w:t xml:space="preserve">Table </w:t>
      </w:r>
      <w:r w:rsidR="00AC4BE5">
        <w:fldChar w:fldCharType="begin"/>
      </w:r>
      <w:r w:rsidR="00AC4BE5">
        <w:instrText xml:space="preserve"> SEQ Table \* ARABIC </w:instrText>
      </w:r>
      <w:r w:rsidR="00AC4BE5">
        <w:fldChar w:fldCharType="separate"/>
      </w:r>
      <w:r w:rsidR="00AC4BE5">
        <w:rPr>
          <w:noProof/>
        </w:rPr>
        <w:t>32</w:t>
      </w:r>
      <w:r w:rsidR="00AC4BE5">
        <w:rPr>
          <w:noProof/>
        </w:rPr>
        <w:fldChar w:fldCharType="end"/>
      </w:r>
      <w:bookmarkEnd w:id="268"/>
      <w:r>
        <w:tab/>
      </w:r>
      <w:r w:rsidRPr="00415EEE">
        <w:t>AUC values from ROC analysis conducted by Su et al. (2011)</w:t>
      </w:r>
      <w:bookmarkEnd w:id="269"/>
    </w:p>
    <w:tbl>
      <w:tblPr>
        <w:tblStyle w:val="TableGrid7"/>
        <w:tblW w:w="9067" w:type="dxa"/>
        <w:tblLook w:val="04A0" w:firstRow="1" w:lastRow="0" w:firstColumn="1" w:lastColumn="0" w:noHBand="0" w:noVBand="1"/>
        <w:tblCaption w:val="AUC values from ROC analysis conducted by Su et al. (2011)"/>
        <w:tblDescription w:val="AUC values from ROC analysis conducted by Su et al. (2011)"/>
      </w:tblPr>
      <w:tblGrid>
        <w:gridCol w:w="2689"/>
        <w:gridCol w:w="1701"/>
        <w:gridCol w:w="3118"/>
        <w:gridCol w:w="1559"/>
      </w:tblGrid>
      <w:tr w:rsidR="00364786" w:rsidRPr="0052326E" w14:paraId="13F4FC8C" w14:textId="77777777" w:rsidTr="00C22CC2">
        <w:trPr>
          <w:tblHeader/>
        </w:trPr>
        <w:tc>
          <w:tcPr>
            <w:tcW w:w="2689" w:type="dxa"/>
          </w:tcPr>
          <w:p w14:paraId="214371C6" w14:textId="77777777" w:rsidR="00364786" w:rsidRPr="001B2A30" w:rsidRDefault="00364786" w:rsidP="001B2A30">
            <w:pPr>
              <w:pStyle w:val="Tabletext1"/>
              <w:rPr>
                <w:b/>
              </w:rPr>
            </w:pPr>
            <w:r w:rsidRPr="001B2A30">
              <w:rPr>
                <w:b/>
              </w:rPr>
              <w:t>Single-variable models</w:t>
            </w:r>
          </w:p>
        </w:tc>
        <w:tc>
          <w:tcPr>
            <w:tcW w:w="1701" w:type="dxa"/>
          </w:tcPr>
          <w:p w14:paraId="33706D75" w14:textId="77777777" w:rsidR="00364786" w:rsidRPr="001B2A30" w:rsidRDefault="00364786" w:rsidP="001B2A30">
            <w:pPr>
              <w:pStyle w:val="Tabletext1"/>
              <w:rPr>
                <w:b/>
              </w:rPr>
            </w:pPr>
            <w:r w:rsidRPr="001B2A30">
              <w:rPr>
                <w:b/>
              </w:rPr>
              <w:t>AUC</w:t>
            </w:r>
          </w:p>
        </w:tc>
        <w:tc>
          <w:tcPr>
            <w:tcW w:w="3118" w:type="dxa"/>
          </w:tcPr>
          <w:p w14:paraId="7B23E1A4" w14:textId="77777777" w:rsidR="00364786" w:rsidRPr="001B2A30" w:rsidRDefault="00364786" w:rsidP="001B2A30">
            <w:pPr>
              <w:pStyle w:val="Tabletext1"/>
              <w:rPr>
                <w:b/>
              </w:rPr>
            </w:pPr>
            <w:r w:rsidRPr="001B2A30">
              <w:rPr>
                <w:b/>
              </w:rPr>
              <w:t>Two-variable models</w:t>
            </w:r>
          </w:p>
        </w:tc>
        <w:tc>
          <w:tcPr>
            <w:tcW w:w="1559" w:type="dxa"/>
          </w:tcPr>
          <w:p w14:paraId="2A943D00" w14:textId="77777777" w:rsidR="00364786" w:rsidRPr="001B2A30" w:rsidRDefault="00364786" w:rsidP="001B2A30">
            <w:pPr>
              <w:pStyle w:val="Tabletext1"/>
              <w:rPr>
                <w:b/>
              </w:rPr>
            </w:pPr>
            <w:r w:rsidRPr="001B2A30">
              <w:rPr>
                <w:b/>
              </w:rPr>
              <w:t>AUC</w:t>
            </w:r>
          </w:p>
        </w:tc>
      </w:tr>
      <w:tr w:rsidR="00364786" w:rsidRPr="0052326E" w14:paraId="08D985FC" w14:textId="77777777" w:rsidTr="00A73F39">
        <w:tc>
          <w:tcPr>
            <w:tcW w:w="2689" w:type="dxa"/>
          </w:tcPr>
          <w:p w14:paraId="38894EA4" w14:textId="77777777" w:rsidR="00364786" w:rsidRPr="0052326E" w:rsidRDefault="00364786" w:rsidP="001B2A30">
            <w:pPr>
              <w:pStyle w:val="Tabletext1"/>
            </w:pPr>
            <w:r w:rsidRPr="0052326E">
              <w:t>AFC (total 2–10 mm) &lt;1</w:t>
            </w:r>
          </w:p>
        </w:tc>
        <w:tc>
          <w:tcPr>
            <w:tcW w:w="1701" w:type="dxa"/>
          </w:tcPr>
          <w:p w14:paraId="069AC3DF" w14:textId="77777777" w:rsidR="00364786" w:rsidRPr="0052326E" w:rsidRDefault="00364786" w:rsidP="001B2A30">
            <w:pPr>
              <w:pStyle w:val="Tabletext1"/>
            </w:pPr>
            <w:r w:rsidRPr="0052326E">
              <w:t>0.82</w:t>
            </w:r>
          </w:p>
        </w:tc>
        <w:tc>
          <w:tcPr>
            <w:tcW w:w="3118" w:type="dxa"/>
          </w:tcPr>
          <w:p w14:paraId="7A58F0C4" w14:textId="7E1D6A04" w:rsidR="00364786" w:rsidRPr="0052326E" w:rsidRDefault="00364786" w:rsidP="001B2A30">
            <w:pPr>
              <w:pStyle w:val="Tabletext1"/>
            </w:pPr>
            <w:r w:rsidRPr="0052326E">
              <w:t>AFC</w:t>
            </w:r>
            <w:r>
              <w:t xml:space="preserve"> </w:t>
            </w:r>
            <w:r w:rsidRPr="00415EEE">
              <w:t>&lt;1</w:t>
            </w:r>
            <w:r>
              <w:t xml:space="preserve"> </w:t>
            </w:r>
            <w:r w:rsidRPr="0052326E">
              <w:t>+</w:t>
            </w:r>
            <w:r w:rsidR="007049EB">
              <w:t xml:space="preserve"> </w:t>
            </w:r>
            <w:r w:rsidRPr="0052326E">
              <w:t>AMH</w:t>
            </w:r>
            <w:r>
              <w:t xml:space="preserve"> </w:t>
            </w:r>
            <w:r w:rsidR="003B42B2">
              <w:t>≤</w:t>
            </w:r>
            <w:r w:rsidRPr="00415EEE">
              <w:t>25 pg/</w:t>
            </w:r>
            <w:r w:rsidR="00023800">
              <w:t>mL</w:t>
            </w:r>
          </w:p>
        </w:tc>
        <w:tc>
          <w:tcPr>
            <w:tcW w:w="1559" w:type="dxa"/>
          </w:tcPr>
          <w:p w14:paraId="4119763B" w14:textId="77777777" w:rsidR="00364786" w:rsidRPr="0052326E" w:rsidRDefault="00364786" w:rsidP="001B2A30">
            <w:pPr>
              <w:pStyle w:val="Tabletext1"/>
            </w:pPr>
            <w:r w:rsidRPr="0052326E">
              <w:t>0.87</w:t>
            </w:r>
          </w:p>
        </w:tc>
      </w:tr>
      <w:tr w:rsidR="00364786" w:rsidRPr="0052326E" w14:paraId="6A089869" w14:textId="77777777" w:rsidTr="00A73F39">
        <w:tc>
          <w:tcPr>
            <w:tcW w:w="2689" w:type="dxa"/>
          </w:tcPr>
          <w:p w14:paraId="1BF5D224" w14:textId="25FCCE7A" w:rsidR="00364786" w:rsidRPr="0052326E" w:rsidRDefault="00364786" w:rsidP="001B2A30">
            <w:pPr>
              <w:pStyle w:val="Tabletext1"/>
            </w:pPr>
            <w:r w:rsidRPr="0052326E">
              <w:t xml:space="preserve">AMH </w:t>
            </w:r>
            <w:r w:rsidR="003B42B2">
              <w:t>≤</w:t>
            </w:r>
            <w:r w:rsidRPr="0052326E">
              <w:t>25 pg/</w:t>
            </w:r>
            <w:r w:rsidR="00023800">
              <w:t>mL</w:t>
            </w:r>
          </w:p>
        </w:tc>
        <w:tc>
          <w:tcPr>
            <w:tcW w:w="1701" w:type="dxa"/>
          </w:tcPr>
          <w:p w14:paraId="408B6E65" w14:textId="77777777" w:rsidR="00364786" w:rsidRPr="0052326E" w:rsidRDefault="00364786" w:rsidP="001B2A30">
            <w:pPr>
              <w:pStyle w:val="Tabletext1"/>
            </w:pPr>
            <w:r w:rsidRPr="0052326E">
              <w:t>0.71</w:t>
            </w:r>
          </w:p>
        </w:tc>
        <w:tc>
          <w:tcPr>
            <w:tcW w:w="3118" w:type="dxa"/>
          </w:tcPr>
          <w:p w14:paraId="4016DED3" w14:textId="4A5433FF" w:rsidR="00364786" w:rsidRPr="0052326E" w:rsidRDefault="00364786" w:rsidP="001B2A30">
            <w:pPr>
              <w:pStyle w:val="Tabletext1"/>
            </w:pPr>
            <w:r w:rsidRPr="0052326E">
              <w:t>AFC</w:t>
            </w:r>
            <w:r>
              <w:t xml:space="preserve"> &lt;1 </w:t>
            </w:r>
            <w:r w:rsidRPr="0052326E">
              <w:t>+</w:t>
            </w:r>
            <w:r>
              <w:t xml:space="preserve"> </w:t>
            </w:r>
            <w:r w:rsidRPr="0052326E">
              <w:t>FSH</w:t>
            </w:r>
            <w:r>
              <w:t xml:space="preserve"> </w:t>
            </w:r>
            <w:r w:rsidR="003B42B2">
              <w:t>≥</w:t>
            </w:r>
            <w:r w:rsidRPr="00415EEE">
              <w:t>40IU/L</w:t>
            </w:r>
          </w:p>
        </w:tc>
        <w:tc>
          <w:tcPr>
            <w:tcW w:w="1559" w:type="dxa"/>
          </w:tcPr>
          <w:p w14:paraId="486F1F17" w14:textId="77777777" w:rsidR="00364786" w:rsidRPr="0052326E" w:rsidRDefault="00364786" w:rsidP="001B2A30">
            <w:pPr>
              <w:pStyle w:val="Tabletext1"/>
            </w:pPr>
            <w:r w:rsidRPr="0052326E">
              <w:t>0.87</w:t>
            </w:r>
          </w:p>
        </w:tc>
      </w:tr>
      <w:tr w:rsidR="00364786" w:rsidRPr="0052326E" w14:paraId="1F8F63CA" w14:textId="77777777" w:rsidTr="00A73F39">
        <w:tc>
          <w:tcPr>
            <w:tcW w:w="2689" w:type="dxa"/>
          </w:tcPr>
          <w:p w14:paraId="66CBD2ED" w14:textId="58FDBCCB" w:rsidR="00364786" w:rsidRPr="0052326E" w:rsidRDefault="00364786" w:rsidP="001B2A30">
            <w:pPr>
              <w:pStyle w:val="Tabletext1"/>
            </w:pPr>
            <w:r w:rsidRPr="0052326E">
              <w:t xml:space="preserve">FSH </w:t>
            </w:r>
            <w:r w:rsidR="003B42B2">
              <w:t>≥</w:t>
            </w:r>
            <w:r w:rsidRPr="0052326E">
              <w:t>40IU/L</w:t>
            </w:r>
          </w:p>
        </w:tc>
        <w:tc>
          <w:tcPr>
            <w:tcW w:w="1701" w:type="dxa"/>
          </w:tcPr>
          <w:p w14:paraId="3467C5AF" w14:textId="77777777" w:rsidR="00364786" w:rsidRPr="0052326E" w:rsidRDefault="00364786" w:rsidP="001B2A30">
            <w:pPr>
              <w:pStyle w:val="Tabletext1"/>
            </w:pPr>
            <w:r w:rsidRPr="0052326E">
              <w:t>0.72</w:t>
            </w:r>
          </w:p>
        </w:tc>
        <w:tc>
          <w:tcPr>
            <w:tcW w:w="3118" w:type="dxa"/>
          </w:tcPr>
          <w:p w14:paraId="0C17A085" w14:textId="692DA84A" w:rsidR="00364786" w:rsidRPr="0052326E" w:rsidRDefault="00364786" w:rsidP="001B2A30">
            <w:pPr>
              <w:pStyle w:val="Tabletext1"/>
            </w:pPr>
            <w:r w:rsidRPr="0052326E">
              <w:t>AMH</w:t>
            </w:r>
            <w:r>
              <w:t xml:space="preserve"> </w:t>
            </w:r>
            <w:r w:rsidRPr="00415EEE">
              <w:t>≤25 pg/</w:t>
            </w:r>
            <w:r w:rsidR="00023800">
              <w:t>mL</w:t>
            </w:r>
            <w:r w:rsidRPr="00415EEE">
              <w:t xml:space="preserve"> </w:t>
            </w:r>
            <w:r w:rsidRPr="0052326E">
              <w:t>+</w:t>
            </w:r>
            <w:r w:rsidR="007049EB">
              <w:t xml:space="preserve"> </w:t>
            </w:r>
            <w:r w:rsidRPr="0052326E">
              <w:t>FSH</w:t>
            </w:r>
            <w:r>
              <w:t xml:space="preserve"> </w:t>
            </w:r>
            <w:r w:rsidR="003B42B2">
              <w:t>≥</w:t>
            </w:r>
            <w:r w:rsidRPr="00415EEE">
              <w:t>40IU/L</w:t>
            </w:r>
          </w:p>
        </w:tc>
        <w:tc>
          <w:tcPr>
            <w:tcW w:w="1559" w:type="dxa"/>
          </w:tcPr>
          <w:p w14:paraId="0175CEE9" w14:textId="77777777" w:rsidR="00364786" w:rsidRPr="0052326E" w:rsidRDefault="00364786" w:rsidP="001B2A30">
            <w:pPr>
              <w:pStyle w:val="Tabletext1"/>
            </w:pPr>
            <w:r w:rsidRPr="0052326E">
              <w:t>0.74</w:t>
            </w:r>
          </w:p>
        </w:tc>
      </w:tr>
      <w:tr w:rsidR="00364786" w:rsidRPr="0052326E" w14:paraId="04D38C2C" w14:textId="77777777" w:rsidTr="00A73F39">
        <w:tc>
          <w:tcPr>
            <w:tcW w:w="2689" w:type="dxa"/>
          </w:tcPr>
          <w:p w14:paraId="5AF3F720" w14:textId="20C1E9D5" w:rsidR="00364786" w:rsidRPr="0052326E" w:rsidRDefault="00364786" w:rsidP="001B2A30">
            <w:pPr>
              <w:pStyle w:val="Tabletext1"/>
            </w:pPr>
            <w:r w:rsidRPr="0052326E">
              <w:t>Inhibin B ≤5</w:t>
            </w:r>
            <w:r w:rsidR="007049EB">
              <w:t xml:space="preserve"> </w:t>
            </w:r>
            <w:r w:rsidRPr="0052326E">
              <w:t>pg/</w:t>
            </w:r>
            <w:r w:rsidR="00023800">
              <w:t>mL</w:t>
            </w:r>
          </w:p>
        </w:tc>
        <w:tc>
          <w:tcPr>
            <w:tcW w:w="1701" w:type="dxa"/>
          </w:tcPr>
          <w:p w14:paraId="5C5C7B8D" w14:textId="77777777" w:rsidR="00364786" w:rsidRPr="0052326E" w:rsidRDefault="00364786" w:rsidP="001B2A30">
            <w:pPr>
              <w:pStyle w:val="Tabletext1"/>
            </w:pPr>
            <w:r w:rsidRPr="0052326E">
              <w:t>0.63</w:t>
            </w:r>
          </w:p>
        </w:tc>
        <w:tc>
          <w:tcPr>
            <w:tcW w:w="3118" w:type="dxa"/>
          </w:tcPr>
          <w:p w14:paraId="62FCA830" w14:textId="2658182C" w:rsidR="00364786" w:rsidRPr="0052326E" w:rsidRDefault="007049EB" w:rsidP="001B2A30">
            <w:pPr>
              <w:pStyle w:val="Tabletext1"/>
            </w:pPr>
            <w:r>
              <w:t>-</w:t>
            </w:r>
          </w:p>
        </w:tc>
        <w:tc>
          <w:tcPr>
            <w:tcW w:w="1559" w:type="dxa"/>
          </w:tcPr>
          <w:p w14:paraId="11CD1CB8" w14:textId="1CA429AD" w:rsidR="00364786" w:rsidRPr="0052326E" w:rsidRDefault="007049EB" w:rsidP="001B2A30">
            <w:pPr>
              <w:pStyle w:val="Tabletext1"/>
            </w:pPr>
            <w:r>
              <w:t>-</w:t>
            </w:r>
          </w:p>
        </w:tc>
      </w:tr>
    </w:tbl>
    <w:p w14:paraId="42B538D8" w14:textId="7A89BA04" w:rsidR="00364786" w:rsidRDefault="00364786" w:rsidP="00364786">
      <w:pPr>
        <w:pStyle w:val="Tablenotes0"/>
      </w:pPr>
      <w:r>
        <w:t xml:space="preserve">AFC = antral follicle count; </w:t>
      </w:r>
      <w:r w:rsidRPr="00A66569">
        <w:t>AMH = anti-Müllerian hormone; AUC = area under the curve; FSH = follicle</w:t>
      </w:r>
      <w:r w:rsidR="00DE6DD5">
        <w:t>-</w:t>
      </w:r>
      <w:r w:rsidRPr="00A66569">
        <w:t>stimula</w:t>
      </w:r>
      <w:r w:rsidR="009D0F25">
        <w:t xml:space="preserve">ting hormone; E2 = </w:t>
      </w:r>
      <w:r w:rsidR="00A70795">
        <w:t>estradiol</w:t>
      </w:r>
      <w:r w:rsidRPr="00A66569">
        <w:t>; ROC = receiver operator characteristic</w:t>
      </w:r>
    </w:p>
    <w:p w14:paraId="3D528D89" w14:textId="1AD8A20C" w:rsidR="00364786" w:rsidRDefault="00364786" w:rsidP="00364786">
      <w:pPr>
        <w:jc w:val="both"/>
        <w:rPr>
          <w:color w:val="000000" w:themeColor="text1"/>
        </w:rPr>
      </w:pPr>
      <w:r w:rsidRPr="008A26FB">
        <w:rPr>
          <w:color w:val="000000" w:themeColor="text1"/>
        </w:rPr>
        <w:t>Su et al. (2011) also calculated the sensitivity and specificity of the tests using the threshold values</w:t>
      </w:r>
      <w:r>
        <w:rPr>
          <w:color w:val="000000" w:themeColor="text1"/>
        </w:rPr>
        <w:t xml:space="preserve"> determined by ROC curve analysis (</w:t>
      </w:r>
      <w:r>
        <w:rPr>
          <w:color w:val="000000" w:themeColor="text1"/>
        </w:rPr>
        <w:fldChar w:fldCharType="begin"/>
      </w:r>
      <w:r>
        <w:rPr>
          <w:color w:val="000000" w:themeColor="text1"/>
        </w:rPr>
        <w:instrText xml:space="preserve"> REF _Ref494876497 \h </w:instrText>
      </w:r>
      <w:r>
        <w:rPr>
          <w:color w:val="000000" w:themeColor="text1"/>
        </w:rPr>
      </w:r>
      <w:r>
        <w:rPr>
          <w:color w:val="000000" w:themeColor="text1"/>
        </w:rPr>
        <w:fldChar w:fldCharType="separate"/>
      </w:r>
      <w:r w:rsidR="00AC4BE5">
        <w:t xml:space="preserve">Table </w:t>
      </w:r>
      <w:r w:rsidR="00AC4BE5">
        <w:rPr>
          <w:noProof/>
        </w:rPr>
        <w:t>33</w:t>
      </w:r>
      <w:r>
        <w:rPr>
          <w:color w:val="000000" w:themeColor="text1"/>
        </w:rPr>
        <w:fldChar w:fldCharType="end"/>
      </w:r>
      <w:r>
        <w:rPr>
          <w:color w:val="000000" w:themeColor="text1"/>
        </w:rPr>
        <w:t>). AFC was more specific (89% versus 60–64%)</w:t>
      </w:r>
      <w:r w:rsidRPr="00A87D33">
        <w:rPr>
          <w:color w:val="000000" w:themeColor="text1"/>
        </w:rPr>
        <w:t xml:space="preserve"> </w:t>
      </w:r>
      <w:r>
        <w:rPr>
          <w:color w:val="000000" w:themeColor="text1"/>
        </w:rPr>
        <w:t xml:space="preserve">than the AMH, FSH and inhibin B tests in </w:t>
      </w:r>
      <w:r w:rsidRPr="00A87D33">
        <w:rPr>
          <w:color w:val="000000" w:themeColor="text1"/>
        </w:rPr>
        <w:t>distinguish</w:t>
      </w:r>
      <w:r>
        <w:rPr>
          <w:color w:val="000000" w:themeColor="text1"/>
        </w:rPr>
        <w:t>ing</w:t>
      </w:r>
      <w:r w:rsidRPr="00A87D33">
        <w:rPr>
          <w:color w:val="000000" w:themeColor="text1"/>
        </w:rPr>
        <w:t xml:space="preserve"> </w:t>
      </w:r>
      <w:r w:rsidR="00A54D1F">
        <w:rPr>
          <w:color w:val="000000" w:themeColor="text1"/>
        </w:rPr>
        <w:t>late reproductive-</w:t>
      </w:r>
      <w:r w:rsidRPr="00653A2E">
        <w:rPr>
          <w:color w:val="000000" w:themeColor="text1"/>
        </w:rPr>
        <w:t xml:space="preserve">aged </w:t>
      </w:r>
      <w:r w:rsidRPr="00A87D33">
        <w:rPr>
          <w:color w:val="000000" w:themeColor="text1"/>
        </w:rPr>
        <w:t xml:space="preserve">women with and without </w:t>
      </w:r>
      <w:r>
        <w:rPr>
          <w:color w:val="000000" w:themeColor="text1"/>
        </w:rPr>
        <w:t xml:space="preserve">CRA, indicating less women had a </w:t>
      </w:r>
      <w:r w:rsidR="00772EDC">
        <w:rPr>
          <w:color w:val="000000" w:themeColor="text1"/>
        </w:rPr>
        <w:t>false-positive result</w:t>
      </w:r>
      <w:r>
        <w:rPr>
          <w:color w:val="000000" w:themeColor="text1"/>
        </w:rPr>
        <w:t xml:space="preserve"> indicating CRA with AFC (11%) than with the three hormone tests (36–40%). However, the sensitivity of the AFC, AMH and FSH tests did no</w:t>
      </w:r>
      <w:r w:rsidR="00A54D1F">
        <w:rPr>
          <w:color w:val="000000" w:themeColor="text1"/>
        </w:rPr>
        <w:t xml:space="preserve">t vary greatly (76–79%), but 21 to </w:t>
      </w:r>
      <w:r>
        <w:rPr>
          <w:color w:val="000000" w:themeColor="text1"/>
        </w:rPr>
        <w:t xml:space="preserve">24% of women who had CRA would have had a </w:t>
      </w:r>
      <w:r w:rsidR="00772EDC">
        <w:rPr>
          <w:color w:val="000000" w:themeColor="text1"/>
        </w:rPr>
        <w:t>false-negative result</w:t>
      </w:r>
      <w:r>
        <w:rPr>
          <w:color w:val="000000" w:themeColor="text1"/>
        </w:rPr>
        <w:t>.</w:t>
      </w:r>
    </w:p>
    <w:p w14:paraId="230C9D29" w14:textId="4C42AADE" w:rsidR="00364786" w:rsidRDefault="00364786" w:rsidP="00364786">
      <w:pPr>
        <w:pStyle w:val="TableHeading"/>
      </w:pPr>
      <w:bookmarkStart w:id="270" w:name="_Ref494876497"/>
      <w:bookmarkStart w:id="271" w:name="_Toc502833051"/>
      <w:r>
        <w:t xml:space="preserve">Table </w:t>
      </w:r>
      <w:r w:rsidR="00AC4BE5">
        <w:fldChar w:fldCharType="begin"/>
      </w:r>
      <w:r w:rsidR="00AC4BE5">
        <w:instrText xml:space="preserve"> SEQ Table \* ARABIC </w:instrText>
      </w:r>
      <w:r w:rsidR="00AC4BE5">
        <w:fldChar w:fldCharType="separate"/>
      </w:r>
      <w:r w:rsidR="00AC4BE5">
        <w:rPr>
          <w:noProof/>
        </w:rPr>
        <w:t>33</w:t>
      </w:r>
      <w:r w:rsidR="00AC4BE5">
        <w:rPr>
          <w:noProof/>
        </w:rPr>
        <w:fldChar w:fldCharType="end"/>
      </w:r>
      <w:bookmarkEnd w:id="270"/>
      <w:r>
        <w:tab/>
      </w:r>
      <w:r w:rsidR="005B3CFD">
        <w:t>Analytical validity</w:t>
      </w:r>
      <w:r>
        <w:t xml:space="preserve"> of ovarian reserve markers using thresholds determin</w:t>
      </w:r>
      <w:r w:rsidR="007C7765">
        <w:t>ed</w:t>
      </w:r>
      <w:r>
        <w:t xml:space="preserve"> by ROC curve analysis</w:t>
      </w:r>
      <w:bookmarkEnd w:id="271"/>
    </w:p>
    <w:tbl>
      <w:tblPr>
        <w:tblStyle w:val="TableGrid8"/>
        <w:tblW w:w="0" w:type="auto"/>
        <w:tblLook w:val="04A0" w:firstRow="1" w:lastRow="0" w:firstColumn="1" w:lastColumn="0" w:noHBand="0" w:noVBand="1"/>
        <w:tblCaption w:val="AUC values from ROC analysis conducted by Su et al. (2011)"/>
        <w:tblDescription w:val="AUC values from ROC analysis conducted by Su et al. (2011)"/>
      </w:tblPr>
      <w:tblGrid>
        <w:gridCol w:w="1413"/>
        <w:gridCol w:w="2207"/>
        <w:gridCol w:w="1796"/>
        <w:gridCol w:w="1796"/>
        <w:gridCol w:w="1804"/>
      </w:tblGrid>
      <w:tr w:rsidR="00364786" w:rsidRPr="00DA1767" w14:paraId="517A66BB" w14:textId="77777777" w:rsidTr="00552E3D">
        <w:trPr>
          <w:tblHeader/>
        </w:trPr>
        <w:tc>
          <w:tcPr>
            <w:tcW w:w="1413" w:type="dxa"/>
          </w:tcPr>
          <w:p w14:paraId="35F5DFF3" w14:textId="6A9C6772" w:rsidR="00364786" w:rsidRPr="001B2A30" w:rsidRDefault="001B2A30" w:rsidP="001B2A30">
            <w:pPr>
              <w:pStyle w:val="Tabletext1"/>
              <w:rPr>
                <w:b/>
              </w:rPr>
            </w:pPr>
            <w:r>
              <w:rPr>
                <w:b/>
              </w:rPr>
              <w:t> </w:t>
            </w:r>
          </w:p>
        </w:tc>
        <w:tc>
          <w:tcPr>
            <w:tcW w:w="2207" w:type="dxa"/>
          </w:tcPr>
          <w:p w14:paraId="349D2DA4" w14:textId="11294F28" w:rsidR="00364786" w:rsidRPr="001B2A30" w:rsidRDefault="00364786" w:rsidP="001B2A30">
            <w:pPr>
              <w:pStyle w:val="Tabletext1"/>
              <w:rPr>
                <w:b/>
              </w:rPr>
            </w:pPr>
            <w:r w:rsidRPr="001B2A30">
              <w:rPr>
                <w:b/>
              </w:rPr>
              <w:t xml:space="preserve">AFC (total 2–10 mm) </w:t>
            </w:r>
            <w:r w:rsidR="003B42B2" w:rsidRPr="001B2A30">
              <w:rPr>
                <w:b/>
              </w:rPr>
              <w:t>&lt;</w:t>
            </w:r>
            <w:r w:rsidRPr="001B2A30">
              <w:rPr>
                <w:b/>
              </w:rPr>
              <w:t>1</w:t>
            </w:r>
          </w:p>
        </w:tc>
        <w:tc>
          <w:tcPr>
            <w:tcW w:w="1796" w:type="dxa"/>
          </w:tcPr>
          <w:p w14:paraId="0CECC78B" w14:textId="325544FB" w:rsidR="00364786" w:rsidRPr="001B2A30" w:rsidRDefault="00364786" w:rsidP="001B2A30">
            <w:pPr>
              <w:pStyle w:val="Tabletext1"/>
              <w:rPr>
                <w:b/>
              </w:rPr>
            </w:pPr>
            <w:r w:rsidRPr="001B2A30">
              <w:rPr>
                <w:b/>
              </w:rPr>
              <w:t xml:space="preserve">AMH </w:t>
            </w:r>
            <w:r w:rsidR="003B42B2" w:rsidRPr="001B2A30">
              <w:rPr>
                <w:b/>
              </w:rPr>
              <w:t>≤</w:t>
            </w:r>
            <w:r w:rsidRPr="001B2A30">
              <w:rPr>
                <w:b/>
              </w:rPr>
              <w:t>25 pg/mL</w:t>
            </w:r>
          </w:p>
        </w:tc>
        <w:tc>
          <w:tcPr>
            <w:tcW w:w="1796" w:type="dxa"/>
          </w:tcPr>
          <w:p w14:paraId="72AFE69A" w14:textId="71BC9A10" w:rsidR="00364786" w:rsidRPr="001B2A30" w:rsidRDefault="00364786" w:rsidP="001B2A30">
            <w:pPr>
              <w:pStyle w:val="Tabletext1"/>
              <w:rPr>
                <w:b/>
              </w:rPr>
            </w:pPr>
            <w:r w:rsidRPr="001B2A30">
              <w:rPr>
                <w:b/>
              </w:rPr>
              <w:t xml:space="preserve">FSH </w:t>
            </w:r>
            <w:r w:rsidR="003B42B2" w:rsidRPr="001B2A30">
              <w:rPr>
                <w:b/>
              </w:rPr>
              <w:t>≥</w:t>
            </w:r>
            <w:r w:rsidRPr="001B2A30">
              <w:rPr>
                <w:b/>
              </w:rPr>
              <w:t>40IU/L</w:t>
            </w:r>
          </w:p>
        </w:tc>
        <w:tc>
          <w:tcPr>
            <w:tcW w:w="1804" w:type="dxa"/>
          </w:tcPr>
          <w:p w14:paraId="612E8A3E" w14:textId="570141D8" w:rsidR="00364786" w:rsidRPr="001B2A30" w:rsidRDefault="00364786" w:rsidP="001B2A30">
            <w:pPr>
              <w:pStyle w:val="Tabletext1"/>
              <w:rPr>
                <w:b/>
              </w:rPr>
            </w:pPr>
            <w:r w:rsidRPr="001B2A30">
              <w:rPr>
                <w:b/>
              </w:rPr>
              <w:t xml:space="preserve">Inhibin B </w:t>
            </w:r>
            <w:r w:rsidR="003B42B2" w:rsidRPr="001B2A30">
              <w:rPr>
                <w:b/>
              </w:rPr>
              <w:t>≤</w:t>
            </w:r>
            <w:r w:rsidRPr="001B2A30">
              <w:rPr>
                <w:b/>
              </w:rPr>
              <w:t>5pg/</w:t>
            </w:r>
            <w:r w:rsidR="00023800" w:rsidRPr="001B2A30">
              <w:rPr>
                <w:b/>
              </w:rPr>
              <w:t>mL</w:t>
            </w:r>
          </w:p>
        </w:tc>
      </w:tr>
      <w:tr w:rsidR="00364786" w:rsidRPr="00DA1767" w14:paraId="5744BA0D" w14:textId="77777777" w:rsidTr="00A73F39">
        <w:tc>
          <w:tcPr>
            <w:tcW w:w="1413" w:type="dxa"/>
          </w:tcPr>
          <w:p w14:paraId="5FC3F796" w14:textId="77777777" w:rsidR="00364786" w:rsidRPr="00DA1767" w:rsidRDefault="00364786" w:rsidP="001B2A30">
            <w:pPr>
              <w:pStyle w:val="Tabletext1"/>
            </w:pPr>
            <w:r w:rsidRPr="00DA1767">
              <w:t>Specificity</w:t>
            </w:r>
          </w:p>
        </w:tc>
        <w:tc>
          <w:tcPr>
            <w:tcW w:w="2207" w:type="dxa"/>
          </w:tcPr>
          <w:p w14:paraId="7BFE25A8" w14:textId="77777777" w:rsidR="00364786" w:rsidRPr="00DA1767" w:rsidRDefault="00364786" w:rsidP="001B2A30">
            <w:pPr>
              <w:pStyle w:val="Tabletext1"/>
            </w:pPr>
            <w:r w:rsidRPr="00DA1767">
              <w:t>89%</w:t>
            </w:r>
          </w:p>
        </w:tc>
        <w:tc>
          <w:tcPr>
            <w:tcW w:w="1796" w:type="dxa"/>
          </w:tcPr>
          <w:p w14:paraId="5FF79B03" w14:textId="77777777" w:rsidR="00364786" w:rsidRPr="00DA1767" w:rsidRDefault="00364786" w:rsidP="001B2A30">
            <w:pPr>
              <w:pStyle w:val="Tabletext1"/>
            </w:pPr>
            <w:r w:rsidRPr="00DA1767">
              <w:t>60%</w:t>
            </w:r>
          </w:p>
        </w:tc>
        <w:tc>
          <w:tcPr>
            <w:tcW w:w="1796" w:type="dxa"/>
          </w:tcPr>
          <w:p w14:paraId="39029B08" w14:textId="77777777" w:rsidR="00364786" w:rsidRPr="00DA1767" w:rsidRDefault="00364786" w:rsidP="001B2A30">
            <w:pPr>
              <w:pStyle w:val="Tabletext1"/>
            </w:pPr>
            <w:r w:rsidRPr="00DA1767">
              <w:t>64%</w:t>
            </w:r>
          </w:p>
        </w:tc>
        <w:tc>
          <w:tcPr>
            <w:tcW w:w="1804" w:type="dxa"/>
          </w:tcPr>
          <w:p w14:paraId="34024CB0" w14:textId="77777777" w:rsidR="00364786" w:rsidRPr="00DA1767" w:rsidRDefault="00364786" w:rsidP="001B2A30">
            <w:pPr>
              <w:pStyle w:val="Tabletext1"/>
            </w:pPr>
            <w:r w:rsidRPr="00DA1767">
              <w:t>64%</w:t>
            </w:r>
          </w:p>
        </w:tc>
      </w:tr>
      <w:tr w:rsidR="00364786" w:rsidRPr="00DA1767" w14:paraId="1E13DBF7" w14:textId="77777777" w:rsidTr="00A73F39">
        <w:tc>
          <w:tcPr>
            <w:tcW w:w="1413" w:type="dxa"/>
          </w:tcPr>
          <w:p w14:paraId="02A274D2" w14:textId="77777777" w:rsidR="00364786" w:rsidRPr="00DA1767" w:rsidRDefault="00364786" w:rsidP="001B2A30">
            <w:pPr>
              <w:pStyle w:val="Tabletext1"/>
            </w:pPr>
            <w:r w:rsidRPr="00DA1767">
              <w:t>Sensitivity</w:t>
            </w:r>
          </w:p>
        </w:tc>
        <w:tc>
          <w:tcPr>
            <w:tcW w:w="2207" w:type="dxa"/>
          </w:tcPr>
          <w:p w14:paraId="2D684593" w14:textId="77777777" w:rsidR="00364786" w:rsidRPr="00DA1767" w:rsidRDefault="00364786" w:rsidP="001B2A30">
            <w:pPr>
              <w:pStyle w:val="Tabletext1"/>
            </w:pPr>
            <w:r w:rsidRPr="00DA1767">
              <w:t>79%</w:t>
            </w:r>
          </w:p>
        </w:tc>
        <w:tc>
          <w:tcPr>
            <w:tcW w:w="1796" w:type="dxa"/>
          </w:tcPr>
          <w:p w14:paraId="1441F578" w14:textId="77777777" w:rsidR="00364786" w:rsidRPr="00DA1767" w:rsidRDefault="00364786" w:rsidP="001B2A30">
            <w:pPr>
              <w:pStyle w:val="Tabletext1"/>
            </w:pPr>
            <w:r w:rsidRPr="00DA1767">
              <w:t>76%</w:t>
            </w:r>
          </w:p>
        </w:tc>
        <w:tc>
          <w:tcPr>
            <w:tcW w:w="1796" w:type="dxa"/>
          </w:tcPr>
          <w:p w14:paraId="4172B7A3" w14:textId="77777777" w:rsidR="00364786" w:rsidRPr="00DA1767" w:rsidRDefault="00364786" w:rsidP="001B2A30">
            <w:pPr>
              <w:pStyle w:val="Tabletext1"/>
            </w:pPr>
            <w:r w:rsidRPr="00DA1767">
              <w:t>78%</w:t>
            </w:r>
          </w:p>
        </w:tc>
        <w:tc>
          <w:tcPr>
            <w:tcW w:w="1804" w:type="dxa"/>
          </w:tcPr>
          <w:p w14:paraId="68FBC726" w14:textId="77777777" w:rsidR="00364786" w:rsidRPr="00DA1767" w:rsidRDefault="00364786" w:rsidP="001B2A30">
            <w:pPr>
              <w:pStyle w:val="Tabletext1"/>
            </w:pPr>
            <w:r w:rsidRPr="00DA1767">
              <w:t>54%</w:t>
            </w:r>
          </w:p>
        </w:tc>
      </w:tr>
    </w:tbl>
    <w:p w14:paraId="7AEA606E" w14:textId="77BEC691" w:rsidR="00364786" w:rsidRDefault="00364786" w:rsidP="00170274">
      <w:pPr>
        <w:pStyle w:val="Tablenotes0"/>
        <w:spacing w:after="0"/>
      </w:pPr>
      <w:r>
        <w:t xml:space="preserve">AFC = antral follicle count; </w:t>
      </w:r>
      <w:r w:rsidRPr="00A66569">
        <w:t>AMH = anti-Müllerian hormone; FSH = follicle</w:t>
      </w:r>
      <w:r w:rsidR="00DE6DD5">
        <w:t>-</w:t>
      </w:r>
      <w:r w:rsidRPr="00A66569">
        <w:t>stimulating hormone;</w:t>
      </w:r>
      <w:r>
        <w:t xml:space="preserve"> NPV = negative predictive value; PPV = positive predictive value; </w:t>
      </w:r>
      <w:r w:rsidRPr="00A66569">
        <w:t>ROC = receiver operator characteristic</w:t>
      </w:r>
    </w:p>
    <w:p w14:paraId="2F48C963" w14:textId="77777777" w:rsidR="00170274" w:rsidRDefault="00170274" w:rsidP="00170274">
      <w:pPr>
        <w:pStyle w:val="Tablenotes0"/>
        <w:spacing w:after="240"/>
      </w:pPr>
      <w:r>
        <w:t>Source: Su et al. (2011)</w:t>
      </w:r>
    </w:p>
    <w:p w14:paraId="085F0A15" w14:textId="77777777" w:rsidR="00364786" w:rsidRPr="00BA56CC" w:rsidRDefault="00364786" w:rsidP="00D366DE">
      <w:pPr>
        <w:pStyle w:val="Heading2"/>
        <w:numPr>
          <w:ilvl w:val="1"/>
          <w:numId w:val="21"/>
        </w:numPr>
      </w:pPr>
      <w:bookmarkStart w:id="272" w:name="_Toc502832937"/>
      <w:r w:rsidRPr="00BA56CC">
        <w:lastRenderedPageBreak/>
        <w:t>Extended assessment of reliability evidence</w:t>
      </w:r>
      <w:bookmarkEnd w:id="272"/>
    </w:p>
    <w:p w14:paraId="411278B5" w14:textId="4ECDD3D1" w:rsidR="00364786" w:rsidRPr="008A26FB" w:rsidRDefault="00364786" w:rsidP="00364786">
      <w:pPr>
        <w:jc w:val="both"/>
        <w:rPr>
          <w:szCs w:val="24"/>
        </w:rPr>
      </w:pPr>
      <w:r>
        <w:rPr>
          <w:szCs w:val="24"/>
        </w:rPr>
        <w:t xml:space="preserve">Two studies reported on the correlation between different AMH tests, which were calculated using </w:t>
      </w:r>
      <w:r w:rsidRPr="008A26FB">
        <w:rPr>
          <w:szCs w:val="24"/>
        </w:rPr>
        <w:t xml:space="preserve">Spearman’s rank correlation coefficient test. Su et al. (2014) compared the AMH Gen II ELISA, Ultrasensitive AMH ELISA and </w:t>
      </w:r>
      <w:r w:rsidR="000701EE">
        <w:rPr>
          <w:szCs w:val="24"/>
        </w:rPr>
        <w:t>pico</w:t>
      </w:r>
      <w:r w:rsidR="007B19A6">
        <w:rPr>
          <w:szCs w:val="24"/>
        </w:rPr>
        <w:t>-AMH ELISA tests, and d</w:t>
      </w:r>
      <w:r w:rsidRPr="008A26FB">
        <w:rPr>
          <w:szCs w:val="24"/>
        </w:rPr>
        <w:t xml:space="preserve">e Souza et al. (2015) compared the AMH Gen II ELISA and the Ansh Labs AMH ELISA tests. The correlations between the tests are shown in </w:t>
      </w:r>
      <w:r w:rsidRPr="008A26FB">
        <w:rPr>
          <w:szCs w:val="24"/>
        </w:rPr>
        <w:fldChar w:fldCharType="begin"/>
      </w:r>
      <w:r w:rsidRPr="008A26FB">
        <w:rPr>
          <w:szCs w:val="24"/>
        </w:rPr>
        <w:instrText xml:space="preserve"> REF _Ref494893080 \h </w:instrText>
      </w:r>
      <w:r w:rsidR="008A26FB">
        <w:rPr>
          <w:szCs w:val="24"/>
        </w:rPr>
        <w:instrText xml:space="preserve"> \* MERGEFORMAT </w:instrText>
      </w:r>
      <w:r w:rsidRPr="008A26FB">
        <w:rPr>
          <w:szCs w:val="24"/>
        </w:rPr>
      </w:r>
      <w:r w:rsidRPr="008A26FB">
        <w:rPr>
          <w:szCs w:val="24"/>
        </w:rPr>
        <w:fldChar w:fldCharType="separate"/>
      </w:r>
      <w:r w:rsidR="00AC4BE5">
        <w:t xml:space="preserve">Table </w:t>
      </w:r>
      <w:r w:rsidR="00AC4BE5">
        <w:rPr>
          <w:noProof/>
        </w:rPr>
        <w:t>34</w:t>
      </w:r>
      <w:r w:rsidRPr="008A26FB">
        <w:rPr>
          <w:szCs w:val="24"/>
        </w:rPr>
        <w:fldChar w:fldCharType="end"/>
      </w:r>
      <w:r w:rsidRPr="008A26FB">
        <w:rPr>
          <w:szCs w:val="24"/>
        </w:rPr>
        <w:t>. The median correlation for all four comparisons is 0.942 (</w:t>
      </w:r>
      <w:r w:rsidR="007B19A6">
        <w:rPr>
          <w:szCs w:val="24"/>
        </w:rPr>
        <w:t xml:space="preserve">range </w:t>
      </w:r>
      <w:r w:rsidRPr="008A26FB">
        <w:rPr>
          <w:szCs w:val="24"/>
        </w:rPr>
        <w:t>0.92–0.99). Thus, there is a high degree of correlation between these four tests.</w:t>
      </w:r>
    </w:p>
    <w:p w14:paraId="7CAD909E" w14:textId="2A994314" w:rsidR="00364786" w:rsidRPr="009A25BD" w:rsidRDefault="00364786" w:rsidP="00364786">
      <w:pPr>
        <w:contextualSpacing/>
        <w:jc w:val="both"/>
        <w:rPr>
          <w:szCs w:val="24"/>
        </w:rPr>
      </w:pPr>
      <w:r w:rsidRPr="008A26FB">
        <w:rPr>
          <w:szCs w:val="24"/>
        </w:rPr>
        <w:t xml:space="preserve">Su et al. </w:t>
      </w:r>
      <w:r w:rsidR="00A109BA">
        <w:rPr>
          <w:szCs w:val="24"/>
        </w:rPr>
        <w:fldChar w:fldCharType="begin"/>
      </w:r>
      <w:r w:rsidR="00577E24">
        <w:rPr>
          <w:szCs w:val="24"/>
        </w:rPr>
        <w:instrText xml:space="preserve"> ADDIN EN.CITE &lt;EndNote&gt;&lt;Cite ExcludeAuth="1"&gt;&lt;Author&gt;Su&lt;/Author&gt;&lt;Year&gt;2014&lt;/Year&gt;&lt;RecNum&gt;337&lt;/RecNum&gt;&lt;IDText&gt;1766-U352&lt;/IDText&gt;&lt;DisplayText&gt;(2014)&lt;/DisplayText&gt;&lt;record&gt;&lt;rec-number&gt;337&lt;/rec-number&gt;&lt;foreign-keys&gt;&lt;key app="EN" db-id="s2dftfxw1fvsr1efx58vfvxtvfwzxea0td02" timestamp="1511748097"&gt;337&lt;/key&gt;&lt;/foreign-keys&gt;&lt;ref-type name="Journal Article"&gt;17&lt;/ref-type&gt;&lt;contributors&gt;&lt;authors&gt;&lt;author&gt;Su, H. I.&lt;/author&gt;&lt;author&gt;Sammel, M. D.&lt;/author&gt;&lt;author&gt;Homer, M. V.&lt;/author&gt;&lt;author&gt;Bui, K.&lt;/author&gt;&lt;author&gt;Haunschild, C.&lt;/author&gt;&lt;author&gt;Stanczyk, F. Z.&lt;/author&gt;&lt;/authors&gt;&lt;/contributors&gt;&lt;titles&gt;&lt;title&gt;Comparability of antimullerian hormone levels among commercially available immunoassays&lt;/title&gt;&lt;secondary-title&gt;Fertility and Sterility&lt;/secondary-title&gt;&lt;/titles&gt;&lt;periodical&gt;&lt;full-title&gt;Fertility and Sterility&lt;/full-title&gt;&lt;/periodical&gt;&lt;pages&gt;1766-U352&lt;/pages&gt;&lt;volume&gt;101&lt;/volume&gt;&lt;number&gt;6&lt;/number&gt;&lt;keywords&gt;&lt;keyword&gt;Cesarean Section&lt;/keyword&gt;&lt;keyword&gt;Breast Neoplasms&lt;/keyword&gt;&lt;keyword&gt;Immunoassay&lt;/keyword&gt;&lt;/keywords&gt;&lt;dates&gt;&lt;year&gt;2014&lt;/year&gt;&lt;pub-dates&gt;&lt;date&gt;2014-1-1&lt;/date&gt;&lt;/pub-dates&gt;&lt;/dates&gt;&lt;isbn&gt;0015-0282&lt;/isbn&gt;&lt;accession-num&gt;rayyan-6678847&lt;/accession-num&gt;&lt;urls&gt;&lt;related-urls&gt;&lt;url&gt;&amp;lt;Go to ISI&amp;gt;://WOS:000337364300050&lt;/url&gt;&lt;url&gt;https://www.ncbi.nlm.nih.gov/pmc/articles/PMC4334563/pdf/nihms663264.pdf&lt;/url&gt;&lt;/related-urls&gt;&lt;/urls&gt;&lt;custom1&gt;RAYYAN-INCLUSION: {&amp;quot;Sharon&amp;quot;=&amp;gt;true, &amp;quot;Joanne&amp;quot;=&amp;gt;true}&lt;/custom1&gt;&lt;/record&gt;&lt;/Cite&gt;&lt;/EndNote&gt;</w:instrText>
      </w:r>
      <w:r w:rsidR="00A109BA">
        <w:rPr>
          <w:szCs w:val="24"/>
        </w:rPr>
        <w:fldChar w:fldCharType="separate"/>
      </w:r>
      <w:r w:rsidR="00A109BA">
        <w:rPr>
          <w:noProof/>
          <w:szCs w:val="24"/>
        </w:rPr>
        <w:t>(</w:t>
      </w:r>
      <w:hyperlink w:anchor="_ENREF_67" w:tooltip="Su, 2014 #337" w:history="1">
        <w:r w:rsidR="00835BA6">
          <w:rPr>
            <w:noProof/>
            <w:szCs w:val="24"/>
          </w:rPr>
          <w:t>2014</w:t>
        </w:r>
      </w:hyperlink>
      <w:r w:rsidR="00A109BA">
        <w:rPr>
          <w:noProof/>
          <w:szCs w:val="24"/>
        </w:rPr>
        <w:t>)</w:t>
      </w:r>
      <w:r w:rsidR="00A109BA">
        <w:rPr>
          <w:szCs w:val="24"/>
        </w:rPr>
        <w:fldChar w:fldCharType="end"/>
      </w:r>
      <w:r w:rsidRPr="008A26FB">
        <w:rPr>
          <w:szCs w:val="24"/>
        </w:rPr>
        <w:t xml:space="preserve"> reported a systematic bias between the assays that should be taken into account when converting AMH values between assays. They reported that a measurement of 1.0 ng/mL by the</w:t>
      </w:r>
      <w:r w:rsidRPr="001A3DDE">
        <w:rPr>
          <w:szCs w:val="24"/>
        </w:rPr>
        <w:t xml:space="preserve"> </w:t>
      </w:r>
      <w:r w:rsidRPr="009A25BD">
        <w:rPr>
          <w:szCs w:val="24"/>
        </w:rPr>
        <w:t xml:space="preserve">AMH Gen II ELISA </w:t>
      </w:r>
      <w:r w:rsidRPr="001A3DDE">
        <w:rPr>
          <w:szCs w:val="24"/>
        </w:rPr>
        <w:t xml:space="preserve">would </w:t>
      </w:r>
      <w:r w:rsidR="007B19A6">
        <w:rPr>
          <w:szCs w:val="24"/>
        </w:rPr>
        <w:t>correspond</w:t>
      </w:r>
      <w:r w:rsidRPr="001A3DDE">
        <w:rPr>
          <w:szCs w:val="24"/>
        </w:rPr>
        <w:t xml:space="preserve"> to</w:t>
      </w:r>
      <w:r>
        <w:rPr>
          <w:szCs w:val="24"/>
        </w:rPr>
        <w:t xml:space="preserve"> 1</w:t>
      </w:r>
      <w:r w:rsidRPr="009A25BD">
        <w:rPr>
          <w:szCs w:val="24"/>
        </w:rPr>
        <w:t xml:space="preserve">.94 ng/mL </w:t>
      </w:r>
      <w:r>
        <w:rPr>
          <w:szCs w:val="24"/>
        </w:rPr>
        <w:t xml:space="preserve">when using the </w:t>
      </w:r>
      <w:r w:rsidRPr="009A25BD">
        <w:rPr>
          <w:szCs w:val="24"/>
        </w:rPr>
        <w:t>Ultrasensitive AMH ELISA</w:t>
      </w:r>
      <w:r>
        <w:rPr>
          <w:szCs w:val="24"/>
        </w:rPr>
        <w:t>, and 1</w:t>
      </w:r>
      <w:r w:rsidRPr="009A25BD">
        <w:rPr>
          <w:szCs w:val="24"/>
        </w:rPr>
        <w:t>.77 ng/mL</w:t>
      </w:r>
      <w:r>
        <w:rPr>
          <w:szCs w:val="24"/>
        </w:rPr>
        <w:t xml:space="preserve"> when using the </w:t>
      </w:r>
      <w:r w:rsidR="000B0305">
        <w:rPr>
          <w:szCs w:val="24"/>
        </w:rPr>
        <w:t>p</w:t>
      </w:r>
      <w:r w:rsidR="000B0305" w:rsidRPr="009A25BD">
        <w:rPr>
          <w:szCs w:val="24"/>
        </w:rPr>
        <w:t>ico</w:t>
      </w:r>
      <w:r>
        <w:rPr>
          <w:szCs w:val="24"/>
        </w:rPr>
        <w:t>-</w:t>
      </w:r>
      <w:r w:rsidRPr="009A25BD">
        <w:rPr>
          <w:szCs w:val="24"/>
        </w:rPr>
        <w:t xml:space="preserve">AMH </w:t>
      </w:r>
      <w:r>
        <w:rPr>
          <w:szCs w:val="24"/>
        </w:rPr>
        <w:t>ELISA.</w:t>
      </w:r>
    </w:p>
    <w:p w14:paraId="2991E793" w14:textId="77777777" w:rsidR="00364786" w:rsidRPr="007F618E" w:rsidRDefault="00364786" w:rsidP="00364786">
      <w:pPr>
        <w:pStyle w:val="TableHeading"/>
        <w:rPr>
          <w:lang w:eastAsia="en-US"/>
        </w:rPr>
      </w:pPr>
      <w:bookmarkStart w:id="273" w:name="_Ref494893080"/>
      <w:bookmarkStart w:id="274" w:name="_Toc502833052"/>
      <w:r>
        <w:t xml:space="preserve">Table </w:t>
      </w:r>
      <w:r w:rsidR="00AC4BE5">
        <w:fldChar w:fldCharType="begin"/>
      </w:r>
      <w:r w:rsidR="00AC4BE5">
        <w:instrText xml:space="preserve"> SEQ Table \* ARABIC </w:instrText>
      </w:r>
      <w:r w:rsidR="00AC4BE5">
        <w:fldChar w:fldCharType="separate"/>
      </w:r>
      <w:r w:rsidR="00AC4BE5">
        <w:rPr>
          <w:noProof/>
        </w:rPr>
        <w:t>34</w:t>
      </w:r>
      <w:r w:rsidR="00AC4BE5">
        <w:rPr>
          <w:noProof/>
        </w:rPr>
        <w:fldChar w:fldCharType="end"/>
      </w:r>
      <w:bookmarkEnd w:id="273"/>
      <w:r>
        <w:tab/>
      </w:r>
      <w:r w:rsidRPr="00314D1A">
        <w:t xml:space="preserve">Spearman’s rank </w:t>
      </w:r>
      <w:r>
        <w:rPr>
          <w:lang w:eastAsia="en-US"/>
        </w:rPr>
        <w:t>correlation between two AMH assays</w:t>
      </w:r>
      <w:bookmarkEnd w:id="274"/>
    </w:p>
    <w:tbl>
      <w:tblPr>
        <w:tblStyle w:val="TableGrid9"/>
        <w:tblW w:w="0" w:type="auto"/>
        <w:tblLook w:val="04A0" w:firstRow="1" w:lastRow="0" w:firstColumn="1" w:lastColumn="0" w:noHBand="0" w:noVBand="1"/>
        <w:tblCaption w:val="AUC values from ROC analysis conducted by Su et al. (2011)"/>
        <w:tblDescription w:val="AUC values from ROC analysis conducted by Su et al. (2011)"/>
      </w:tblPr>
      <w:tblGrid>
        <w:gridCol w:w="3255"/>
        <w:gridCol w:w="3543"/>
        <w:gridCol w:w="2218"/>
      </w:tblGrid>
      <w:tr w:rsidR="00364786" w:rsidRPr="007F618E" w14:paraId="24624925" w14:textId="77777777" w:rsidTr="00E85338">
        <w:trPr>
          <w:tblHeader/>
        </w:trPr>
        <w:tc>
          <w:tcPr>
            <w:tcW w:w="3255" w:type="dxa"/>
          </w:tcPr>
          <w:p w14:paraId="5D6DB4B6" w14:textId="77777777" w:rsidR="00364786" w:rsidRPr="00B7183E" w:rsidRDefault="00364786" w:rsidP="00B7183E">
            <w:pPr>
              <w:pStyle w:val="Tabletext1"/>
              <w:rPr>
                <w:b/>
              </w:rPr>
            </w:pPr>
            <w:r w:rsidRPr="00B7183E">
              <w:rPr>
                <w:b/>
              </w:rPr>
              <w:t>Study, comparison</w:t>
            </w:r>
          </w:p>
        </w:tc>
        <w:tc>
          <w:tcPr>
            <w:tcW w:w="3543" w:type="dxa"/>
          </w:tcPr>
          <w:p w14:paraId="54BAA0CD" w14:textId="77777777" w:rsidR="00364786" w:rsidRPr="00B7183E" w:rsidRDefault="00364786" w:rsidP="00B7183E">
            <w:pPr>
              <w:pStyle w:val="Tabletext1"/>
              <w:rPr>
                <w:b/>
              </w:rPr>
            </w:pPr>
            <w:r w:rsidRPr="00B7183E">
              <w:rPr>
                <w:b/>
              </w:rPr>
              <w:t>Population</w:t>
            </w:r>
          </w:p>
        </w:tc>
        <w:tc>
          <w:tcPr>
            <w:tcW w:w="2218" w:type="dxa"/>
          </w:tcPr>
          <w:p w14:paraId="16B7CDE3" w14:textId="77777777" w:rsidR="00364786" w:rsidRPr="00B7183E" w:rsidRDefault="00364786" w:rsidP="00B7183E">
            <w:pPr>
              <w:pStyle w:val="Tabletext1"/>
              <w:rPr>
                <w:b/>
              </w:rPr>
            </w:pPr>
            <w:r w:rsidRPr="00B7183E">
              <w:rPr>
                <w:b/>
              </w:rPr>
              <w:t>Correlation</w:t>
            </w:r>
          </w:p>
        </w:tc>
      </w:tr>
      <w:tr w:rsidR="00364786" w:rsidRPr="007F618E" w14:paraId="459111AC" w14:textId="77777777" w:rsidTr="00A73F39">
        <w:tc>
          <w:tcPr>
            <w:tcW w:w="3255" w:type="dxa"/>
          </w:tcPr>
          <w:p w14:paraId="699CD573" w14:textId="77777777" w:rsidR="00364786" w:rsidRPr="007F618E" w:rsidRDefault="00364786" w:rsidP="00B7183E">
            <w:pPr>
              <w:pStyle w:val="Tabletext1"/>
            </w:pPr>
            <w:r w:rsidRPr="007F618E">
              <w:t>de Souza et al. (2015)</w:t>
            </w:r>
          </w:p>
          <w:p w14:paraId="40B581C8" w14:textId="77777777" w:rsidR="00364786" w:rsidRDefault="00364786" w:rsidP="00B7183E">
            <w:pPr>
              <w:pStyle w:val="Tabletext1"/>
            </w:pPr>
            <w:r w:rsidRPr="007F618E">
              <w:t xml:space="preserve">AMH Gen II ELISA </w:t>
            </w:r>
            <w:r>
              <w:t>versus</w:t>
            </w:r>
          </w:p>
          <w:p w14:paraId="0E40A9CE" w14:textId="77777777" w:rsidR="00364786" w:rsidRPr="007F618E" w:rsidRDefault="00364786" w:rsidP="00B7183E">
            <w:pPr>
              <w:pStyle w:val="Tabletext1"/>
            </w:pPr>
            <w:r w:rsidRPr="007F618E">
              <w:t>Ansh Labs AMH ELISA</w:t>
            </w:r>
          </w:p>
        </w:tc>
        <w:tc>
          <w:tcPr>
            <w:tcW w:w="3543" w:type="dxa"/>
          </w:tcPr>
          <w:p w14:paraId="61BEF6A3" w14:textId="1731CA31" w:rsidR="00364786" w:rsidRPr="007F618E" w:rsidRDefault="00364786" w:rsidP="00B7183E">
            <w:pPr>
              <w:pStyle w:val="Tabletext1"/>
            </w:pPr>
            <w:r w:rsidRPr="007F618E">
              <w:t xml:space="preserve">8 female polymyositis patients </w:t>
            </w:r>
            <w:r w:rsidR="006F4102">
              <w:t>being treated or previously treated</w:t>
            </w:r>
            <w:r w:rsidRPr="007F618E">
              <w:t xml:space="preserve"> with immunosuppressive agents and corticosteroids</w:t>
            </w:r>
          </w:p>
        </w:tc>
        <w:tc>
          <w:tcPr>
            <w:tcW w:w="2218" w:type="dxa"/>
          </w:tcPr>
          <w:p w14:paraId="7608AAE5" w14:textId="29E3CB62" w:rsidR="00364786" w:rsidRPr="007F618E" w:rsidRDefault="00364786" w:rsidP="00B7183E">
            <w:pPr>
              <w:pStyle w:val="Tabletext1"/>
            </w:pPr>
            <w:r w:rsidRPr="007F618E">
              <w:t>rho</w:t>
            </w:r>
            <w:r w:rsidR="00EB382C">
              <w:t>=</w:t>
            </w:r>
            <w:r w:rsidR="00F4539F">
              <w:t>0.964;</w:t>
            </w:r>
            <w:r w:rsidRPr="007F618E">
              <w:t xml:space="preserve"> p&lt;0.0001</w:t>
            </w:r>
          </w:p>
        </w:tc>
      </w:tr>
      <w:tr w:rsidR="00364786" w:rsidRPr="007F618E" w14:paraId="575BB98E" w14:textId="77777777" w:rsidTr="00A73F39">
        <w:tc>
          <w:tcPr>
            <w:tcW w:w="3255" w:type="dxa"/>
          </w:tcPr>
          <w:p w14:paraId="695FBE56" w14:textId="77777777" w:rsidR="00364786" w:rsidRPr="007F618E" w:rsidRDefault="00364786" w:rsidP="00B7183E">
            <w:pPr>
              <w:pStyle w:val="Tabletext1"/>
            </w:pPr>
            <w:r w:rsidRPr="007F618E">
              <w:t>Su et al. (2014)</w:t>
            </w:r>
          </w:p>
          <w:p w14:paraId="1915D4B1" w14:textId="77777777" w:rsidR="00364786" w:rsidRDefault="00364786" w:rsidP="00B7183E">
            <w:pPr>
              <w:pStyle w:val="Tabletext1"/>
            </w:pPr>
            <w:r w:rsidRPr="007F618E">
              <w:t>AMH Gen II ELISA versus</w:t>
            </w:r>
          </w:p>
          <w:p w14:paraId="758D4FE8" w14:textId="77777777" w:rsidR="00364786" w:rsidRPr="007F618E" w:rsidRDefault="00364786" w:rsidP="00B7183E">
            <w:pPr>
              <w:pStyle w:val="Tabletext1"/>
            </w:pPr>
            <w:r w:rsidRPr="007F618E">
              <w:t>Ultrasensitive AMH ELISA</w:t>
            </w:r>
          </w:p>
        </w:tc>
        <w:tc>
          <w:tcPr>
            <w:tcW w:w="3543" w:type="dxa"/>
          </w:tcPr>
          <w:p w14:paraId="493F6DAB" w14:textId="77777777" w:rsidR="00364786" w:rsidRPr="007F618E" w:rsidRDefault="00364786" w:rsidP="00B7183E">
            <w:pPr>
              <w:pStyle w:val="Tabletext1"/>
            </w:pPr>
            <w:r w:rsidRPr="007F618E">
              <w:t>90 newly diagnosed breast cancer patients prior to cancer treatment</w:t>
            </w:r>
          </w:p>
        </w:tc>
        <w:tc>
          <w:tcPr>
            <w:tcW w:w="2218" w:type="dxa"/>
          </w:tcPr>
          <w:p w14:paraId="215F12AA" w14:textId="43951FBB" w:rsidR="00364786" w:rsidRPr="007F618E" w:rsidRDefault="00364786" w:rsidP="00B7183E">
            <w:pPr>
              <w:pStyle w:val="Tabletext1"/>
            </w:pPr>
            <w:r w:rsidRPr="007F618E">
              <w:t>rho</w:t>
            </w:r>
            <w:r w:rsidR="00EB382C">
              <w:t>=</w:t>
            </w:r>
            <w:r w:rsidR="00F4539F">
              <w:t>0.92;</w:t>
            </w:r>
            <w:r w:rsidRPr="007F618E">
              <w:t xml:space="preserve"> p&lt;0.001</w:t>
            </w:r>
          </w:p>
        </w:tc>
      </w:tr>
      <w:tr w:rsidR="00364786" w:rsidRPr="007F618E" w14:paraId="225DB1A3" w14:textId="77777777" w:rsidTr="00A73F39">
        <w:tc>
          <w:tcPr>
            <w:tcW w:w="3255" w:type="dxa"/>
          </w:tcPr>
          <w:p w14:paraId="74EA6675" w14:textId="77777777" w:rsidR="00364786" w:rsidRPr="007F618E" w:rsidRDefault="00364786" w:rsidP="00B7183E">
            <w:pPr>
              <w:pStyle w:val="Tabletext1"/>
            </w:pPr>
            <w:r w:rsidRPr="007F618E">
              <w:t>Su et al. (2014)</w:t>
            </w:r>
          </w:p>
          <w:p w14:paraId="5F698998" w14:textId="77777777" w:rsidR="00364786" w:rsidRDefault="00364786" w:rsidP="00B7183E">
            <w:pPr>
              <w:pStyle w:val="Tabletext1"/>
            </w:pPr>
            <w:r w:rsidRPr="007F618E">
              <w:t>AMH Gen II ELISA versus</w:t>
            </w:r>
          </w:p>
          <w:p w14:paraId="6ED0660E" w14:textId="08598D10" w:rsidR="00364786" w:rsidRPr="007F618E" w:rsidRDefault="000B0305" w:rsidP="00B7183E">
            <w:pPr>
              <w:pStyle w:val="Tabletext1"/>
            </w:pPr>
            <w:r>
              <w:t>p</w:t>
            </w:r>
            <w:r w:rsidRPr="007F618E">
              <w:t>ico</w:t>
            </w:r>
            <w:r w:rsidR="00364786" w:rsidRPr="007F618E">
              <w:t>-AMH ELISA</w:t>
            </w:r>
          </w:p>
        </w:tc>
        <w:tc>
          <w:tcPr>
            <w:tcW w:w="3543" w:type="dxa"/>
          </w:tcPr>
          <w:p w14:paraId="4BE81F1F" w14:textId="77777777" w:rsidR="00364786" w:rsidRPr="007F618E" w:rsidRDefault="00364786" w:rsidP="00B7183E">
            <w:pPr>
              <w:pStyle w:val="Tabletext1"/>
            </w:pPr>
            <w:r w:rsidRPr="007F618E">
              <w:t>90 newly diagnosed breast cancer patients prior to cancer treatment</w:t>
            </w:r>
          </w:p>
        </w:tc>
        <w:tc>
          <w:tcPr>
            <w:tcW w:w="2218" w:type="dxa"/>
          </w:tcPr>
          <w:p w14:paraId="22FEC1CE" w14:textId="487B7C58" w:rsidR="00364786" w:rsidRPr="007F618E" w:rsidRDefault="00364786" w:rsidP="00B7183E">
            <w:pPr>
              <w:pStyle w:val="Tabletext1"/>
            </w:pPr>
            <w:r w:rsidRPr="007F618E">
              <w:t>rho</w:t>
            </w:r>
            <w:r w:rsidR="00EB382C">
              <w:t>=</w:t>
            </w:r>
            <w:r w:rsidR="00F4539F">
              <w:t>0.92;</w:t>
            </w:r>
            <w:r w:rsidRPr="007F618E">
              <w:t xml:space="preserve"> p&lt;0.001</w:t>
            </w:r>
          </w:p>
        </w:tc>
      </w:tr>
      <w:tr w:rsidR="00364786" w:rsidRPr="007F618E" w14:paraId="617D6BD8" w14:textId="77777777" w:rsidTr="00A73F39">
        <w:tc>
          <w:tcPr>
            <w:tcW w:w="3255" w:type="dxa"/>
          </w:tcPr>
          <w:p w14:paraId="7F747DB9" w14:textId="77777777" w:rsidR="00364786" w:rsidRPr="007F618E" w:rsidRDefault="00364786" w:rsidP="00B7183E">
            <w:pPr>
              <w:pStyle w:val="Tabletext1"/>
            </w:pPr>
            <w:r w:rsidRPr="007F618E">
              <w:t>Su et al. (2014)</w:t>
            </w:r>
          </w:p>
          <w:p w14:paraId="3308154C" w14:textId="77777777" w:rsidR="00364786" w:rsidRDefault="00364786" w:rsidP="00B7183E">
            <w:pPr>
              <w:pStyle w:val="Tabletext1"/>
            </w:pPr>
            <w:r w:rsidRPr="007F618E">
              <w:t xml:space="preserve">Ultrasensitive AMH ELISA </w:t>
            </w:r>
            <w:r>
              <w:t>versus</w:t>
            </w:r>
          </w:p>
          <w:p w14:paraId="5825DE72" w14:textId="6E856278" w:rsidR="00364786" w:rsidRPr="007F618E" w:rsidRDefault="000B0305" w:rsidP="00B7183E">
            <w:pPr>
              <w:pStyle w:val="Tabletext1"/>
            </w:pPr>
            <w:r>
              <w:t>p</w:t>
            </w:r>
            <w:r w:rsidRPr="007F618E">
              <w:t>ico</w:t>
            </w:r>
            <w:r w:rsidR="00364786" w:rsidRPr="007F618E">
              <w:t>-AMH ELISA</w:t>
            </w:r>
          </w:p>
        </w:tc>
        <w:tc>
          <w:tcPr>
            <w:tcW w:w="3543" w:type="dxa"/>
          </w:tcPr>
          <w:p w14:paraId="3FD3B373" w14:textId="77777777" w:rsidR="00364786" w:rsidRPr="007F618E" w:rsidRDefault="00364786" w:rsidP="00B7183E">
            <w:pPr>
              <w:pStyle w:val="Tabletext1"/>
            </w:pPr>
            <w:r w:rsidRPr="007F618E">
              <w:t>90 newly diagnosed breast cancer patients prior to cancer treatment</w:t>
            </w:r>
          </w:p>
        </w:tc>
        <w:tc>
          <w:tcPr>
            <w:tcW w:w="2218" w:type="dxa"/>
          </w:tcPr>
          <w:p w14:paraId="37981C2B" w14:textId="67918237" w:rsidR="00364786" w:rsidRPr="007F618E" w:rsidRDefault="00364786" w:rsidP="00B7183E">
            <w:pPr>
              <w:pStyle w:val="Tabletext1"/>
            </w:pPr>
            <w:r w:rsidRPr="007F618E">
              <w:t>rho</w:t>
            </w:r>
            <w:r w:rsidR="00EB382C">
              <w:t>=</w:t>
            </w:r>
            <w:r w:rsidR="00F4539F">
              <w:t>0.99;</w:t>
            </w:r>
            <w:r w:rsidRPr="007F618E">
              <w:t xml:space="preserve"> p&lt;0.001</w:t>
            </w:r>
          </w:p>
        </w:tc>
      </w:tr>
    </w:tbl>
    <w:p w14:paraId="239F2F96" w14:textId="77777777" w:rsidR="00364786" w:rsidRDefault="00364786" w:rsidP="00364786">
      <w:pPr>
        <w:pStyle w:val="Tablenotes0"/>
      </w:pPr>
      <w:r>
        <w:t xml:space="preserve">AMH </w:t>
      </w:r>
      <w:r w:rsidRPr="00C41885">
        <w:t>= anti-</w:t>
      </w:r>
      <w:r w:rsidRPr="00704940">
        <w:t>Müllerian</w:t>
      </w:r>
      <w:r>
        <w:t xml:space="preserve"> </w:t>
      </w:r>
      <w:r w:rsidRPr="00C41885">
        <w:t>hormone;</w:t>
      </w:r>
      <w:r>
        <w:t xml:space="preserve"> ELISA = </w:t>
      </w:r>
      <w:r w:rsidRPr="00C41885">
        <w:t>enzyme-linked immunosorbent assay</w:t>
      </w:r>
    </w:p>
    <w:p w14:paraId="1487B2C0" w14:textId="77777777" w:rsidR="00364786" w:rsidRPr="00BA56CC" w:rsidRDefault="00364786" w:rsidP="00D366DE">
      <w:pPr>
        <w:pStyle w:val="Heading2"/>
        <w:numPr>
          <w:ilvl w:val="1"/>
          <w:numId w:val="21"/>
        </w:numPr>
      </w:pPr>
      <w:bookmarkStart w:id="275" w:name="_Toc502832938"/>
      <w:r w:rsidRPr="00BA56CC">
        <w:t>Concordance analysis</w:t>
      </w:r>
      <w:bookmarkEnd w:id="275"/>
    </w:p>
    <w:p w14:paraId="34E13AD4" w14:textId="40AE816D" w:rsidR="00364786" w:rsidRDefault="00364786" w:rsidP="00364786">
      <w:pPr>
        <w:pStyle w:val="Heading3"/>
      </w:pPr>
      <w:bookmarkStart w:id="276" w:name="_Toc502832939"/>
      <w:r>
        <w:t>Overall per</w:t>
      </w:r>
      <w:r w:rsidR="00B169D7">
        <w:t> </w:t>
      </w:r>
      <w:r>
        <w:t>cent agreement</w:t>
      </w:r>
      <w:bookmarkEnd w:id="276"/>
    </w:p>
    <w:p w14:paraId="1963337A" w14:textId="048A939E" w:rsidR="007518CF" w:rsidRDefault="00364786" w:rsidP="00364786">
      <w:pPr>
        <w:jc w:val="both"/>
        <w:rPr>
          <w:color w:val="000000" w:themeColor="text1"/>
        </w:rPr>
      </w:pPr>
      <w:r w:rsidRPr="008A26FB">
        <w:rPr>
          <w:color w:val="000000" w:themeColor="text1"/>
        </w:rPr>
        <w:t xml:space="preserve">Miyoshi et al. (2013) provided </w:t>
      </w:r>
      <w:r w:rsidR="008308DE" w:rsidRPr="008308DE">
        <w:rPr>
          <w:color w:val="000000" w:themeColor="text1"/>
        </w:rPr>
        <w:t>2 × 2</w:t>
      </w:r>
      <w:r w:rsidRPr="008A26FB">
        <w:rPr>
          <w:color w:val="000000" w:themeColor="text1"/>
        </w:rPr>
        <w:t xml:space="preserve"> data on the concordance of the EIA AMH/MIS ELISA and the Access</w:t>
      </w:r>
      <w:r w:rsidRPr="0021475B">
        <w:rPr>
          <w:color w:val="000000" w:themeColor="text1"/>
        </w:rPr>
        <w:t xml:space="preserve"> FSH chemiluminescent </w:t>
      </w:r>
      <w:r>
        <w:rPr>
          <w:color w:val="000000" w:themeColor="text1"/>
        </w:rPr>
        <w:t xml:space="preserve">EIA tests to detect patients with low AMH and high FSH values in </w:t>
      </w:r>
      <w:r w:rsidRPr="0021475B">
        <w:rPr>
          <w:color w:val="000000" w:themeColor="text1"/>
        </w:rPr>
        <w:t>53 female childhood cancer survivors</w:t>
      </w:r>
      <w:r>
        <w:rPr>
          <w:color w:val="000000" w:themeColor="text1"/>
        </w:rPr>
        <w:t xml:space="preserve"> (</w:t>
      </w:r>
      <w:r>
        <w:rPr>
          <w:color w:val="000000" w:themeColor="text1"/>
        </w:rPr>
        <w:fldChar w:fldCharType="begin"/>
      </w:r>
      <w:r>
        <w:rPr>
          <w:color w:val="000000" w:themeColor="text1"/>
        </w:rPr>
        <w:instrText xml:space="preserve"> REF _Ref494899748 \h </w:instrText>
      </w:r>
      <w:r>
        <w:rPr>
          <w:color w:val="000000" w:themeColor="text1"/>
        </w:rPr>
      </w:r>
      <w:r>
        <w:rPr>
          <w:color w:val="000000" w:themeColor="text1"/>
        </w:rPr>
        <w:fldChar w:fldCharType="separate"/>
      </w:r>
      <w:r w:rsidR="00AC4BE5" w:rsidRPr="008A26FB">
        <w:t xml:space="preserve">Table </w:t>
      </w:r>
      <w:r w:rsidR="00AC4BE5">
        <w:rPr>
          <w:noProof/>
        </w:rPr>
        <w:t>35</w:t>
      </w:r>
      <w:r>
        <w:rPr>
          <w:color w:val="000000" w:themeColor="text1"/>
        </w:rPr>
        <w:fldChar w:fldCharType="end"/>
      </w:r>
      <w:r>
        <w:rPr>
          <w:color w:val="000000" w:themeColor="text1"/>
        </w:rPr>
        <w:t>). Sixteen women had high FSH levels and 28 had low AMH levels</w:t>
      </w:r>
      <w:r w:rsidR="00A949E0">
        <w:rPr>
          <w:color w:val="000000" w:themeColor="text1"/>
        </w:rPr>
        <w:t xml:space="preserve"> (i.e. </w:t>
      </w:r>
      <w:r w:rsidR="003B42B2">
        <w:rPr>
          <w:color w:val="000000" w:themeColor="text1"/>
        </w:rPr>
        <w:t>&lt;</w:t>
      </w:r>
      <w:r w:rsidR="00A949E0">
        <w:rPr>
          <w:color w:val="000000" w:themeColor="text1"/>
        </w:rPr>
        <w:t>5 pmol/L)</w:t>
      </w:r>
      <w:r>
        <w:rPr>
          <w:color w:val="000000" w:themeColor="text1"/>
        </w:rPr>
        <w:t>. The overall, positive and negative per</w:t>
      </w:r>
      <w:r w:rsidR="00B169D7">
        <w:rPr>
          <w:color w:val="000000" w:themeColor="text1"/>
        </w:rPr>
        <w:t> </w:t>
      </w:r>
      <w:r>
        <w:rPr>
          <w:color w:val="000000" w:themeColor="text1"/>
        </w:rPr>
        <w:t>cent agreements between low AMH and high FSH levels were 77.4%, 57.1% and 67.6%, respectively.</w:t>
      </w:r>
    </w:p>
    <w:p w14:paraId="2C8552F9" w14:textId="6847A193" w:rsidR="00364786" w:rsidRPr="0021475B" w:rsidRDefault="00364786" w:rsidP="00364786">
      <w:pPr>
        <w:pStyle w:val="TableHeading"/>
        <w:rPr>
          <w:color w:val="000000" w:themeColor="text1"/>
        </w:rPr>
      </w:pPr>
      <w:bookmarkStart w:id="277" w:name="_Ref494899748"/>
      <w:bookmarkStart w:id="278" w:name="_Toc502833053"/>
      <w:r w:rsidRPr="008A26FB">
        <w:lastRenderedPageBreak/>
        <w:t xml:space="preserve">Table </w:t>
      </w:r>
      <w:r w:rsidR="00AC4BE5">
        <w:fldChar w:fldCharType="begin"/>
      </w:r>
      <w:r w:rsidR="00AC4BE5">
        <w:instrText xml:space="preserve"> SEQ Table \* ARABIC </w:instrText>
      </w:r>
      <w:r w:rsidR="00AC4BE5">
        <w:fldChar w:fldCharType="separate"/>
      </w:r>
      <w:r w:rsidR="00AC4BE5">
        <w:rPr>
          <w:noProof/>
        </w:rPr>
        <w:t>35</w:t>
      </w:r>
      <w:r w:rsidR="00AC4BE5">
        <w:rPr>
          <w:noProof/>
        </w:rPr>
        <w:fldChar w:fldCharType="end"/>
      </w:r>
      <w:bookmarkEnd w:id="277"/>
      <w:r w:rsidRPr="008A26FB">
        <w:tab/>
      </w:r>
      <w:r w:rsidR="008308DE" w:rsidRPr="008308DE">
        <w:t>2 × 2</w:t>
      </w:r>
      <w:r w:rsidRPr="008A26FB">
        <w:t xml:space="preserve"> concordance data from Miyoshi at al. (2013)</w:t>
      </w:r>
      <w:bookmarkEnd w:id="278"/>
    </w:p>
    <w:tbl>
      <w:tblPr>
        <w:tblStyle w:val="TableGrid1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 × 2 concordance data from Miyoshi at al. (2013) "/>
        <w:tblDescription w:val="2 × 2 concordance data from Miyoshi at al. (2013) "/>
      </w:tblPr>
      <w:tblGrid>
        <w:gridCol w:w="1560"/>
        <w:gridCol w:w="1275"/>
        <w:gridCol w:w="1560"/>
        <w:gridCol w:w="992"/>
        <w:gridCol w:w="3685"/>
      </w:tblGrid>
      <w:tr w:rsidR="00364786" w:rsidRPr="00D976FC" w14:paraId="531A081B" w14:textId="77777777" w:rsidTr="00C22CC2">
        <w:trPr>
          <w:tblHeader/>
        </w:trPr>
        <w:tc>
          <w:tcPr>
            <w:tcW w:w="1560" w:type="dxa"/>
            <w:tcBorders>
              <w:bottom w:val="single" w:sz="8" w:space="0" w:color="auto"/>
              <w:right w:val="single" w:sz="8" w:space="0" w:color="auto"/>
            </w:tcBorders>
          </w:tcPr>
          <w:p w14:paraId="11CCEB9C" w14:textId="77777777" w:rsidR="00364786" w:rsidRPr="00633D21" w:rsidRDefault="00364786" w:rsidP="00A73F39">
            <w:pPr>
              <w:keepNext/>
              <w:spacing w:before="40" w:after="40" w:line="240" w:lineRule="auto"/>
              <w:rPr>
                <w:rFonts w:ascii="Arial Narrow" w:hAnsi="Arial Narrow" w:cs="Times New Roman"/>
                <w:color w:val="FFFFFF"/>
                <w:sz w:val="20"/>
                <w:szCs w:val="20"/>
              </w:rPr>
            </w:pPr>
          </w:p>
        </w:tc>
        <w:tc>
          <w:tcPr>
            <w:tcW w:w="1275" w:type="dxa"/>
            <w:tcBorders>
              <w:bottom w:val="single" w:sz="8" w:space="0" w:color="auto"/>
              <w:right w:val="single" w:sz="4" w:space="0" w:color="auto"/>
            </w:tcBorders>
          </w:tcPr>
          <w:p w14:paraId="7D776848"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High FSH</w:t>
            </w:r>
          </w:p>
        </w:tc>
        <w:tc>
          <w:tcPr>
            <w:tcW w:w="1560" w:type="dxa"/>
            <w:tcBorders>
              <w:left w:val="single" w:sz="4" w:space="0" w:color="auto"/>
              <w:bottom w:val="single" w:sz="8" w:space="0" w:color="auto"/>
              <w:right w:val="single" w:sz="4" w:space="0" w:color="auto"/>
            </w:tcBorders>
          </w:tcPr>
          <w:p w14:paraId="68E87D3A" w14:textId="77777777" w:rsidR="00364786" w:rsidRPr="00633D21" w:rsidRDefault="00364786" w:rsidP="00A73F39">
            <w:pPr>
              <w:keepNext/>
              <w:spacing w:before="40" w:after="40" w:line="240" w:lineRule="auto"/>
              <w:rPr>
                <w:rFonts w:ascii="Arial Narrow" w:hAnsi="Arial Narrow" w:cs="Times New Roman"/>
                <w:sz w:val="20"/>
                <w:szCs w:val="20"/>
              </w:rPr>
            </w:pPr>
            <w:r>
              <w:rPr>
                <w:rFonts w:ascii="Arial Narrow" w:hAnsi="Arial Narrow" w:cs="Times New Roman"/>
                <w:sz w:val="20"/>
                <w:szCs w:val="20"/>
              </w:rPr>
              <w:t>Low-n</w:t>
            </w:r>
            <w:r w:rsidRPr="00633D21">
              <w:rPr>
                <w:rFonts w:ascii="Arial Narrow" w:hAnsi="Arial Narrow" w:cs="Times New Roman"/>
                <w:sz w:val="20"/>
                <w:szCs w:val="20"/>
              </w:rPr>
              <w:t>ormal FSH</w:t>
            </w:r>
          </w:p>
        </w:tc>
        <w:tc>
          <w:tcPr>
            <w:tcW w:w="992" w:type="dxa"/>
            <w:tcBorders>
              <w:left w:val="single" w:sz="4" w:space="0" w:color="auto"/>
              <w:bottom w:val="single" w:sz="8" w:space="0" w:color="auto"/>
            </w:tcBorders>
          </w:tcPr>
          <w:p w14:paraId="3A1909A4" w14:textId="77777777" w:rsidR="00364786" w:rsidRPr="00633D21" w:rsidRDefault="00364786" w:rsidP="00A73F39">
            <w:pPr>
              <w:keepNext/>
              <w:spacing w:before="40" w:after="40" w:line="240" w:lineRule="auto"/>
              <w:rPr>
                <w:rFonts w:ascii="Arial Narrow" w:hAnsi="Arial Narrow" w:cs="Times New Roman"/>
                <w:color w:val="FFFFFF"/>
                <w:sz w:val="20"/>
                <w:szCs w:val="20"/>
              </w:rPr>
            </w:pPr>
          </w:p>
        </w:tc>
        <w:tc>
          <w:tcPr>
            <w:tcW w:w="3685" w:type="dxa"/>
          </w:tcPr>
          <w:p w14:paraId="6D939DCF" w14:textId="77777777" w:rsidR="00364786" w:rsidRPr="00633D21" w:rsidRDefault="00364786" w:rsidP="00A73F39">
            <w:pPr>
              <w:keepNext/>
              <w:spacing w:before="40" w:after="40" w:line="240" w:lineRule="auto"/>
              <w:rPr>
                <w:rFonts w:ascii="Arial Narrow" w:hAnsi="Arial Narrow" w:cs="Times New Roman"/>
                <w:color w:val="FFFFFF"/>
                <w:sz w:val="20"/>
                <w:szCs w:val="20"/>
              </w:rPr>
            </w:pPr>
          </w:p>
        </w:tc>
      </w:tr>
      <w:tr w:rsidR="00364786" w:rsidRPr="00D976FC" w14:paraId="6A2C564F" w14:textId="77777777" w:rsidTr="00A73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8" w:space="0" w:color="auto"/>
              <w:left w:val="nil"/>
              <w:bottom w:val="single" w:sz="8" w:space="0" w:color="auto"/>
            </w:tcBorders>
          </w:tcPr>
          <w:p w14:paraId="28B5E208"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 xml:space="preserve">Low AMH </w:t>
            </w:r>
          </w:p>
        </w:tc>
        <w:tc>
          <w:tcPr>
            <w:tcW w:w="1275" w:type="dxa"/>
          </w:tcPr>
          <w:p w14:paraId="64AD07CC"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16</w:t>
            </w:r>
          </w:p>
        </w:tc>
        <w:tc>
          <w:tcPr>
            <w:tcW w:w="1560" w:type="dxa"/>
          </w:tcPr>
          <w:p w14:paraId="5D111478" w14:textId="77777777" w:rsidR="00364786" w:rsidRPr="00633D21" w:rsidRDefault="00364786" w:rsidP="00A73F39">
            <w:pPr>
              <w:keepNext/>
              <w:spacing w:before="40" w:after="40" w:line="240" w:lineRule="auto"/>
              <w:rPr>
                <w:rFonts w:ascii="Arial Narrow" w:hAnsi="Arial Narrow" w:cs="Times New Roman"/>
                <w:sz w:val="20"/>
                <w:szCs w:val="20"/>
              </w:rPr>
            </w:pPr>
            <w:r>
              <w:rPr>
                <w:rFonts w:ascii="Arial Narrow" w:hAnsi="Arial Narrow" w:cs="Times New Roman"/>
                <w:sz w:val="20"/>
                <w:szCs w:val="20"/>
              </w:rPr>
              <w:t>12</w:t>
            </w:r>
          </w:p>
        </w:tc>
        <w:tc>
          <w:tcPr>
            <w:tcW w:w="992" w:type="dxa"/>
            <w:tcBorders>
              <w:top w:val="single" w:sz="8" w:space="0" w:color="auto"/>
              <w:bottom w:val="single" w:sz="8" w:space="0" w:color="auto"/>
              <w:right w:val="nil"/>
            </w:tcBorders>
          </w:tcPr>
          <w:p w14:paraId="734B26FE"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28</w:t>
            </w:r>
          </w:p>
        </w:tc>
        <w:tc>
          <w:tcPr>
            <w:tcW w:w="3685" w:type="dxa"/>
            <w:tcBorders>
              <w:top w:val="nil"/>
              <w:left w:val="nil"/>
              <w:bottom w:val="nil"/>
              <w:right w:val="nil"/>
            </w:tcBorders>
          </w:tcPr>
          <w:p w14:paraId="2523D197" w14:textId="6D537908" w:rsidR="00364786" w:rsidRPr="00633D21" w:rsidRDefault="00364786" w:rsidP="00A73F39">
            <w:pPr>
              <w:keepNext/>
              <w:spacing w:before="40" w:after="40" w:line="240" w:lineRule="auto"/>
              <w:rPr>
                <w:rFonts w:ascii="Arial Narrow" w:hAnsi="Arial Narrow" w:cs="Times New Roman"/>
                <w:sz w:val="20"/>
                <w:szCs w:val="20"/>
              </w:rPr>
            </w:pPr>
            <w:r>
              <w:rPr>
                <w:rFonts w:ascii="Arial Narrow" w:hAnsi="Arial Narrow" w:cs="Times New Roman"/>
                <w:sz w:val="20"/>
                <w:szCs w:val="20"/>
              </w:rPr>
              <w:t>Overall</w:t>
            </w:r>
            <w:r w:rsidR="00B169D7">
              <w:rPr>
                <w:rFonts w:ascii="Arial Narrow" w:hAnsi="Arial Narrow" w:cs="Times New Roman"/>
                <w:sz w:val="20"/>
                <w:szCs w:val="20"/>
              </w:rPr>
              <w:t xml:space="preserve"> per cent</w:t>
            </w:r>
            <w:r>
              <w:rPr>
                <w:rFonts w:ascii="Arial Narrow" w:hAnsi="Arial Narrow" w:cs="Times New Roman"/>
                <w:sz w:val="20"/>
                <w:szCs w:val="20"/>
              </w:rPr>
              <w:t xml:space="preserve"> agreement = 41/53 = 77.4%</w:t>
            </w:r>
          </w:p>
        </w:tc>
      </w:tr>
      <w:tr w:rsidR="00364786" w:rsidRPr="00D976FC" w14:paraId="4B1884AA" w14:textId="77777777" w:rsidTr="00A73F39">
        <w:tc>
          <w:tcPr>
            <w:tcW w:w="1560" w:type="dxa"/>
            <w:tcBorders>
              <w:top w:val="single" w:sz="8" w:space="0" w:color="auto"/>
              <w:bottom w:val="single" w:sz="4" w:space="0" w:color="auto"/>
              <w:right w:val="single" w:sz="8" w:space="0" w:color="auto"/>
            </w:tcBorders>
          </w:tcPr>
          <w:p w14:paraId="41F80757"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Normal AMH</w:t>
            </w:r>
          </w:p>
        </w:tc>
        <w:tc>
          <w:tcPr>
            <w:tcW w:w="1275" w:type="dxa"/>
            <w:tcBorders>
              <w:top w:val="single" w:sz="8" w:space="0" w:color="auto"/>
              <w:left w:val="single" w:sz="8" w:space="0" w:color="auto"/>
              <w:bottom w:val="single" w:sz="4" w:space="0" w:color="auto"/>
              <w:right w:val="single" w:sz="8" w:space="0" w:color="auto"/>
            </w:tcBorders>
          </w:tcPr>
          <w:p w14:paraId="633E6AFF"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0</w:t>
            </w:r>
          </w:p>
        </w:tc>
        <w:tc>
          <w:tcPr>
            <w:tcW w:w="1560" w:type="dxa"/>
            <w:tcBorders>
              <w:top w:val="single" w:sz="8" w:space="0" w:color="auto"/>
              <w:left w:val="single" w:sz="8" w:space="0" w:color="auto"/>
              <w:bottom w:val="single" w:sz="4" w:space="0" w:color="auto"/>
              <w:right w:val="single" w:sz="8" w:space="0" w:color="auto"/>
            </w:tcBorders>
          </w:tcPr>
          <w:p w14:paraId="6C9BA308"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25</w:t>
            </w:r>
          </w:p>
        </w:tc>
        <w:tc>
          <w:tcPr>
            <w:tcW w:w="992" w:type="dxa"/>
            <w:tcBorders>
              <w:top w:val="single" w:sz="8" w:space="0" w:color="auto"/>
              <w:left w:val="single" w:sz="8" w:space="0" w:color="auto"/>
              <w:bottom w:val="single" w:sz="4" w:space="0" w:color="auto"/>
            </w:tcBorders>
          </w:tcPr>
          <w:p w14:paraId="29CA676A"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25</w:t>
            </w:r>
          </w:p>
        </w:tc>
        <w:tc>
          <w:tcPr>
            <w:tcW w:w="3685" w:type="dxa"/>
          </w:tcPr>
          <w:p w14:paraId="54EE0A93" w14:textId="68F97D16" w:rsidR="00364786" w:rsidRPr="00633D21" w:rsidRDefault="00364786" w:rsidP="00A73F39">
            <w:pPr>
              <w:keepNext/>
              <w:spacing w:before="40" w:after="40" w:line="240" w:lineRule="auto"/>
              <w:rPr>
                <w:rFonts w:ascii="Arial Narrow" w:hAnsi="Arial Narrow" w:cs="Times New Roman"/>
                <w:sz w:val="20"/>
                <w:szCs w:val="20"/>
              </w:rPr>
            </w:pPr>
            <w:r>
              <w:rPr>
                <w:rFonts w:ascii="Arial Narrow" w:hAnsi="Arial Narrow" w:cs="Times New Roman"/>
                <w:sz w:val="20"/>
                <w:szCs w:val="20"/>
              </w:rPr>
              <w:t>Positive</w:t>
            </w:r>
            <w:r w:rsidR="00B169D7">
              <w:rPr>
                <w:rFonts w:ascii="Arial Narrow" w:hAnsi="Arial Narrow" w:cs="Times New Roman"/>
                <w:sz w:val="20"/>
                <w:szCs w:val="20"/>
              </w:rPr>
              <w:t xml:space="preserve"> per cent</w:t>
            </w:r>
            <w:r>
              <w:rPr>
                <w:rFonts w:ascii="Arial Narrow" w:hAnsi="Arial Narrow" w:cs="Times New Roman"/>
                <w:sz w:val="20"/>
                <w:szCs w:val="20"/>
              </w:rPr>
              <w:t xml:space="preserve"> agreement = 16/28 = 57.1%</w:t>
            </w:r>
          </w:p>
        </w:tc>
      </w:tr>
      <w:tr w:rsidR="00364786" w:rsidRPr="00D976FC" w14:paraId="259A7C3D" w14:textId="77777777" w:rsidTr="00A73F39">
        <w:tc>
          <w:tcPr>
            <w:tcW w:w="1560" w:type="dxa"/>
            <w:tcBorders>
              <w:top w:val="single" w:sz="8" w:space="0" w:color="auto"/>
              <w:right w:val="single" w:sz="8" w:space="0" w:color="auto"/>
            </w:tcBorders>
          </w:tcPr>
          <w:p w14:paraId="06A650BE" w14:textId="77777777" w:rsidR="00364786" w:rsidRPr="00633D21" w:rsidRDefault="00364786" w:rsidP="00A73F39">
            <w:pPr>
              <w:keepNext/>
              <w:spacing w:before="40" w:after="40" w:line="240" w:lineRule="auto"/>
              <w:rPr>
                <w:rFonts w:ascii="Arial Narrow" w:hAnsi="Arial Narrow" w:cs="Times New Roman"/>
                <w:color w:val="FFFFFF"/>
                <w:sz w:val="20"/>
                <w:szCs w:val="20"/>
              </w:rPr>
            </w:pPr>
          </w:p>
        </w:tc>
        <w:tc>
          <w:tcPr>
            <w:tcW w:w="1275" w:type="dxa"/>
            <w:tcBorders>
              <w:top w:val="single" w:sz="8" w:space="0" w:color="auto"/>
              <w:left w:val="single" w:sz="8" w:space="0" w:color="auto"/>
              <w:right w:val="single" w:sz="8" w:space="0" w:color="auto"/>
            </w:tcBorders>
          </w:tcPr>
          <w:p w14:paraId="35743A7A"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16</w:t>
            </w:r>
          </w:p>
        </w:tc>
        <w:tc>
          <w:tcPr>
            <w:tcW w:w="1560" w:type="dxa"/>
            <w:tcBorders>
              <w:top w:val="single" w:sz="8" w:space="0" w:color="auto"/>
              <w:left w:val="single" w:sz="8" w:space="0" w:color="auto"/>
              <w:right w:val="single" w:sz="8" w:space="0" w:color="auto"/>
            </w:tcBorders>
          </w:tcPr>
          <w:p w14:paraId="46F42FAA" w14:textId="77777777" w:rsidR="00364786" w:rsidRPr="00633D21" w:rsidRDefault="00364786" w:rsidP="00A73F39">
            <w:pPr>
              <w:keepNext/>
              <w:spacing w:before="40" w:after="40" w:line="240" w:lineRule="auto"/>
              <w:rPr>
                <w:rFonts w:ascii="Arial Narrow" w:hAnsi="Arial Narrow" w:cs="Times New Roman"/>
                <w:sz w:val="20"/>
                <w:szCs w:val="20"/>
              </w:rPr>
            </w:pPr>
            <w:r>
              <w:rPr>
                <w:rFonts w:ascii="Arial Narrow" w:hAnsi="Arial Narrow" w:cs="Times New Roman"/>
                <w:sz w:val="20"/>
                <w:szCs w:val="20"/>
              </w:rPr>
              <w:t>37</w:t>
            </w:r>
          </w:p>
        </w:tc>
        <w:tc>
          <w:tcPr>
            <w:tcW w:w="992" w:type="dxa"/>
            <w:tcBorders>
              <w:top w:val="single" w:sz="8" w:space="0" w:color="auto"/>
              <w:left w:val="single" w:sz="8" w:space="0" w:color="auto"/>
            </w:tcBorders>
          </w:tcPr>
          <w:p w14:paraId="20D56254" w14:textId="77777777" w:rsidR="00364786" w:rsidRPr="00633D21" w:rsidRDefault="00364786" w:rsidP="00A73F39">
            <w:pPr>
              <w:keepNext/>
              <w:spacing w:before="40" w:after="40" w:line="240" w:lineRule="auto"/>
              <w:rPr>
                <w:rFonts w:ascii="Arial Narrow" w:hAnsi="Arial Narrow" w:cs="Times New Roman"/>
                <w:sz w:val="20"/>
                <w:szCs w:val="20"/>
              </w:rPr>
            </w:pPr>
            <w:r w:rsidRPr="00633D21">
              <w:rPr>
                <w:rFonts w:ascii="Arial Narrow" w:hAnsi="Arial Narrow" w:cs="Times New Roman"/>
                <w:sz w:val="20"/>
                <w:szCs w:val="20"/>
              </w:rPr>
              <w:t>53</w:t>
            </w:r>
          </w:p>
        </w:tc>
        <w:tc>
          <w:tcPr>
            <w:tcW w:w="3685" w:type="dxa"/>
          </w:tcPr>
          <w:p w14:paraId="3529F4A0" w14:textId="55DD7514" w:rsidR="00364786" w:rsidRPr="00633D21" w:rsidRDefault="00364786" w:rsidP="00A73F39">
            <w:pPr>
              <w:keepNext/>
              <w:spacing w:before="40" w:after="40" w:line="240" w:lineRule="auto"/>
              <w:rPr>
                <w:rFonts w:ascii="Arial Narrow" w:hAnsi="Arial Narrow" w:cs="Times New Roman"/>
                <w:sz w:val="20"/>
                <w:szCs w:val="20"/>
              </w:rPr>
            </w:pPr>
            <w:r>
              <w:rPr>
                <w:rFonts w:ascii="Arial Narrow" w:hAnsi="Arial Narrow" w:cs="Times New Roman"/>
                <w:sz w:val="20"/>
                <w:szCs w:val="20"/>
              </w:rPr>
              <w:t>Negative</w:t>
            </w:r>
            <w:r w:rsidR="00B169D7">
              <w:rPr>
                <w:rFonts w:ascii="Arial Narrow" w:hAnsi="Arial Narrow" w:cs="Times New Roman"/>
                <w:sz w:val="20"/>
                <w:szCs w:val="20"/>
              </w:rPr>
              <w:t xml:space="preserve"> per cent</w:t>
            </w:r>
            <w:r>
              <w:rPr>
                <w:rFonts w:ascii="Arial Narrow" w:hAnsi="Arial Narrow" w:cs="Times New Roman"/>
                <w:sz w:val="20"/>
                <w:szCs w:val="20"/>
              </w:rPr>
              <w:t xml:space="preserve"> agreement = 25/37 = 67.6%</w:t>
            </w:r>
          </w:p>
        </w:tc>
      </w:tr>
    </w:tbl>
    <w:p w14:paraId="329CE908" w14:textId="2E9B5CB2" w:rsidR="00364786" w:rsidRDefault="00364786" w:rsidP="00364786">
      <w:pPr>
        <w:pStyle w:val="Tablenotes0"/>
      </w:pPr>
      <w:r w:rsidRPr="00D976FC">
        <w:t>AMH = anti-Müllerian hormone; FSH = follicle</w:t>
      </w:r>
      <w:r w:rsidR="00DE6DD5">
        <w:t>-</w:t>
      </w:r>
      <w:r w:rsidRPr="00D976FC">
        <w:t>stimulating hormone</w:t>
      </w:r>
    </w:p>
    <w:p w14:paraId="48A4AC93" w14:textId="77777777" w:rsidR="00364786" w:rsidRDefault="00364786" w:rsidP="00364786">
      <w:pPr>
        <w:pStyle w:val="Heading3"/>
      </w:pPr>
      <w:bookmarkStart w:id="279" w:name="_Toc502832940"/>
      <w:r>
        <w:t>Correlation between tests</w:t>
      </w:r>
      <w:bookmarkEnd w:id="279"/>
    </w:p>
    <w:p w14:paraId="707D66FB" w14:textId="4378B17B" w:rsidR="00364786" w:rsidRDefault="00364786" w:rsidP="00364786">
      <w:pPr>
        <w:jc w:val="both"/>
        <w:rPr>
          <w:color w:val="000000" w:themeColor="text1"/>
        </w:rPr>
      </w:pPr>
      <w:r>
        <w:rPr>
          <w:color w:val="000000" w:themeColor="text1"/>
        </w:rPr>
        <w:t>Eleven studies reported on the correlation between AMH testing and other tests providing information for determining ovarian reserve using either</w:t>
      </w:r>
      <w:r w:rsidRPr="00B83A23">
        <w:t xml:space="preserve"> </w:t>
      </w:r>
      <w:r w:rsidRPr="00B83A23">
        <w:rPr>
          <w:color w:val="000000" w:themeColor="text1"/>
        </w:rPr>
        <w:t>Spearman’s rank correlation</w:t>
      </w:r>
      <w:r>
        <w:rPr>
          <w:color w:val="000000" w:themeColor="text1"/>
        </w:rPr>
        <w:t xml:space="preserve"> test or </w:t>
      </w:r>
      <w:r w:rsidRPr="00B83A23">
        <w:rPr>
          <w:color w:val="000000" w:themeColor="text1"/>
        </w:rPr>
        <w:t>Pearson’s bivariate correlation</w:t>
      </w:r>
      <w:r>
        <w:rPr>
          <w:color w:val="000000" w:themeColor="text1"/>
        </w:rPr>
        <w:t xml:space="preserve"> test. The results from individual studies for each comparison are shown in </w:t>
      </w:r>
      <w:r w:rsidR="008A26FB">
        <w:rPr>
          <w:color w:val="000000" w:themeColor="text1"/>
          <w:highlight w:val="cyan"/>
        </w:rPr>
        <w:fldChar w:fldCharType="begin"/>
      </w:r>
      <w:r w:rsidR="008A26FB">
        <w:rPr>
          <w:color w:val="000000" w:themeColor="text1"/>
        </w:rPr>
        <w:instrText xml:space="preserve"> REF _Ref497999928 \h </w:instrText>
      </w:r>
      <w:r w:rsidR="008A26FB">
        <w:rPr>
          <w:color w:val="000000" w:themeColor="text1"/>
          <w:highlight w:val="cyan"/>
        </w:rPr>
      </w:r>
      <w:r w:rsidR="008A26FB">
        <w:rPr>
          <w:color w:val="000000" w:themeColor="text1"/>
          <w:highlight w:val="cyan"/>
        </w:rPr>
        <w:fldChar w:fldCharType="separate"/>
      </w:r>
      <w:r w:rsidR="00AC4BE5" w:rsidRPr="00183E4D">
        <w:t xml:space="preserve">Appendix </w:t>
      </w:r>
      <w:r w:rsidR="00AC4BE5">
        <w:rPr>
          <w:noProof/>
        </w:rPr>
        <w:t>G</w:t>
      </w:r>
      <w:r w:rsidR="008A26FB">
        <w:rPr>
          <w:color w:val="000000" w:themeColor="text1"/>
          <w:highlight w:val="cyan"/>
        </w:rPr>
        <w:fldChar w:fldCharType="end"/>
      </w:r>
      <w:r>
        <w:rPr>
          <w:color w:val="000000" w:themeColor="text1"/>
        </w:rPr>
        <w:t xml:space="preserve"> and a summary of the findings </w:t>
      </w:r>
      <w:r w:rsidR="00573549">
        <w:rPr>
          <w:color w:val="000000" w:themeColor="text1"/>
        </w:rPr>
        <w:t>is</w:t>
      </w:r>
      <w:r>
        <w:rPr>
          <w:color w:val="000000" w:themeColor="text1"/>
        </w:rPr>
        <w:t xml:space="preserve"> provided in </w:t>
      </w:r>
      <w:r>
        <w:rPr>
          <w:color w:val="000000" w:themeColor="text1"/>
        </w:rPr>
        <w:fldChar w:fldCharType="begin"/>
      </w:r>
      <w:r>
        <w:rPr>
          <w:color w:val="000000" w:themeColor="text1"/>
        </w:rPr>
        <w:instrText xml:space="preserve"> REF _Ref494965733 \h </w:instrText>
      </w:r>
      <w:r>
        <w:rPr>
          <w:color w:val="000000" w:themeColor="text1"/>
        </w:rPr>
      </w:r>
      <w:r>
        <w:rPr>
          <w:color w:val="000000" w:themeColor="text1"/>
        </w:rPr>
        <w:fldChar w:fldCharType="separate"/>
      </w:r>
      <w:r w:rsidR="00AC4BE5">
        <w:t xml:space="preserve">Table </w:t>
      </w:r>
      <w:r w:rsidR="00AC4BE5">
        <w:rPr>
          <w:noProof/>
        </w:rPr>
        <w:t>36</w:t>
      </w:r>
      <w:r>
        <w:rPr>
          <w:color w:val="000000" w:themeColor="text1"/>
        </w:rPr>
        <w:fldChar w:fldCharType="end"/>
      </w:r>
      <w:r>
        <w:rPr>
          <w:color w:val="000000" w:themeColor="text1"/>
        </w:rPr>
        <w:t>.</w:t>
      </w:r>
    </w:p>
    <w:p w14:paraId="15E49463" w14:textId="77777777" w:rsidR="00364786" w:rsidRDefault="00364786" w:rsidP="00364786">
      <w:pPr>
        <w:pStyle w:val="TableHeading"/>
      </w:pPr>
      <w:bookmarkStart w:id="280" w:name="_Ref494965733"/>
      <w:bookmarkStart w:id="281" w:name="_Toc502833054"/>
      <w:r>
        <w:t xml:space="preserve">Table </w:t>
      </w:r>
      <w:r w:rsidR="00AC4BE5">
        <w:fldChar w:fldCharType="begin"/>
      </w:r>
      <w:r w:rsidR="00AC4BE5">
        <w:instrText xml:space="preserve"> SEQ Table \* ARABIC </w:instrText>
      </w:r>
      <w:r w:rsidR="00AC4BE5">
        <w:fldChar w:fldCharType="separate"/>
      </w:r>
      <w:r w:rsidR="00AC4BE5">
        <w:rPr>
          <w:noProof/>
        </w:rPr>
        <w:t>36</w:t>
      </w:r>
      <w:r w:rsidR="00AC4BE5">
        <w:rPr>
          <w:noProof/>
        </w:rPr>
        <w:fldChar w:fldCharType="end"/>
      </w:r>
      <w:bookmarkEnd w:id="280"/>
      <w:r>
        <w:tab/>
        <w:t>Summary of the correlation between the AMH test and other tests used to determine ovarian function</w:t>
      </w:r>
      <w:bookmarkEnd w:id="281"/>
    </w:p>
    <w:tbl>
      <w:tblPr>
        <w:tblStyle w:val="TableGrid5"/>
        <w:tblW w:w="9067" w:type="dxa"/>
        <w:tblLook w:val="04A0" w:firstRow="1" w:lastRow="0" w:firstColumn="1" w:lastColumn="0" w:noHBand="0" w:noVBand="1"/>
        <w:tblCaption w:val="Summary of the correlation between the AMH test and other tests used to determine ovarian function"/>
        <w:tblDescription w:val="Summary of the correlation between the AMH test and other tests used to determine ovarian function"/>
      </w:tblPr>
      <w:tblGrid>
        <w:gridCol w:w="2830"/>
        <w:gridCol w:w="2552"/>
        <w:gridCol w:w="3685"/>
      </w:tblGrid>
      <w:tr w:rsidR="00364786" w:rsidRPr="001B20EA" w14:paraId="73FC88FB" w14:textId="77777777" w:rsidTr="00E85338">
        <w:trPr>
          <w:tblHeader/>
        </w:trPr>
        <w:tc>
          <w:tcPr>
            <w:tcW w:w="2830" w:type="dxa"/>
            <w:tcBorders>
              <w:bottom w:val="single" w:sz="4" w:space="0" w:color="auto"/>
            </w:tcBorders>
          </w:tcPr>
          <w:p w14:paraId="7D1D4E56" w14:textId="77777777" w:rsidR="00364786" w:rsidRPr="00B7183E" w:rsidRDefault="00364786" w:rsidP="00B7183E">
            <w:pPr>
              <w:pStyle w:val="Tabletext1"/>
              <w:rPr>
                <w:b/>
              </w:rPr>
            </w:pPr>
            <w:r w:rsidRPr="00B7183E">
              <w:rPr>
                <w:b/>
              </w:rPr>
              <w:t>Comparison</w:t>
            </w:r>
          </w:p>
        </w:tc>
        <w:tc>
          <w:tcPr>
            <w:tcW w:w="2552" w:type="dxa"/>
            <w:tcBorders>
              <w:bottom w:val="single" w:sz="4" w:space="0" w:color="auto"/>
            </w:tcBorders>
          </w:tcPr>
          <w:p w14:paraId="6853382B" w14:textId="77777777" w:rsidR="00364786" w:rsidRPr="00B7183E" w:rsidRDefault="00364786" w:rsidP="00B7183E">
            <w:pPr>
              <w:pStyle w:val="Tabletext1"/>
              <w:rPr>
                <w:b/>
              </w:rPr>
            </w:pPr>
            <w:r w:rsidRPr="00B7183E">
              <w:rPr>
                <w:b/>
              </w:rPr>
              <w:t>Correlation test</w:t>
            </w:r>
          </w:p>
        </w:tc>
        <w:tc>
          <w:tcPr>
            <w:tcW w:w="3685" w:type="dxa"/>
            <w:tcBorders>
              <w:bottom w:val="single" w:sz="4" w:space="0" w:color="auto"/>
            </w:tcBorders>
          </w:tcPr>
          <w:p w14:paraId="5B9EBE6F" w14:textId="77777777" w:rsidR="00364786" w:rsidRPr="00B7183E" w:rsidRDefault="00364786" w:rsidP="00B7183E">
            <w:pPr>
              <w:pStyle w:val="Tabletext1"/>
              <w:rPr>
                <w:b/>
              </w:rPr>
            </w:pPr>
            <w:r w:rsidRPr="00B7183E">
              <w:rPr>
                <w:b/>
              </w:rPr>
              <w:t>Median correlation (range)</w:t>
            </w:r>
          </w:p>
        </w:tc>
      </w:tr>
      <w:tr w:rsidR="00364786" w:rsidRPr="001B20EA" w14:paraId="0FD04B81" w14:textId="77777777" w:rsidTr="00A73F39">
        <w:tc>
          <w:tcPr>
            <w:tcW w:w="2830" w:type="dxa"/>
            <w:tcBorders>
              <w:bottom w:val="nil"/>
              <w:right w:val="single" w:sz="4" w:space="0" w:color="auto"/>
            </w:tcBorders>
          </w:tcPr>
          <w:p w14:paraId="3A1FEB29" w14:textId="77777777" w:rsidR="00364786" w:rsidRPr="001B20EA" w:rsidRDefault="00364786" w:rsidP="00B7183E">
            <w:pPr>
              <w:pStyle w:val="Tabletext1"/>
            </w:pPr>
            <w:r>
              <w:t>AMH vs AFC</w:t>
            </w:r>
          </w:p>
        </w:tc>
        <w:tc>
          <w:tcPr>
            <w:tcW w:w="2552" w:type="dxa"/>
            <w:tcBorders>
              <w:left w:val="single" w:sz="4" w:space="0" w:color="auto"/>
              <w:bottom w:val="nil"/>
              <w:right w:val="single" w:sz="4" w:space="0" w:color="auto"/>
            </w:tcBorders>
          </w:tcPr>
          <w:p w14:paraId="758D65F9" w14:textId="77777777" w:rsidR="00364786" w:rsidRPr="001B20EA" w:rsidRDefault="00364786" w:rsidP="00B7183E">
            <w:pPr>
              <w:pStyle w:val="Tabletext1"/>
            </w:pPr>
            <w:r w:rsidRPr="001B20EA">
              <w:t>Spearman’s rank correlation</w:t>
            </w:r>
          </w:p>
        </w:tc>
        <w:tc>
          <w:tcPr>
            <w:tcW w:w="3685" w:type="dxa"/>
            <w:tcBorders>
              <w:left w:val="single" w:sz="4" w:space="0" w:color="auto"/>
              <w:bottom w:val="nil"/>
            </w:tcBorders>
          </w:tcPr>
          <w:p w14:paraId="4C8DF8BE" w14:textId="77777777" w:rsidR="00364786" w:rsidRDefault="00364786" w:rsidP="00B7183E">
            <w:pPr>
              <w:pStyle w:val="Tabletext1"/>
            </w:pPr>
            <w:r>
              <w:t>Positive: 0.62 (0.44–0.83), k=4</w:t>
            </w:r>
          </w:p>
          <w:p w14:paraId="7D8C7174" w14:textId="77777777" w:rsidR="00364786" w:rsidRDefault="00364786" w:rsidP="00B7183E">
            <w:pPr>
              <w:pStyle w:val="Tabletext1"/>
            </w:pPr>
            <w:r>
              <w:t>Pre-cancer: 0.48 (0.44–0.52), k=2</w:t>
            </w:r>
          </w:p>
          <w:p w14:paraId="0FE96694" w14:textId="77777777" w:rsidR="00364786" w:rsidRDefault="00364786" w:rsidP="00B7183E">
            <w:pPr>
              <w:pStyle w:val="Tabletext1"/>
            </w:pPr>
            <w:r>
              <w:t>Post-cancer: 0.72, k=1</w:t>
            </w:r>
          </w:p>
          <w:p w14:paraId="081103ED" w14:textId="77777777" w:rsidR="00364786" w:rsidRPr="001B20EA" w:rsidRDefault="00364786" w:rsidP="00B7183E">
            <w:pPr>
              <w:pStyle w:val="Tabletext1"/>
            </w:pPr>
            <w:r>
              <w:t>Post-childhood cancer: 0.83, k=1</w:t>
            </w:r>
          </w:p>
        </w:tc>
      </w:tr>
      <w:tr w:rsidR="00364786" w:rsidRPr="001B20EA" w14:paraId="2D1F1B95" w14:textId="77777777" w:rsidTr="00A73F39">
        <w:tc>
          <w:tcPr>
            <w:tcW w:w="2830" w:type="dxa"/>
            <w:tcBorders>
              <w:top w:val="nil"/>
              <w:right w:val="single" w:sz="4" w:space="0" w:color="auto"/>
            </w:tcBorders>
          </w:tcPr>
          <w:p w14:paraId="44ED5460" w14:textId="77777777" w:rsidR="00364786" w:rsidRPr="008D2D1D" w:rsidRDefault="00364786" w:rsidP="00B7183E">
            <w:pPr>
              <w:pStyle w:val="Tabletext1"/>
              <w:rPr>
                <w:color w:val="FFFFFF" w:themeColor="background1"/>
              </w:rPr>
            </w:pPr>
            <w:r w:rsidRPr="008D2D1D">
              <w:rPr>
                <w:color w:val="FFFFFF" w:themeColor="background1"/>
              </w:rPr>
              <w:t>-</w:t>
            </w:r>
          </w:p>
        </w:tc>
        <w:tc>
          <w:tcPr>
            <w:tcW w:w="2552" w:type="dxa"/>
            <w:tcBorders>
              <w:top w:val="nil"/>
              <w:left w:val="single" w:sz="4" w:space="0" w:color="auto"/>
              <w:right w:val="single" w:sz="4" w:space="0" w:color="auto"/>
            </w:tcBorders>
          </w:tcPr>
          <w:p w14:paraId="5FCACFC6" w14:textId="77777777" w:rsidR="00364786" w:rsidRPr="001B20EA" w:rsidRDefault="00364786" w:rsidP="00B7183E">
            <w:pPr>
              <w:pStyle w:val="Tabletext1"/>
            </w:pPr>
            <w:r w:rsidRPr="001B20EA">
              <w:t>Pearson’s bivariate correlation</w:t>
            </w:r>
          </w:p>
        </w:tc>
        <w:tc>
          <w:tcPr>
            <w:tcW w:w="3685" w:type="dxa"/>
            <w:tcBorders>
              <w:top w:val="nil"/>
              <w:left w:val="single" w:sz="4" w:space="0" w:color="auto"/>
            </w:tcBorders>
          </w:tcPr>
          <w:p w14:paraId="0291C429" w14:textId="77777777" w:rsidR="00364786" w:rsidRDefault="00364786" w:rsidP="00B7183E">
            <w:pPr>
              <w:pStyle w:val="Tabletext1"/>
            </w:pPr>
            <w:r>
              <w:t xml:space="preserve">Pre-endo surgery: </w:t>
            </w:r>
            <w:r w:rsidRPr="001B20EA">
              <w:t>0.842 (k=1)</w:t>
            </w:r>
          </w:p>
        </w:tc>
      </w:tr>
      <w:tr w:rsidR="00364786" w:rsidRPr="001B20EA" w14:paraId="18036599" w14:textId="77777777" w:rsidTr="00A73F39">
        <w:tc>
          <w:tcPr>
            <w:tcW w:w="2830" w:type="dxa"/>
            <w:tcBorders>
              <w:bottom w:val="single" w:sz="4" w:space="0" w:color="auto"/>
            </w:tcBorders>
          </w:tcPr>
          <w:p w14:paraId="1D71EFEF" w14:textId="77777777" w:rsidR="00364786" w:rsidRPr="001B20EA" w:rsidRDefault="00364786" w:rsidP="00B7183E">
            <w:pPr>
              <w:pStyle w:val="Tabletext1"/>
            </w:pPr>
            <w:r w:rsidRPr="001B20EA">
              <w:t>AMH vs density of primordial follicles</w:t>
            </w:r>
          </w:p>
        </w:tc>
        <w:tc>
          <w:tcPr>
            <w:tcW w:w="2552" w:type="dxa"/>
            <w:tcBorders>
              <w:bottom w:val="single" w:sz="4" w:space="0" w:color="auto"/>
            </w:tcBorders>
          </w:tcPr>
          <w:p w14:paraId="370E7546" w14:textId="77777777" w:rsidR="00364786" w:rsidRPr="001B20EA" w:rsidRDefault="00364786" w:rsidP="00B7183E">
            <w:pPr>
              <w:pStyle w:val="Tabletext1"/>
            </w:pPr>
            <w:r w:rsidRPr="001B20EA">
              <w:t>Pearson’s bivariate correlation</w:t>
            </w:r>
          </w:p>
        </w:tc>
        <w:tc>
          <w:tcPr>
            <w:tcW w:w="3685" w:type="dxa"/>
            <w:tcBorders>
              <w:bottom w:val="single" w:sz="4" w:space="0" w:color="auto"/>
            </w:tcBorders>
          </w:tcPr>
          <w:p w14:paraId="40B5C2EA" w14:textId="77777777" w:rsidR="00364786" w:rsidRPr="001B20EA" w:rsidRDefault="00364786" w:rsidP="00B7183E">
            <w:pPr>
              <w:pStyle w:val="Tabletext1"/>
            </w:pPr>
            <w:r>
              <w:t xml:space="preserve">Positive pre-cancer: </w:t>
            </w:r>
            <w:r w:rsidRPr="001B20EA">
              <w:t>0.23 (k=1)</w:t>
            </w:r>
          </w:p>
        </w:tc>
      </w:tr>
      <w:tr w:rsidR="00364786" w:rsidRPr="001B20EA" w14:paraId="010BCBD9" w14:textId="77777777" w:rsidTr="00A73F39">
        <w:tc>
          <w:tcPr>
            <w:tcW w:w="2830" w:type="dxa"/>
            <w:tcBorders>
              <w:bottom w:val="nil"/>
              <w:right w:val="single" w:sz="4" w:space="0" w:color="auto"/>
            </w:tcBorders>
          </w:tcPr>
          <w:p w14:paraId="555D6936" w14:textId="77777777" w:rsidR="00364786" w:rsidRPr="001B20EA" w:rsidRDefault="00364786" w:rsidP="00B7183E">
            <w:pPr>
              <w:pStyle w:val="Tabletext1"/>
            </w:pPr>
            <w:r w:rsidRPr="001B20EA">
              <w:t>AMH vs FSH</w:t>
            </w:r>
          </w:p>
        </w:tc>
        <w:tc>
          <w:tcPr>
            <w:tcW w:w="2552" w:type="dxa"/>
            <w:tcBorders>
              <w:left w:val="single" w:sz="4" w:space="0" w:color="auto"/>
              <w:bottom w:val="nil"/>
              <w:right w:val="single" w:sz="4" w:space="0" w:color="auto"/>
            </w:tcBorders>
          </w:tcPr>
          <w:p w14:paraId="7B9A1328" w14:textId="77777777" w:rsidR="00364786" w:rsidRPr="001B20EA" w:rsidRDefault="00364786" w:rsidP="00B7183E">
            <w:pPr>
              <w:pStyle w:val="Tabletext1"/>
            </w:pPr>
            <w:r w:rsidRPr="001B20EA">
              <w:t>Spearman’s rank correlation</w:t>
            </w:r>
          </w:p>
        </w:tc>
        <w:tc>
          <w:tcPr>
            <w:tcW w:w="3685" w:type="dxa"/>
            <w:tcBorders>
              <w:left w:val="single" w:sz="4" w:space="0" w:color="auto"/>
              <w:bottom w:val="nil"/>
            </w:tcBorders>
          </w:tcPr>
          <w:p w14:paraId="60DDDDDD" w14:textId="2FF4F4CB" w:rsidR="00364786" w:rsidRDefault="00364786" w:rsidP="00B7183E">
            <w:pPr>
              <w:pStyle w:val="Tabletext1"/>
            </w:pPr>
            <w:r>
              <w:t xml:space="preserve">Negative: </w:t>
            </w:r>
            <w:r w:rsidR="00B7183E">
              <w:t>-0.50 (-0.52, -</w:t>
            </w:r>
            <w:r w:rsidRPr="001B20EA">
              <w:t>0.47; k=2), NS (k=3)</w:t>
            </w:r>
          </w:p>
          <w:p w14:paraId="3A955CB3" w14:textId="7426313D" w:rsidR="00364786" w:rsidRDefault="00B7183E" w:rsidP="00B7183E">
            <w:pPr>
              <w:pStyle w:val="Tabletext1"/>
            </w:pPr>
            <w:r>
              <w:t>Pre-cancer: -</w:t>
            </w:r>
            <w:r w:rsidR="00364786">
              <w:t>0.47, k=1, NS, k=2</w:t>
            </w:r>
          </w:p>
          <w:p w14:paraId="0F120AB5" w14:textId="77777777" w:rsidR="00364786" w:rsidRDefault="00364786" w:rsidP="00B7183E">
            <w:pPr>
              <w:pStyle w:val="Tabletext1"/>
            </w:pPr>
            <w:r>
              <w:t>Post-cancer: NS, k=1</w:t>
            </w:r>
          </w:p>
          <w:p w14:paraId="423186C3" w14:textId="70DE045D" w:rsidR="00364786" w:rsidRPr="001B20EA" w:rsidRDefault="00B7183E" w:rsidP="00B7183E">
            <w:pPr>
              <w:pStyle w:val="Tabletext1"/>
            </w:pPr>
            <w:r>
              <w:t>Post-childhood cancer: -</w:t>
            </w:r>
            <w:r w:rsidR="00364786">
              <w:t>0.52, k=1</w:t>
            </w:r>
          </w:p>
        </w:tc>
      </w:tr>
      <w:tr w:rsidR="00364786" w:rsidRPr="001B20EA" w14:paraId="269B5880" w14:textId="77777777" w:rsidTr="00A73F39">
        <w:tc>
          <w:tcPr>
            <w:tcW w:w="2830" w:type="dxa"/>
            <w:tcBorders>
              <w:top w:val="nil"/>
              <w:bottom w:val="single" w:sz="4" w:space="0" w:color="auto"/>
              <w:right w:val="single" w:sz="4" w:space="0" w:color="auto"/>
            </w:tcBorders>
          </w:tcPr>
          <w:p w14:paraId="3C97F19D" w14:textId="77777777" w:rsidR="00364786" w:rsidRPr="008D2D1D" w:rsidRDefault="00364786" w:rsidP="00B7183E">
            <w:pPr>
              <w:pStyle w:val="Tabletext1"/>
              <w:rPr>
                <w:color w:val="FFFFFF" w:themeColor="background1"/>
              </w:rPr>
            </w:pPr>
            <w:r w:rsidRPr="008D2D1D">
              <w:rPr>
                <w:color w:val="FFFFFF" w:themeColor="background1"/>
              </w:rPr>
              <w:t>-</w:t>
            </w:r>
          </w:p>
        </w:tc>
        <w:tc>
          <w:tcPr>
            <w:tcW w:w="2552" w:type="dxa"/>
            <w:tcBorders>
              <w:top w:val="nil"/>
              <w:left w:val="single" w:sz="4" w:space="0" w:color="auto"/>
              <w:bottom w:val="single" w:sz="4" w:space="0" w:color="auto"/>
              <w:right w:val="single" w:sz="4" w:space="0" w:color="auto"/>
            </w:tcBorders>
          </w:tcPr>
          <w:p w14:paraId="2C1CED34" w14:textId="77777777" w:rsidR="00364786" w:rsidRPr="001B20EA" w:rsidRDefault="00364786" w:rsidP="00B7183E">
            <w:pPr>
              <w:pStyle w:val="Tabletext1"/>
            </w:pPr>
            <w:r w:rsidRPr="001B20EA">
              <w:t>Pearson’s bivariate correlation</w:t>
            </w:r>
          </w:p>
        </w:tc>
        <w:tc>
          <w:tcPr>
            <w:tcW w:w="3685" w:type="dxa"/>
            <w:tcBorders>
              <w:top w:val="nil"/>
              <w:left w:val="single" w:sz="4" w:space="0" w:color="auto"/>
              <w:bottom w:val="single" w:sz="4" w:space="0" w:color="auto"/>
            </w:tcBorders>
          </w:tcPr>
          <w:p w14:paraId="6CC4A8AC" w14:textId="77777777" w:rsidR="00364786" w:rsidRDefault="00364786" w:rsidP="00B7183E">
            <w:pPr>
              <w:pStyle w:val="Tabletext1"/>
            </w:pPr>
            <w:r>
              <w:t xml:space="preserve">Serum AMH vs serum FSH levels: </w:t>
            </w:r>
            <w:r w:rsidRPr="001B20EA">
              <w:t>NS</w:t>
            </w:r>
            <w:r>
              <w:t>,</w:t>
            </w:r>
            <w:r w:rsidRPr="001B20EA">
              <w:t xml:space="preserve"> k=</w:t>
            </w:r>
            <w:r>
              <w:t>3</w:t>
            </w:r>
          </w:p>
          <w:p w14:paraId="4F87C4F2" w14:textId="71FD8E0D" w:rsidR="00364786" w:rsidRDefault="00776418" w:rsidP="00B7183E">
            <w:pPr>
              <w:pStyle w:val="Tabletext1"/>
            </w:pPr>
            <w:r>
              <w:t>Detectable AMH vs serum FSH: -</w:t>
            </w:r>
            <w:r w:rsidR="00364786">
              <w:t>0.55, k=1</w:t>
            </w:r>
          </w:p>
        </w:tc>
      </w:tr>
      <w:tr w:rsidR="00364786" w:rsidRPr="001B20EA" w14:paraId="2DFB61FF" w14:textId="77777777" w:rsidTr="00A73F39">
        <w:tc>
          <w:tcPr>
            <w:tcW w:w="2830" w:type="dxa"/>
            <w:tcBorders>
              <w:bottom w:val="nil"/>
            </w:tcBorders>
          </w:tcPr>
          <w:p w14:paraId="309EDF26" w14:textId="77777777" w:rsidR="00364786" w:rsidRPr="001B20EA" w:rsidRDefault="00364786" w:rsidP="00B7183E">
            <w:pPr>
              <w:pStyle w:val="Tabletext1"/>
            </w:pPr>
            <w:r w:rsidRPr="001B20EA">
              <w:t xml:space="preserve">AMH vs </w:t>
            </w:r>
            <w:r>
              <w:t>E2</w:t>
            </w:r>
          </w:p>
        </w:tc>
        <w:tc>
          <w:tcPr>
            <w:tcW w:w="2552" w:type="dxa"/>
            <w:tcBorders>
              <w:bottom w:val="nil"/>
            </w:tcBorders>
          </w:tcPr>
          <w:p w14:paraId="59E37491" w14:textId="77777777" w:rsidR="00364786" w:rsidRPr="001B20EA" w:rsidRDefault="00364786" w:rsidP="00B7183E">
            <w:pPr>
              <w:pStyle w:val="Tabletext1"/>
            </w:pPr>
            <w:r w:rsidRPr="001B20EA">
              <w:t>Spearman’s rank correlation</w:t>
            </w:r>
          </w:p>
        </w:tc>
        <w:tc>
          <w:tcPr>
            <w:tcW w:w="3685" w:type="dxa"/>
            <w:tcBorders>
              <w:bottom w:val="nil"/>
            </w:tcBorders>
          </w:tcPr>
          <w:p w14:paraId="05FBCE9F" w14:textId="77777777" w:rsidR="00364786" w:rsidRDefault="00364786" w:rsidP="00B7183E">
            <w:pPr>
              <w:pStyle w:val="Tabletext1"/>
            </w:pPr>
            <w:r>
              <w:t xml:space="preserve">Positive: </w:t>
            </w:r>
            <w:r w:rsidRPr="001B20EA">
              <w:t>0.</w:t>
            </w:r>
            <w:r>
              <w:t>30</w:t>
            </w:r>
            <w:r w:rsidRPr="001B20EA">
              <w:t xml:space="preserve"> (0.</w:t>
            </w:r>
            <w:r>
              <w:t>15</w:t>
            </w:r>
            <w:r w:rsidRPr="001B20EA">
              <w:t>–0.44</w:t>
            </w:r>
            <w:r>
              <w:t>)</w:t>
            </w:r>
            <w:r w:rsidRPr="001B20EA">
              <w:t>, k=</w:t>
            </w:r>
            <w:r>
              <w:t>2</w:t>
            </w:r>
          </w:p>
          <w:p w14:paraId="28326B7A" w14:textId="0C8EDE9A" w:rsidR="00364786" w:rsidRDefault="007C7765" w:rsidP="00B7183E">
            <w:pPr>
              <w:pStyle w:val="Tabletext1"/>
            </w:pPr>
            <w:r>
              <w:t>Negative: -</w:t>
            </w:r>
            <w:r w:rsidR="00364786">
              <w:t>0.64, k=1</w:t>
            </w:r>
          </w:p>
          <w:p w14:paraId="3151E643" w14:textId="74CC74F3" w:rsidR="00364786" w:rsidRPr="001B20EA" w:rsidRDefault="00B7183E" w:rsidP="00B7183E">
            <w:pPr>
              <w:pStyle w:val="Tabletext1"/>
            </w:pPr>
            <w:r>
              <w:t>Pre-cancer -</w:t>
            </w:r>
            <w:r w:rsidR="00364786">
              <w:t>0.64 and 0.15, k=2</w:t>
            </w:r>
          </w:p>
        </w:tc>
      </w:tr>
      <w:tr w:rsidR="00364786" w:rsidRPr="001B20EA" w14:paraId="49F9FDCD" w14:textId="77777777" w:rsidTr="00A73F39">
        <w:tc>
          <w:tcPr>
            <w:tcW w:w="2830" w:type="dxa"/>
            <w:tcBorders>
              <w:top w:val="nil"/>
              <w:bottom w:val="single" w:sz="4" w:space="0" w:color="auto"/>
            </w:tcBorders>
          </w:tcPr>
          <w:p w14:paraId="1FEB3C52" w14:textId="77777777" w:rsidR="00364786" w:rsidRPr="008D2D1D" w:rsidRDefault="00364786" w:rsidP="00B7183E">
            <w:pPr>
              <w:pStyle w:val="Tabletext1"/>
              <w:rPr>
                <w:color w:val="FFFFFF" w:themeColor="background1"/>
              </w:rPr>
            </w:pPr>
            <w:r w:rsidRPr="008D2D1D">
              <w:rPr>
                <w:color w:val="FFFFFF" w:themeColor="background1"/>
              </w:rPr>
              <w:t>-</w:t>
            </w:r>
          </w:p>
        </w:tc>
        <w:tc>
          <w:tcPr>
            <w:tcW w:w="2552" w:type="dxa"/>
            <w:tcBorders>
              <w:top w:val="nil"/>
              <w:bottom w:val="single" w:sz="4" w:space="0" w:color="auto"/>
            </w:tcBorders>
          </w:tcPr>
          <w:p w14:paraId="1E75D09C" w14:textId="77777777" w:rsidR="00364786" w:rsidRPr="001B20EA" w:rsidRDefault="00364786" w:rsidP="00B7183E">
            <w:pPr>
              <w:pStyle w:val="Tabletext1"/>
            </w:pPr>
            <w:r w:rsidRPr="001B20EA">
              <w:t>Pearson’s bivariate correlation</w:t>
            </w:r>
          </w:p>
        </w:tc>
        <w:tc>
          <w:tcPr>
            <w:tcW w:w="3685" w:type="dxa"/>
            <w:tcBorders>
              <w:top w:val="nil"/>
              <w:bottom w:val="single" w:sz="4" w:space="0" w:color="auto"/>
            </w:tcBorders>
          </w:tcPr>
          <w:p w14:paraId="28D0BAB4" w14:textId="77777777" w:rsidR="00364786" w:rsidRPr="001B20EA" w:rsidRDefault="00364786" w:rsidP="00B7183E">
            <w:pPr>
              <w:pStyle w:val="Tabletext1"/>
            </w:pPr>
            <w:r>
              <w:t>Positive post-cancer: 0.44, k=1</w:t>
            </w:r>
          </w:p>
          <w:p w14:paraId="6A97508C" w14:textId="77777777" w:rsidR="00364786" w:rsidRDefault="00364786" w:rsidP="00B7183E">
            <w:pPr>
              <w:pStyle w:val="Tabletext1"/>
            </w:pPr>
            <w:r>
              <w:t xml:space="preserve">Pre- and post-cancer: </w:t>
            </w:r>
            <w:r w:rsidRPr="001B20EA">
              <w:t>NS (k=1)</w:t>
            </w:r>
          </w:p>
        </w:tc>
      </w:tr>
      <w:tr w:rsidR="00364786" w:rsidRPr="001B20EA" w14:paraId="47095633" w14:textId="77777777" w:rsidTr="00A73F39">
        <w:tc>
          <w:tcPr>
            <w:tcW w:w="2830" w:type="dxa"/>
            <w:tcBorders>
              <w:bottom w:val="nil"/>
            </w:tcBorders>
          </w:tcPr>
          <w:p w14:paraId="168A6D61" w14:textId="2484A960" w:rsidR="00364786" w:rsidRPr="001B20EA" w:rsidRDefault="00364786" w:rsidP="00B7183E">
            <w:pPr>
              <w:pStyle w:val="Tabletext1"/>
            </w:pPr>
            <w:r w:rsidRPr="001B20EA">
              <w:t xml:space="preserve">AMH vs </w:t>
            </w:r>
            <w:r w:rsidR="00573549">
              <w:t>i</w:t>
            </w:r>
            <w:r>
              <w:t>nhibin B</w:t>
            </w:r>
          </w:p>
        </w:tc>
        <w:tc>
          <w:tcPr>
            <w:tcW w:w="2552" w:type="dxa"/>
            <w:tcBorders>
              <w:bottom w:val="nil"/>
            </w:tcBorders>
          </w:tcPr>
          <w:p w14:paraId="5792D5CA" w14:textId="77777777" w:rsidR="00364786" w:rsidRPr="001B20EA" w:rsidRDefault="00364786" w:rsidP="00B7183E">
            <w:pPr>
              <w:pStyle w:val="Tabletext1"/>
            </w:pPr>
            <w:r w:rsidRPr="001B20EA">
              <w:t>Spearman’s rank correlation</w:t>
            </w:r>
          </w:p>
        </w:tc>
        <w:tc>
          <w:tcPr>
            <w:tcW w:w="3685" w:type="dxa"/>
            <w:tcBorders>
              <w:bottom w:val="nil"/>
            </w:tcBorders>
          </w:tcPr>
          <w:p w14:paraId="37207F06" w14:textId="77777777" w:rsidR="00364786" w:rsidRPr="001B20EA" w:rsidRDefault="00364786" w:rsidP="00B7183E">
            <w:pPr>
              <w:pStyle w:val="Tabletext1"/>
            </w:pPr>
            <w:r>
              <w:t>Positive</w:t>
            </w:r>
            <w:r w:rsidRPr="001B20EA">
              <w:t>: 0.72 (0.44–0.87), k=5</w:t>
            </w:r>
          </w:p>
          <w:p w14:paraId="74B5DE72" w14:textId="77777777" w:rsidR="00364786" w:rsidRPr="001B20EA" w:rsidRDefault="00364786" w:rsidP="00B7183E">
            <w:pPr>
              <w:pStyle w:val="Tabletext1"/>
            </w:pPr>
            <w:r w:rsidRPr="001B20EA">
              <w:t>Pre</w:t>
            </w:r>
            <w:r>
              <w:t>-cancer</w:t>
            </w:r>
            <w:r w:rsidRPr="001B20EA">
              <w:t>: 0.32 (0.22–0.42), k=2</w:t>
            </w:r>
          </w:p>
          <w:p w14:paraId="0023B062" w14:textId="77777777" w:rsidR="00364786" w:rsidRPr="001B20EA" w:rsidRDefault="00364786" w:rsidP="00B7183E">
            <w:pPr>
              <w:pStyle w:val="Tabletext1"/>
            </w:pPr>
            <w:r w:rsidRPr="001B20EA">
              <w:t>Post</w:t>
            </w:r>
            <w:r>
              <w:t>-cancer</w:t>
            </w:r>
            <w:r w:rsidRPr="001B20EA">
              <w:t>(4.8 years): 0.52</w:t>
            </w:r>
            <w:r>
              <w:t>,</w:t>
            </w:r>
            <w:r w:rsidRPr="001B20EA">
              <w:t xml:space="preserve"> k=1</w:t>
            </w:r>
          </w:p>
          <w:p w14:paraId="7432418B" w14:textId="1B2F6F30" w:rsidR="00364786" w:rsidRPr="001B20EA" w:rsidRDefault="00364786" w:rsidP="00B7183E">
            <w:pPr>
              <w:pStyle w:val="Tabletext1"/>
            </w:pPr>
            <w:r>
              <w:t>Post-</w:t>
            </w:r>
            <w:r w:rsidRPr="001B20EA">
              <w:t>childhood</w:t>
            </w:r>
            <w:r w:rsidR="00B7183E">
              <w:t xml:space="preserve"> cancer:</w:t>
            </w:r>
            <w:r>
              <w:t xml:space="preserve"> 0.44 (0.43–0.44), k=2</w:t>
            </w:r>
          </w:p>
        </w:tc>
      </w:tr>
      <w:tr w:rsidR="00364786" w:rsidRPr="001B20EA" w14:paraId="3C508D58" w14:textId="77777777" w:rsidTr="00A73F39">
        <w:tc>
          <w:tcPr>
            <w:tcW w:w="2830" w:type="dxa"/>
            <w:tcBorders>
              <w:top w:val="nil"/>
            </w:tcBorders>
          </w:tcPr>
          <w:p w14:paraId="4C3CCF8C" w14:textId="77777777" w:rsidR="00364786" w:rsidRPr="008D2D1D" w:rsidRDefault="00364786" w:rsidP="00B7183E">
            <w:pPr>
              <w:pStyle w:val="Tabletext1"/>
              <w:rPr>
                <w:color w:val="FFFFFF" w:themeColor="background1"/>
              </w:rPr>
            </w:pPr>
            <w:r w:rsidRPr="008D2D1D">
              <w:rPr>
                <w:color w:val="FFFFFF" w:themeColor="background1"/>
              </w:rPr>
              <w:t>-</w:t>
            </w:r>
          </w:p>
        </w:tc>
        <w:tc>
          <w:tcPr>
            <w:tcW w:w="2552" w:type="dxa"/>
            <w:tcBorders>
              <w:top w:val="nil"/>
            </w:tcBorders>
          </w:tcPr>
          <w:p w14:paraId="53F312B6" w14:textId="77777777" w:rsidR="00364786" w:rsidRPr="001B20EA" w:rsidRDefault="00364786" w:rsidP="00B7183E">
            <w:pPr>
              <w:pStyle w:val="Tabletext1"/>
            </w:pPr>
            <w:r w:rsidRPr="001B20EA">
              <w:t>Pearson’s bivariate correlation</w:t>
            </w:r>
          </w:p>
        </w:tc>
        <w:tc>
          <w:tcPr>
            <w:tcW w:w="3685" w:type="dxa"/>
            <w:tcBorders>
              <w:top w:val="nil"/>
            </w:tcBorders>
          </w:tcPr>
          <w:p w14:paraId="2F21BCB1" w14:textId="77777777" w:rsidR="00364786" w:rsidRDefault="00364786" w:rsidP="00B7183E">
            <w:pPr>
              <w:pStyle w:val="Tabletext1"/>
            </w:pPr>
            <w:r>
              <w:t>Positive pre- and post-cancer:</w:t>
            </w:r>
            <w:r w:rsidRPr="001B20EA">
              <w:t xml:space="preserve"> </w:t>
            </w:r>
            <w:r>
              <w:t>0.84</w:t>
            </w:r>
            <w:r w:rsidRPr="001B20EA">
              <w:t>, k=</w:t>
            </w:r>
            <w:r>
              <w:t>1</w:t>
            </w:r>
          </w:p>
        </w:tc>
      </w:tr>
    </w:tbl>
    <w:p w14:paraId="794B47E6" w14:textId="7A2EB709" w:rsidR="00364786" w:rsidRPr="00146587" w:rsidRDefault="00364786" w:rsidP="00146587">
      <w:pPr>
        <w:pStyle w:val="Tablenotes0"/>
      </w:pPr>
      <w:r w:rsidRPr="00146587">
        <w:t>AFC = antral follicle count; AMH = anti-Müllerian hormone; FSH = foll</w:t>
      </w:r>
      <w:r w:rsidR="00146587" w:rsidRPr="00146587">
        <w:t>icle</w:t>
      </w:r>
      <w:r w:rsidR="00DE6DD5">
        <w:t>-</w:t>
      </w:r>
      <w:r w:rsidR="00146587" w:rsidRPr="00146587">
        <w:t>stimulating hormone; E2 = estradiol</w:t>
      </w:r>
      <w:r w:rsidRPr="00146587">
        <w:t>; k = number of studies</w:t>
      </w:r>
    </w:p>
    <w:p w14:paraId="10DBC637" w14:textId="60560917" w:rsidR="007518CF" w:rsidRDefault="00364786" w:rsidP="00364786">
      <w:pPr>
        <w:jc w:val="both"/>
        <w:rPr>
          <w:color w:val="000000" w:themeColor="text1"/>
        </w:rPr>
      </w:pPr>
      <w:r>
        <w:rPr>
          <w:color w:val="000000" w:themeColor="text1"/>
        </w:rPr>
        <w:t xml:space="preserve">All included studies found AMH serum levels to be positively correlated with </w:t>
      </w:r>
      <w:r w:rsidRPr="00F867CE">
        <w:rPr>
          <w:color w:val="000000" w:themeColor="text1"/>
        </w:rPr>
        <w:t>AFC</w:t>
      </w:r>
      <w:r>
        <w:rPr>
          <w:color w:val="000000" w:themeColor="text1"/>
        </w:rPr>
        <w:t xml:space="preserve">, </w:t>
      </w:r>
      <w:r w:rsidRPr="00F867CE">
        <w:rPr>
          <w:color w:val="000000" w:themeColor="text1"/>
        </w:rPr>
        <w:t>density of primordial follicles</w:t>
      </w:r>
      <w:r>
        <w:rPr>
          <w:color w:val="000000" w:themeColor="text1"/>
        </w:rPr>
        <w:t>, and i</w:t>
      </w:r>
      <w:r w:rsidRPr="00F867CE">
        <w:rPr>
          <w:color w:val="000000" w:themeColor="text1"/>
        </w:rPr>
        <w:t>nhibin B</w:t>
      </w:r>
      <w:r>
        <w:rPr>
          <w:color w:val="000000" w:themeColor="text1"/>
        </w:rPr>
        <w:t xml:space="preserve"> serum levels. When the serum levels of AMH and inhibin B are compared with AFC and ovarian </w:t>
      </w:r>
      <w:r w:rsidRPr="001F23FD">
        <w:rPr>
          <w:color w:val="000000" w:themeColor="text1"/>
        </w:rPr>
        <w:t>reserve in</w:t>
      </w:r>
      <w:r w:rsidR="00A42B1E">
        <w:rPr>
          <w:color w:val="000000" w:themeColor="text1"/>
        </w:rPr>
        <w:t xml:space="preserve"> </w:t>
      </w:r>
      <w:r w:rsidR="00A42B1E">
        <w:rPr>
          <w:color w:val="000000" w:themeColor="text1"/>
        </w:rPr>
        <w:fldChar w:fldCharType="begin"/>
      </w:r>
      <w:r w:rsidR="00A42B1E">
        <w:rPr>
          <w:color w:val="000000" w:themeColor="text1"/>
        </w:rPr>
        <w:instrText xml:space="preserve"> REF _Ref502758420 \h </w:instrText>
      </w:r>
      <w:r w:rsidR="00A42B1E">
        <w:rPr>
          <w:color w:val="000000" w:themeColor="text1"/>
        </w:rPr>
      </w:r>
      <w:r w:rsidR="00A42B1E">
        <w:rPr>
          <w:color w:val="000000" w:themeColor="text1"/>
        </w:rPr>
        <w:fldChar w:fldCharType="separate"/>
      </w:r>
      <w:r w:rsidR="00AC4BE5">
        <w:t xml:space="preserve">Figure </w:t>
      </w:r>
      <w:r w:rsidR="00AC4BE5">
        <w:rPr>
          <w:noProof/>
        </w:rPr>
        <w:t>1</w:t>
      </w:r>
      <w:r w:rsidR="00A42B1E">
        <w:rPr>
          <w:color w:val="000000" w:themeColor="text1"/>
        </w:rPr>
        <w:fldChar w:fldCharType="end"/>
      </w:r>
      <w:r w:rsidR="00A42B1E">
        <w:rPr>
          <w:color w:val="000000" w:themeColor="text1"/>
        </w:rPr>
        <w:t>,</w:t>
      </w:r>
      <w:r w:rsidRPr="001F23FD">
        <w:rPr>
          <w:color w:val="000000" w:themeColor="text1"/>
        </w:rPr>
        <w:t xml:space="preserve"> they all</w:t>
      </w:r>
      <w:r>
        <w:rPr>
          <w:color w:val="000000" w:themeColor="text1"/>
        </w:rPr>
        <w:t xml:space="preserve"> trend downwards as women approach menopause. Thus, a positive correlation is to be expected and confirms the ability of the AMH test to detect decreased AMH serum levels relative to the decreases detected by the other tests.</w:t>
      </w:r>
    </w:p>
    <w:p w14:paraId="5063F51E" w14:textId="63E32CF8" w:rsidR="00364786" w:rsidRDefault="00364786" w:rsidP="00364786">
      <w:pPr>
        <w:jc w:val="both"/>
        <w:rPr>
          <w:color w:val="000000" w:themeColor="text1"/>
        </w:rPr>
      </w:pPr>
      <w:r>
        <w:rPr>
          <w:color w:val="000000" w:themeColor="text1"/>
        </w:rPr>
        <w:lastRenderedPageBreak/>
        <w:t>Two studies found AMH serum levels to be negatively correlated with FSH serum levels, and another study that did not find a significant correlation between AMH and FSH serum levels, found a negative correlation between d</w:t>
      </w:r>
      <w:r w:rsidRPr="008D2D1D">
        <w:rPr>
          <w:color w:val="000000" w:themeColor="text1"/>
        </w:rPr>
        <w:t>etectable</w:t>
      </w:r>
      <w:r>
        <w:rPr>
          <w:color w:val="000000" w:themeColor="text1"/>
        </w:rPr>
        <w:t xml:space="preserve">/undetectable </w:t>
      </w:r>
      <w:r w:rsidRPr="008D2D1D">
        <w:rPr>
          <w:color w:val="000000" w:themeColor="text1"/>
        </w:rPr>
        <w:t xml:space="preserve">AMH </w:t>
      </w:r>
      <w:r>
        <w:rPr>
          <w:color w:val="000000" w:themeColor="text1"/>
        </w:rPr>
        <w:t>and</w:t>
      </w:r>
      <w:r w:rsidRPr="008D2D1D">
        <w:rPr>
          <w:color w:val="000000" w:themeColor="text1"/>
        </w:rPr>
        <w:t xml:space="preserve"> F</w:t>
      </w:r>
      <w:r>
        <w:rPr>
          <w:color w:val="000000" w:themeColor="text1"/>
        </w:rPr>
        <w:t>SH</w:t>
      </w:r>
      <w:r w:rsidRPr="008D2D1D">
        <w:rPr>
          <w:color w:val="000000" w:themeColor="text1"/>
        </w:rPr>
        <w:t xml:space="preserve"> serum </w:t>
      </w:r>
      <w:r w:rsidRPr="001F23FD">
        <w:rPr>
          <w:color w:val="000000" w:themeColor="text1"/>
        </w:rPr>
        <w:t>levels. From</w:t>
      </w:r>
      <w:r w:rsidR="008A26FB" w:rsidRPr="001F23FD">
        <w:rPr>
          <w:color w:val="000000" w:themeColor="text1"/>
        </w:rPr>
        <w:t xml:space="preserve"> </w:t>
      </w:r>
      <w:r w:rsidR="00A42B1E">
        <w:rPr>
          <w:color w:val="000000" w:themeColor="text1"/>
        </w:rPr>
        <w:fldChar w:fldCharType="begin"/>
      </w:r>
      <w:r w:rsidR="00A42B1E">
        <w:rPr>
          <w:color w:val="000000" w:themeColor="text1"/>
        </w:rPr>
        <w:instrText xml:space="preserve"> REF _Ref502758420 \h </w:instrText>
      </w:r>
      <w:r w:rsidR="00A42B1E">
        <w:rPr>
          <w:color w:val="000000" w:themeColor="text1"/>
        </w:rPr>
      </w:r>
      <w:r w:rsidR="00A42B1E">
        <w:rPr>
          <w:color w:val="000000" w:themeColor="text1"/>
        </w:rPr>
        <w:fldChar w:fldCharType="separate"/>
      </w:r>
      <w:r w:rsidR="00AC4BE5">
        <w:t xml:space="preserve">Figure </w:t>
      </w:r>
      <w:r w:rsidR="00AC4BE5">
        <w:rPr>
          <w:noProof/>
        </w:rPr>
        <w:t>1</w:t>
      </w:r>
      <w:r w:rsidR="00A42B1E">
        <w:rPr>
          <w:color w:val="000000" w:themeColor="text1"/>
        </w:rPr>
        <w:fldChar w:fldCharType="end"/>
      </w:r>
      <w:r>
        <w:rPr>
          <w:color w:val="000000" w:themeColor="text1"/>
        </w:rPr>
        <w:t>, it can be seen that as AMH levels decrease prior to menopause, FSH levels increase, especially after 40 years of age. Thus, a negative correlation would be expected. However, five studies found no significant correlation</w:t>
      </w:r>
      <w:r w:rsidRPr="00342184">
        <w:rPr>
          <w:color w:val="000000" w:themeColor="text1"/>
        </w:rPr>
        <w:t xml:space="preserve"> </w:t>
      </w:r>
      <w:r>
        <w:rPr>
          <w:color w:val="000000" w:themeColor="text1"/>
        </w:rPr>
        <w:t>between AMH and FSH serum levels. The reasons for these discrepancies are unclear. Of the four studies that used early follicular phase blood samples for testing, two showed a correlation and two showed no significant correlation. Of the three studies that used blood samples from an</w:t>
      </w:r>
      <w:r w:rsidR="00573549">
        <w:rPr>
          <w:color w:val="000000" w:themeColor="text1"/>
        </w:rPr>
        <w:t>y stage of the menstrual cycle, or did not report the stage at which samples were taken</w:t>
      </w:r>
      <w:r>
        <w:rPr>
          <w:color w:val="000000" w:themeColor="text1"/>
        </w:rPr>
        <w:t xml:space="preserve">, one showed a correlation between </w:t>
      </w:r>
      <w:r w:rsidRPr="004675AC">
        <w:rPr>
          <w:color w:val="000000" w:themeColor="text1"/>
        </w:rPr>
        <w:t>det</w:t>
      </w:r>
      <w:r w:rsidR="00205BD5">
        <w:rPr>
          <w:color w:val="000000" w:themeColor="text1"/>
        </w:rPr>
        <w:t>ectable/undetectable AMH and FSH</w:t>
      </w:r>
      <w:r w:rsidRPr="004675AC">
        <w:rPr>
          <w:color w:val="000000" w:themeColor="text1"/>
        </w:rPr>
        <w:t xml:space="preserve"> serum levels</w:t>
      </w:r>
      <w:r>
        <w:rPr>
          <w:color w:val="000000" w:themeColor="text1"/>
        </w:rPr>
        <w:t>.</w:t>
      </w:r>
    </w:p>
    <w:p w14:paraId="25BF4F2D" w14:textId="61960645" w:rsidR="00364786" w:rsidRDefault="00364786" w:rsidP="00364786">
      <w:pPr>
        <w:jc w:val="both"/>
        <w:rPr>
          <w:color w:val="000000" w:themeColor="text1"/>
        </w:rPr>
      </w:pPr>
      <w:r>
        <w:rPr>
          <w:color w:val="000000" w:themeColor="text1"/>
        </w:rPr>
        <w:t xml:space="preserve">Three studies found a positive correlation between AMH and E2 serum levels, as expected </w:t>
      </w:r>
      <w:r w:rsidR="005D39D8">
        <w:rPr>
          <w:color w:val="000000" w:themeColor="text1"/>
        </w:rPr>
        <w:t xml:space="preserve">in </w:t>
      </w:r>
      <w:r w:rsidR="005D39D8" w:rsidRPr="001F23FD">
        <w:rPr>
          <w:color w:val="000000" w:themeColor="text1"/>
        </w:rPr>
        <w:t>accordance with</w:t>
      </w:r>
      <w:r w:rsidR="00573549" w:rsidRPr="001F23FD">
        <w:rPr>
          <w:color w:val="000000" w:themeColor="text1"/>
        </w:rPr>
        <w:t xml:space="preserve"> </w:t>
      </w:r>
      <w:r w:rsidR="00A42B1E">
        <w:rPr>
          <w:color w:val="000000" w:themeColor="text1"/>
        </w:rPr>
        <w:fldChar w:fldCharType="begin"/>
      </w:r>
      <w:r w:rsidR="00A42B1E">
        <w:rPr>
          <w:color w:val="000000" w:themeColor="text1"/>
        </w:rPr>
        <w:instrText xml:space="preserve"> REF _Ref502758420 \h </w:instrText>
      </w:r>
      <w:r w:rsidR="00A42B1E">
        <w:rPr>
          <w:color w:val="000000" w:themeColor="text1"/>
        </w:rPr>
      </w:r>
      <w:r w:rsidR="00A42B1E">
        <w:rPr>
          <w:color w:val="000000" w:themeColor="text1"/>
        </w:rPr>
        <w:fldChar w:fldCharType="separate"/>
      </w:r>
      <w:r w:rsidR="00AC4BE5">
        <w:t xml:space="preserve">Figure </w:t>
      </w:r>
      <w:r w:rsidR="00AC4BE5">
        <w:rPr>
          <w:noProof/>
        </w:rPr>
        <w:t>1</w:t>
      </w:r>
      <w:r w:rsidR="00A42B1E">
        <w:rPr>
          <w:color w:val="000000" w:themeColor="text1"/>
        </w:rPr>
        <w:fldChar w:fldCharType="end"/>
      </w:r>
      <w:r>
        <w:rPr>
          <w:color w:val="000000" w:themeColor="text1"/>
        </w:rPr>
        <w:t>. Both these studies used blood samples taken at any time during the menstrual cycle. The two studies that compared AMH and E2 serum levels from early follicular phase blood samples found either a negative correlation or no significant correlation. Again</w:t>
      </w:r>
      <w:r w:rsidR="005D39D8">
        <w:rPr>
          <w:color w:val="000000" w:themeColor="text1"/>
        </w:rPr>
        <w:t>,</w:t>
      </w:r>
      <w:r>
        <w:rPr>
          <w:color w:val="000000" w:themeColor="text1"/>
        </w:rPr>
        <w:t xml:space="preserve"> the reason for these discrepancies is unclear.</w:t>
      </w:r>
    </w:p>
    <w:p w14:paraId="76145790" w14:textId="6471311C" w:rsidR="00200788" w:rsidRDefault="004A4C05" w:rsidP="00364786">
      <w:pPr>
        <w:jc w:val="both"/>
        <w:rPr>
          <w:color w:val="000000" w:themeColor="text1"/>
        </w:rPr>
      </w:pPr>
      <w:r>
        <w:rPr>
          <w:color w:val="000000" w:themeColor="text1"/>
        </w:rPr>
        <w:t>Two studies reported</w:t>
      </w:r>
      <w:r w:rsidR="00595451">
        <w:rPr>
          <w:color w:val="000000" w:themeColor="text1"/>
        </w:rPr>
        <w:t xml:space="preserve"> both</w:t>
      </w:r>
      <w:r>
        <w:rPr>
          <w:color w:val="000000" w:themeColor="text1"/>
        </w:rPr>
        <w:t xml:space="preserve"> </w:t>
      </w:r>
      <w:r w:rsidR="00595451">
        <w:rPr>
          <w:color w:val="000000" w:themeColor="text1"/>
        </w:rPr>
        <w:t xml:space="preserve">the concordance between AMH and AFC, and the concordance between FSH or E2 and AFC </w:t>
      </w:r>
      <w:r w:rsidR="00577E24">
        <w:rPr>
          <w:color w:val="000000" w:themeColor="text1"/>
        </w:rPr>
        <w:fldChar w:fldCharType="begin">
          <w:fldData xml:space="preserve">PEVuZE5vdGU+PENpdGU+PEF1dGhvcj5MZWU8L0F1dGhvcj48WWVhcj4yMDExPC9ZZWFyPjxSZWNO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</w:fldData>
        </w:fldChar>
      </w:r>
      <w:r w:rsidR="00577E24">
        <w:rPr>
          <w:color w:val="000000" w:themeColor="text1"/>
        </w:rPr>
        <w:instrText xml:space="preserve"> ADDIN EN.CITE </w:instrText>
      </w:r>
      <w:r w:rsidR="00577E24">
        <w:rPr>
          <w:color w:val="000000" w:themeColor="text1"/>
        </w:rPr>
        <w:fldChar w:fldCharType="begin">
          <w:fldData xml:space="preserve">PEVuZE5vdGU+PENpdGU+PEF1dGhvcj5MZWU8L0F1dGhvcj48WWVhcj4yMDExPC9ZZWFyPjxSZWNO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</w:fldData>
        </w:fldChar>
      </w:r>
      <w:r w:rsidR="00577E24">
        <w:rPr>
          <w:color w:val="000000" w:themeColor="text1"/>
        </w:rPr>
        <w:instrText xml:space="preserve"> ADDIN EN.CITE.DATA </w:instrText>
      </w:r>
      <w:r w:rsidR="00577E24">
        <w:rPr>
          <w:color w:val="000000" w:themeColor="text1"/>
        </w:rPr>
      </w:r>
      <w:r w:rsidR="00577E24">
        <w:rPr>
          <w:color w:val="000000" w:themeColor="text1"/>
        </w:rPr>
        <w:fldChar w:fldCharType="end"/>
      </w:r>
      <w:r w:rsidR="00577E24">
        <w:rPr>
          <w:color w:val="000000" w:themeColor="text1"/>
        </w:rPr>
      </w:r>
      <w:r w:rsidR="00577E24">
        <w:rPr>
          <w:color w:val="000000" w:themeColor="text1"/>
        </w:rPr>
        <w:fldChar w:fldCharType="separate"/>
      </w:r>
      <w:r w:rsidR="00577E24">
        <w:rPr>
          <w:noProof/>
          <w:color w:val="000000" w:themeColor="text1"/>
        </w:rPr>
        <w:t>(</w:t>
      </w:r>
      <w:hyperlink w:anchor="_ENREF_36" w:tooltip="Lee, 2011 #222" w:history="1">
        <w:r w:rsidR="00835BA6">
          <w:rPr>
            <w:noProof/>
            <w:color w:val="000000" w:themeColor="text1"/>
          </w:rPr>
          <w:t>Lee et al. 2011</w:t>
        </w:r>
      </w:hyperlink>
      <w:r w:rsidR="00577E24">
        <w:rPr>
          <w:noProof/>
          <w:color w:val="000000" w:themeColor="text1"/>
        </w:rPr>
        <w:t xml:space="preserve">; </w:t>
      </w:r>
      <w:hyperlink w:anchor="_ENREF_55" w:tooltip="Paradisi, 2016 #281" w:history="1">
        <w:r w:rsidR="00835BA6">
          <w:rPr>
            <w:noProof/>
            <w:color w:val="000000" w:themeColor="text1"/>
          </w:rPr>
          <w:t>Paradisi et al. 2016</w:t>
        </w:r>
      </w:hyperlink>
      <w:r w:rsidR="00577E24">
        <w:rPr>
          <w:noProof/>
          <w:color w:val="000000" w:themeColor="text1"/>
        </w:rPr>
        <w:t>)</w:t>
      </w:r>
      <w:r w:rsidR="00577E24">
        <w:rPr>
          <w:color w:val="000000" w:themeColor="text1"/>
        </w:rPr>
        <w:fldChar w:fldCharType="end"/>
      </w:r>
      <w:r w:rsidR="00595451">
        <w:rPr>
          <w:color w:val="000000" w:themeColor="text1"/>
        </w:rPr>
        <w:t xml:space="preserve">. </w:t>
      </w:r>
      <w:r w:rsidR="002548B1">
        <w:rPr>
          <w:color w:val="000000" w:themeColor="text1"/>
        </w:rPr>
        <w:t>Both studies used the Spearman rank</w:t>
      </w:r>
      <w:r w:rsidR="005D39D8">
        <w:rPr>
          <w:color w:val="000000" w:themeColor="text1"/>
        </w:rPr>
        <w:t xml:space="preserve"> correlation test and showed a stronger</w:t>
      </w:r>
      <w:r w:rsidR="002548B1">
        <w:rPr>
          <w:color w:val="000000" w:themeColor="text1"/>
        </w:rPr>
        <w:t xml:space="preserve"> correlation between AMH and AFC</w:t>
      </w:r>
      <w:r w:rsidR="005D39D8">
        <w:rPr>
          <w:color w:val="000000" w:themeColor="text1"/>
        </w:rPr>
        <w:t xml:space="preserve"> (rho= 0.44; p&lt;0.005</w:t>
      </w:r>
      <w:r w:rsidR="00951E18">
        <w:rPr>
          <w:color w:val="000000" w:themeColor="text1"/>
        </w:rPr>
        <w:t xml:space="preserve"> and </w:t>
      </w:r>
      <w:r w:rsidR="005D39D8">
        <w:rPr>
          <w:color w:val="000000" w:themeColor="text1"/>
        </w:rPr>
        <w:t>rho</w:t>
      </w:r>
      <w:r w:rsidR="00EB382C">
        <w:rPr>
          <w:color w:val="000000" w:themeColor="text1"/>
        </w:rPr>
        <w:t>=</w:t>
      </w:r>
      <w:r w:rsidR="00951E18">
        <w:rPr>
          <w:color w:val="000000" w:themeColor="text1"/>
        </w:rPr>
        <w:t>0.52</w:t>
      </w:r>
      <w:r w:rsidR="005D39D8">
        <w:rPr>
          <w:color w:val="000000" w:themeColor="text1"/>
        </w:rPr>
        <w:t>; p&lt;0.001, respectively)</w:t>
      </w:r>
      <w:r w:rsidR="002548B1">
        <w:rPr>
          <w:color w:val="000000" w:themeColor="text1"/>
        </w:rPr>
        <w:t>, compared to FSH and AFC</w:t>
      </w:r>
      <w:r w:rsidR="005D39D8">
        <w:rPr>
          <w:color w:val="000000" w:themeColor="text1"/>
        </w:rPr>
        <w:t xml:space="preserve"> (rho non-significant</w:t>
      </w:r>
      <w:r w:rsidR="00951E18">
        <w:rPr>
          <w:color w:val="000000" w:themeColor="text1"/>
        </w:rPr>
        <w:t xml:space="preserve"> a</w:t>
      </w:r>
      <w:r w:rsidR="005D39D8">
        <w:rPr>
          <w:color w:val="000000" w:themeColor="text1"/>
        </w:rPr>
        <w:t>nd rho</w:t>
      </w:r>
      <w:r w:rsidR="00EB382C">
        <w:rPr>
          <w:color w:val="000000" w:themeColor="text1"/>
        </w:rPr>
        <w:t>=</w:t>
      </w:r>
      <w:r w:rsidR="005D39D8">
        <w:rPr>
          <w:color w:val="000000" w:themeColor="text1"/>
        </w:rPr>
        <w:t>0.02; p=0.776, respectively)</w:t>
      </w:r>
      <w:r w:rsidR="002548B1">
        <w:rPr>
          <w:color w:val="000000" w:themeColor="text1"/>
        </w:rPr>
        <w:t>. One stu</w:t>
      </w:r>
      <w:r w:rsidR="005D39D8">
        <w:rPr>
          <w:color w:val="000000" w:themeColor="text1"/>
        </w:rPr>
        <w:t>dy also compared E2 with AFC, yielding a r</w:t>
      </w:r>
      <w:r w:rsidR="00F54B49">
        <w:rPr>
          <w:color w:val="000000" w:themeColor="text1"/>
        </w:rPr>
        <w:t>ho</w:t>
      </w:r>
      <w:r w:rsidR="002548B1">
        <w:rPr>
          <w:color w:val="000000" w:themeColor="text1"/>
        </w:rPr>
        <w:t xml:space="preserve"> </w:t>
      </w:r>
      <w:r w:rsidR="005D39D8">
        <w:rPr>
          <w:color w:val="000000" w:themeColor="text1"/>
        </w:rPr>
        <w:t xml:space="preserve">value </w:t>
      </w:r>
      <w:r w:rsidR="002548B1">
        <w:rPr>
          <w:color w:val="000000" w:themeColor="text1"/>
        </w:rPr>
        <w:t xml:space="preserve">of </w:t>
      </w:r>
      <w:r w:rsidR="00F54B49">
        <w:rPr>
          <w:color w:val="000000" w:themeColor="text1"/>
        </w:rPr>
        <w:t>0.15 (p</w:t>
      </w:r>
      <w:r w:rsidR="00EB382C">
        <w:rPr>
          <w:color w:val="000000" w:themeColor="text1"/>
        </w:rPr>
        <w:t>=</w:t>
      </w:r>
      <w:r w:rsidR="00F54B49">
        <w:rPr>
          <w:color w:val="000000" w:themeColor="text1"/>
        </w:rPr>
        <w:t>0.040), compared to 0.52 (p&lt;0.001) for AMH compared to AFC.</w:t>
      </w:r>
    </w:p>
    <w:p w14:paraId="1630FDF9" w14:textId="10DBE837" w:rsidR="00364786" w:rsidRDefault="00364786" w:rsidP="003F773B">
      <w:pPr>
        <w:pStyle w:val="Heading2"/>
        <w:numPr>
          <w:ilvl w:val="1"/>
          <w:numId w:val="22"/>
        </w:numPr>
      </w:pPr>
      <w:bookmarkStart w:id="282" w:name="_Toc502832941"/>
      <w:r w:rsidRPr="00BA56CC">
        <w:t xml:space="preserve">Interpretation of evidence on </w:t>
      </w:r>
      <w:r w:rsidR="009978E1">
        <w:t>analytical validity</w:t>
      </w:r>
      <w:bookmarkEnd w:id="282"/>
    </w:p>
    <w:p w14:paraId="48BA54F5" w14:textId="77777777" w:rsidR="007518CF" w:rsidRDefault="009978E1" w:rsidP="004507E0">
      <w:pPr>
        <w:jc w:val="both"/>
      </w:pPr>
      <w:r>
        <w:t>The information on the analytical validity of the AMH test focuses on whether the test results are reliable, and how they correlate with other tests which are currently in clinical practice.</w:t>
      </w:r>
    </w:p>
    <w:p w14:paraId="2B746FF2" w14:textId="6636B851" w:rsidR="007518CF" w:rsidRDefault="00333A39" w:rsidP="004507E0">
      <w:pPr>
        <w:jc w:val="both"/>
      </w:pPr>
      <w:r>
        <w:t>This is a</w:t>
      </w:r>
      <w:r w:rsidR="00D11BBA">
        <w:t xml:space="preserve"> slightly different concept to </w:t>
      </w:r>
      <w:r>
        <w:t xml:space="preserve">prognostic </w:t>
      </w:r>
      <w:r w:rsidR="004507E0">
        <w:t>value</w:t>
      </w:r>
      <w:r w:rsidR="00D11BBA">
        <w:t xml:space="preserve"> or clinical validity,</w:t>
      </w:r>
      <w:r>
        <w:t xml:space="preserve"> which is whether AMH testing can predict</w:t>
      </w:r>
      <w:r w:rsidR="00D11BBA">
        <w:t xml:space="preserve"> who will have ovarian failure </w:t>
      </w:r>
      <w:r>
        <w:t>or oth</w:t>
      </w:r>
      <w:r w:rsidR="00D11BBA">
        <w:t xml:space="preserve">er clinically relevant outcomes such as the ability to conceive in the future, including </w:t>
      </w:r>
      <w:r w:rsidR="00ED1F5D">
        <w:t>a</w:t>
      </w:r>
      <w:r w:rsidR="00D11BBA">
        <w:t xml:space="preserve"> time element</w:t>
      </w:r>
      <w:r>
        <w:t>.</w:t>
      </w:r>
    </w:p>
    <w:p w14:paraId="2C29083A" w14:textId="78EDAD8C" w:rsidR="007518CF" w:rsidRDefault="00333A39" w:rsidP="004507E0">
      <w:pPr>
        <w:jc w:val="both"/>
      </w:pPr>
      <w:r>
        <w:t xml:space="preserve">Studies which used </w:t>
      </w:r>
      <w:r w:rsidR="00ED1F5D">
        <w:t xml:space="preserve">the </w:t>
      </w:r>
      <w:r>
        <w:t>presence or absence of m</w:t>
      </w:r>
      <w:r w:rsidR="00ED1F5D">
        <w:t>enses as the reference standard</w:t>
      </w:r>
      <w:r>
        <w:t xml:space="preserve"> found that the accuracy of AMH testing varied largely between different assays, and that about </w:t>
      </w:r>
      <w:r w:rsidRPr="00871436">
        <w:t xml:space="preserve">30% of women who will resume menstruation had a </w:t>
      </w:r>
      <w:r w:rsidR="00772EDC">
        <w:t>false-negative result</w:t>
      </w:r>
      <w:r w:rsidRPr="00871436">
        <w:t xml:space="preserve"> (undetectable AMH).</w:t>
      </w:r>
    </w:p>
    <w:p w14:paraId="708BFB2B" w14:textId="2CF773FA" w:rsidR="00364786" w:rsidRDefault="005B3CFD" w:rsidP="00364786">
      <w:pPr>
        <w:pStyle w:val="Heading3"/>
      </w:pPr>
      <w:bookmarkStart w:id="283" w:name="_Toc502832942"/>
      <w:r>
        <w:t>Analytical validity</w:t>
      </w:r>
      <w:r w:rsidR="00364786">
        <w:t xml:space="preserve"> of AMH testing compared with a clinical reference standard</w:t>
      </w:r>
      <w:bookmarkEnd w:id="283"/>
    </w:p>
    <w:p w14:paraId="38A07C80" w14:textId="207169A4" w:rsidR="007518CF" w:rsidRDefault="00A22F16" w:rsidP="007C7765">
      <w:pPr>
        <w:jc w:val="both"/>
      </w:pPr>
      <w:r>
        <w:t>One study</w:t>
      </w:r>
      <w:r w:rsidR="00364786">
        <w:t xml:space="preserve"> reported on the </w:t>
      </w:r>
      <w:r w:rsidR="005B3CFD">
        <w:t>analytical validity</w:t>
      </w:r>
      <w:r w:rsidR="00364786">
        <w:t xml:space="preserve"> of the </w:t>
      </w:r>
      <w:r w:rsidR="004507E0">
        <w:t>p</w:t>
      </w:r>
      <w:r w:rsidR="00364786" w:rsidRPr="00871436">
        <w:t xml:space="preserve">ico-AMH ELISA </w:t>
      </w:r>
      <w:r w:rsidR="00364786">
        <w:t>test</w:t>
      </w:r>
      <w:r>
        <w:t xml:space="preserve"> and the </w:t>
      </w:r>
      <w:r w:rsidRPr="00931C41">
        <w:rPr>
          <w:snapToGrid w:val="0"/>
          <w:lang w:eastAsia="en-US"/>
        </w:rPr>
        <w:t>EIA AMH/MIS assa</w:t>
      </w:r>
      <w:r>
        <w:rPr>
          <w:snapToGrid w:val="0"/>
          <w:lang w:eastAsia="en-US"/>
        </w:rPr>
        <w:t>y</w:t>
      </w:r>
      <w:r w:rsidR="00364786">
        <w:t xml:space="preserve"> compared to menstrual status as a clinical reference standard. </w:t>
      </w:r>
      <w:r>
        <w:t xml:space="preserve">The sensitivity of the </w:t>
      </w:r>
      <w:r w:rsidR="004507E0">
        <w:t>p</w:t>
      </w:r>
      <w:r w:rsidRPr="00871436">
        <w:t>ico-AMH ELISA</w:t>
      </w:r>
      <w:r>
        <w:t xml:space="preserve"> was significantly higher (71% compared to 11%) than the older </w:t>
      </w:r>
      <w:r w:rsidRPr="00931C41">
        <w:rPr>
          <w:snapToGrid w:val="0"/>
          <w:lang w:eastAsia="en-US"/>
        </w:rPr>
        <w:t>EIA AMH/MIS assa</w:t>
      </w:r>
      <w:r>
        <w:rPr>
          <w:snapToGrid w:val="0"/>
          <w:lang w:eastAsia="en-US"/>
        </w:rPr>
        <w:t>y.</w:t>
      </w:r>
      <w:r>
        <w:t xml:space="preserve"> </w:t>
      </w:r>
      <w:r w:rsidR="00364786" w:rsidRPr="00871436">
        <w:t>Th</w:t>
      </w:r>
      <w:r w:rsidR="00364786">
        <w:t xml:space="preserve">e vast </w:t>
      </w:r>
      <w:r w:rsidR="00364786">
        <w:lastRenderedPageBreak/>
        <w:t>difference in sensitivity between the two AMH tests i</w:t>
      </w:r>
      <w:r w:rsidR="00364786" w:rsidRPr="00871436">
        <w:t>s likely due to the 40-fold difference in the level of AMH detectable by the</w:t>
      </w:r>
      <w:r w:rsidR="00364786">
        <w:t>se</w:t>
      </w:r>
      <w:r w:rsidR="00364786" w:rsidRPr="00871436">
        <w:t xml:space="preserve"> tests</w:t>
      </w:r>
      <w:r w:rsidR="00364786">
        <w:t xml:space="preserve"> with the </w:t>
      </w:r>
      <w:r w:rsidR="000701EE">
        <w:t>pico</w:t>
      </w:r>
      <w:r w:rsidR="00364786" w:rsidRPr="009C79E3">
        <w:t>-AMH ELISA test</w:t>
      </w:r>
      <w:r w:rsidR="00364786" w:rsidRPr="00871436">
        <w:t xml:space="preserve"> </w:t>
      </w:r>
      <w:r>
        <w:t>being more sensitive.</w:t>
      </w:r>
    </w:p>
    <w:p w14:paraId="29DF3D48" w14:textId="7FCB7DE2" w:rsidR="007518CF" w:rsidRDefault="00364786" w:rsidP="007C7765">
      <w:pPr>
        <w:jc w:val="both"/>
      </w:pPr>
      <w:r>
        <w:t xml:space="preserve">Many women had very </w:t>
      </w:r>
      <w:r w:rsidRPr="00871436">
        <w:t xml:space="preserve">low AMH levels in the early </w:t>
      </w:r>
      <w:r>
        <w:t xml:space="preserve">ovarian </w:t>
      </w:r>
      <w:r w:rsidRPr="00871436">
        <w:t>recovery period</w:t>
      </w:r>
      <w:r w:rsidR="00A22F16">
        <w:t>. T</w:t>
      </w:r>
      <w:r w:rsidRPr="00871436">
        <w:t xml:space="preserve">hus, if the presence of detectable AMH in the serum is used to determine ovarian recovery in women soon after completion of chemotherapy, a sensitive AMH test is needed to detect </w:t>
      </w:r>
      <w:r w:rsidR="00A22F16">
        <w:t xml:space="preserve">these very low AMH levels. </w:t>
      </w:r>
      <w:r w:rsidRPr="00871436">
        <w:t xml:space="preserve">Even </w:t>
      </w:r>
      <w:r>
        <w:t>using a sensitive test</w:t>
      </w:r>
      <w:r w:rsidRPr="00871436">
        <w:t xml:space="preserve">, about 30% of women who will resume menstruation had a </w:t>
      </w:r>
      <w:r w:rsidR="00772EDC">
        <w:t>false-negative result</w:t>
      </w:r>
      <w:r w:rsidRPr="00871436">
        <w:t xml:space="preserve"> (undetectable AMH).</w:t>
      </w:r>
    </w:p>
    <w:p w14:paraId="3B428517" w14:textId="77777777" w:rsidR="007518CF" w:rsidRDefault="00364786" w:rsidP="00364786">
      <w:pPr>
        <w:pStyle w:val="Heading3"/>
      </w:pPr>
      <w:bookmarkStart w:id="284" w:name="_Toc502832943"/>
      <w:r>
        <w:t>Comparing the accuracy of different AMH tests</w:t>
      </w:r>
      <w:bookmarkEnd w:id="284"/>
    </w:p>
    <w:p w14:paraId="797AE6B1" w14:textId="6F564BBE" w:rsidR="00364786" w:rsidRPr="00ED1F5D" w:rsidRDefault="00364786" w:rsidP="007C7765">
      <w:pPr>
        <w:jc w:val="both"/>
      </w:pPr>
      <w:r>
        <w:t xml:space="preserve">Two studies compared the </w:t>
      </w:r>
      <w:r w:rsidRPr="007E6446">
        <w:t xml:space="preserve">AMH Gen II ELISA </w:t>
      </w:r>
      <w:r>
        <w:t xml:space="preserve">test with the </w:t>
      </w:r>
      <w:r w:rsidRPr="007E6446">
        <w:t>Ansh Labs AMH ELISA</w:t>
      </w:r>
      <w:r>
        <w:t xml:space="preserve">, </w:t>
      </w:r>
      <w:r w:rsidRPr="007E6446">
        <w:t>Ultrasensitive AMH ELISA</w:t>
      </w:r>
      <w:r>
        <w:t xml:space="preserve">, and </w:t>
      </w:r>
      <w:r w:rsidR="000701EE">
        <w:t>pico</w:t>
      </w:r>
      <w:r w:rsidRPr="007E6446">
        <w:t>-AMH ELISA</w:t>
      </w:r>
      <w:r>
        <w:t xml:space="preserve">, as well as the </w:t>
      </w:r>
      <w:r w:rsidRPr="007E6446">
        <w:t xml:space="preserve">Ultrasensitive AMH ELISA </w:t>
      </w:r>
      <w:r>
        <w:t xml:space="preserve">with the </w:t>
      </w:r>
      <w:r w:rsidR="000701EE">
        <w:t>pico</w:t>
      </w:r>
      <w:r w:rsidRPr="007E6446">
        <w:t>-AMH ELISA</w:t>
      </w:r>
      <w:r w:rsidR="00AB4600">
        <w:t xml:space="preserve">. </w:t>
      </w:r>
      <w:r w:rsidR="004507E0">
        <w:t>T</w:t>
      </w:r>
      <w:r>
        <w:t>here was a high degree of correlation between these four tests.</w:t>
      </w:r>
      <w:r w:rsidR="00AB4600">
        <w:t xml:space="preserve"> </w:t>
      </w:r>
      <w:r>
        <w:t>One study reported a</w:t>
      </w:r>
      <w:r w:rsidRPr="001A3DDE">
        <w:t xml:space="preserve"> systematic bias between the assays </w:t>
      </w:r>
      <w:r>
        <w:t>that</w:t>
      </w:r>
      <w:r w:rsidRPr="001A3DDE">
        <w:t xml:space="preserve"> should be taken into account </w:t>
      </w:r>
      <w:r>
        <w:t>when</w:t>
      </w:r>
      <w:r w:rsidRPr="001A3DDE">
        <w:t xml:space="preserve"> converting AMH values between assays</w:t>
      </w:r>
      <w:r w:rsidR="00ED1F5D">
        <w:t>, noting a</w:t>
      </w:r>
      <w:r w:rsidRPr="00ED1F5D">
        <w:t xml:space="preserve"> measurement of 1.0 ng/mL by the AMH Gen II ELISA would </w:t>
      </w:r>
      <w:r w:rsidR="00ED1F5D" w:rsidRPr="00ED1F5D">
        <w:t>correspond</w:t>
      </w:r>
      <w:r w:rsidRPr="00ED1F5D">
        <w:t xml:space="preserve"> to:</w:t>
      </w:r>
    </w:p>
    <w:p w14:paraId="7AF10BCF" w14:textId="77777777" w:rsidR="00364786" w:rsidRPr="00ED1F5D" w:rsidRDefault="00364786" w:rsidP="00B7183E">
      <w:pPr>
        <w:pStyle w:val="ListParagraph"/>
        <w:numPr>
          <w:ilvl w:val="0"/>
          <w:numId w:val="41"/>
        </w:numPr>
        <w:jc w:val="both"/>
      </w:pPr>
      <w:r w:rsidRPr="00ED1F5D">
        <w:t>1.94 ng/mL when using the Ultrasensitive AMH ELISA</w:t>
      </w:r>
    </w:p>
    <w:p w14:paraId="0C5EF99E" w14:textId="67DD7F87" w:rsidR="00364786" w:rsidRPr="00ED1F5D" w:rsidRDefault="00364786" w:rsidP="00B7183E">
      <w:pPr>
        <w:pStyle w:val="ListParagraph"/>
        <w:numPr>
          <w:ilvl w:val="0"/>
          <w:numId w:val="41"/>
        </w:numPr>
        <w:jc w:val="both"/>
      </w:pPr>
      <w:r w:rsidRPr="00ED1F5D">
        <w:t xml:space="preserve">1.77 ng/mL when using the </w:t>
      </w:r>
      <w:r w:rsidR="000701EE" w:rsidRPr="00ED1F5D">
        <w:t>pico</w:t>
      </w:r>
      <w:r w:rsidRPr="00ED1F5D">
        <w:t>-AMH ELISA.</w:t>
      </w:r>
    </w:p>
    <w:p w14:paraId="316DE43E" w14:textId="14904570" w:rsidR="00AB4600" w:rsidRDefault="00364786" w:rsidP="007C7765">
      <w:pPr>
        <w:jc w:val="both"/>
      </w:pPr>
      <w:r>
        <w:t>However, there is concern that a</w:t>
      </w:r>
      <w:r w:rsidRPr="00795735">
        <w:t xml:space="preserve">lthough </w:t>
      </w:r>
      <w:r>
        <w:t>different AMH</w:t>
      </w:r>
      <w:r w:rsidRPr="00795735">
        <w:t xml:space="preserve"> </w:t>
      </w:r>
      <w:r>
        <w:t>assays</w:t>
      </w:r>
      <w:r w:rsidRPr="00795735">
        <w:t xml:space="preserve"> are highly correlated</w:t>
      </w:r>
      <w:r>
        <w:t>,</w:t>
      </w:r>
      <w:r w:rsidRPr="00D60C6F">
        <w:t xml:space="preserve"> </w:t>
      </w:r>
      <w:r>
        <w:t xml:space="preserve">the </w:t>
      </w:r>
      <w:r w:rsidRPr="00795735">
        <w:t>re</w:t>
      </w:r>
      <w:r>
        <w:t>sults</w:t>
      </w:r>
      <w:r w:rsidR="00AB4600">
        <w:t xml:space="preserve"> are not generalis</w:t>
      </w:r>
      <w:r w:rsidRPr="00795735">
        <w:t>able</w:t>
      </w:r>
      <w:r w:rsidR="00AB4600">
        <w:t xml:space="preserve">. </w:t>
      </w:r>
      <w:r>
        <w:t>T</w:t>
      </w:r>
      <w:r w:rsidRPr="00960424">
        <w:t>he standard curves</w:t>
      </w:r>
      <w:r>
        <w:t xml:space="preserve"> of</w:t>
      </w:r>
      <w:r w:rsidRPr="00960424">
        <w:t xml:space="preserve"> different AMH assays are n</w:t>
      </w:r>
      <w:r w:rsidR="000D21E3">
        <w:t xml:space="preserve">ot always parallel, and </w:t>
      </w:r>
      <w:r w:rsidRPr="00960424">
        <w:t xml:space="preserve">no universally applicable conversion factor </w:t>
      </w:r>
      <w:r w:rsidR="000D21E3">
        <w:t xml:space="preserve">exists </w:t>
      </w:r>
      <w:r w:rsidRPr="00960424">
        <w:t>to standardise results</w:t>
      </w:r>
      <w:r w:rsidR="00AB4600">
        <w:t>. Furthermore, t</w:t>
      </w:r>
      <w:r w:rsidRPr="00960424">
        <w:t>he thresholds developed and reported for one commer</w:t>
      </w:r>
      <w:r w:rsidR="00AB4600">
        <w:t>cial AMH assay are not generalis</w:t>
      </w:r>
      <w:r w:rsidRPr="00960424">
        <w:t>able to other commercial assays</w:t>
      </w:r>
      <w:r w:rsidR="00AB4600">
        <w:t>.</w:t>
      </w:r>
    </w:p>
    <w:p w14:paraId="21A98A8D" w14:textId="20694D81" w:rsidR="0059328B" w:rsidRDefault="0059328B" w:rsidP="007C7765">
      <w:pPr>
        <w:jc w:val="both"/>
      </w:pPr>
      <w:r>
        <w:t>O</w:t>
      </w:r>
      <w:r w:rsidR="00364786" w:rsidRPr="0059328B">
        <w:t>ne study showed that while each laboratory showed good reproducibility when using a single test, the</w:t>
      </w:r>
      <w:r w:rsidR="00364786" w:rsidRPr="001A3DDE">
        <w:t xml:space="preserve"> </w:t>
      </w:r>
      <w:r w:rsidR="00364786" w:rsidRPr="0059328B">
        <w:t>between-laboratory variability</w:t>
      </w:r>
      <w:r w:rsidR="000D21E3">
        <w:t>, even using the same assay,</w:t>
      </w:r>
      <w:r w:rsidR="00364786" w:rsidRPr="0059328B">
        <w:t xml:space="preserve"> was 40%.</w:t>
      </w:r>
      <w:r>
        <w:t xml:space="preserve"> </w:t>
      </w:r>
      <w:r w:rsidR="00364786" w:rsidRPr="00960424">
        <w:t>Variability of results between laboratories can also be due to</w:t>
      </w:r>
      <w:r>
        <w:t xml:space="preserve"> t</w:t>
      </w:r>
      <w:r w:rsidR="00364786" w:rsidRPr="00960424">
        <w:t>he method used to calibrate clinical thresholds</w:t>
      </w:r>
      <w:r w:rsidR="00364786">
        <w:t xml:space="preserve">, which </w:t>
      </w:r>
      <w:r w:rsidR="000D21E3">
        <w:t xml:space="preserve">may </w:t>
      </w:r>
      <w:r w:rsidR="00364786">
        <w:t xml:space="preserve">differ according to the </w:t>
      </w:r>
      <w:r w:rsidR="00364786" w:rsidRPr="00960424">
        <w:t>patient population and clinical outcomes used</w:t>
      </w:r>
      <w:r w:rsidR="000D21E3">
        <w:t xml:space="preserve"> and</w:t>
      </w:r>
      <w:r>
        <w:t xml:space="preserve"> </w:t>
      </w:r>
      <w:r w:rsidR="000D21E3">
        <w:t>laboratory</w:t>
      </w:r>
      <w:r w:rsidR="00364786" w:rsidRPr="00960424">
        <w:t xml:space="preserve"> specimen handling procedures, which may affect the serum AMH values.</w:t>
      </w:r>
    </w:p>
    <w:p w14:paraId="2F18C797" w14:textId="4488244C" w:rsidR="00364786" w:rsidRPr="00960424" w:rsidRDefault="00364786" w:rsidP="007C7765">
      <w:pPr>
        <w:jc w:val="both"/>
      </w:pPr>
      <w:r w:rsidRPr="0059328B">
        <w:t>The major challenge for clinicians attempting to interpret AMH values for use in clinical care is the lack of standardisation</w:t>
      </w:r>
      <w:r w:rsidR="0059328B">
        <w:t xml:space="preserve">. </w:t>
      </w:r>
      <w:r>
        <w:t xml:space="preserve">It is recommended that </w:t>
      </w:r>
      <w:r w:rsidRPr="001A3DDE">
        <w:t xml:space="preserve">clinicians should </w:t>
      </w:r>
      <w:r>
        <w:t xml:space="preserve">always </w:t>
      </w:r>
      <w:r w:rsidRPr="001A3DDE">
        <w:t xml:space="preserve">use </w:t>
      </w:r>
      <w:r>
        <w:t>the same</w:t>
      </w:r>
      <w:r w:rsidRPr="001A3DDE">
        <w:t xml:space="preserve"> laboratory to avoid problems</w:t>
      </w:r>
      <w:r>
        <w:t xml:space="preserve"> </w:t>
      </w:r>
      <w:r w:rsidR="00640D24">
        <w:t>interpreting results</w:t>
      </w:r>
      <w:r w:rsidR="0059328B">
        <w:t xml:space="preserve">. </w:t>
      </w:r>
      <w:r w:rsidRPr="009A25BD">
        <w:t>It is also</w:t>
      </w:r>
      <w:r>
        <w:t xml:space="preserve"> </w:t>
      </w:r>
      <w:r w:rsidRPr="009A25BD">
        <w:t xml:space="preserve">critical to understand how </w:t>
      </w:r>
      <w:r>
        <w:t>that</w:t>
      </w:r>
      <w:r w:rsidRPr="009A25BD">
        <w:t xml:space="preserve"> laboratory calibrates</w:t>
      </w:r>
      <w:r>
        <w:t xml:space="preserve"> </w:t>
      </w:r>
      <w:r w:rsidRPr="009A25BD">
        <w:t xml:space="preserve">their clinical </w:t>
      </w:r>
      <w:r>
        <w:t>thresholds</w:t>
      </w:r>
      <w:r w:rsidRPr="009A25BD">
        <w:t xml:space="preserve"> </w:t>
      </w:r>
      <w:r>
        <w:t xml:space="preserve">to ensure </w:t>
      </w:r>
      <w:r w:rsidRPr="009A25BD">
        <w:t>accurate interpretation.</w:t>
      </w:r>
      <w:r w:rsidR="00B20AD3">
        <w:t xml:space="preserve"> </w:t>
      </w:r>
      <w:r>
        <w:t xml:space="preserve">A </w:t>
      </w:r>
      <w:r w:rsidR="00640D24">
        <w:t>rigorous</w:t>
      </w:r>
      <w:r>
        <w:t xml:space="preserve"> quality assurance program would be essential for implementation and development of standardised clinically relevant thresholds for AMH testing in Australia.</w:t>
      </w:r>
    </w:p>
    <w:p w14:paraId="64ADB4E9" w14:textId="77777777" w:rsidR="00364786" w:rsidRDefault="00364786" w:rsidP="007C7765">
      <w:pPr>
        <w:pStyle w:val="Heading3"/>
        <w:jc w:val="both"/>
      </w:pPr>
      <w:bookmarkStart w:id="285" w:name="_Toc502832944"/>
      <w:r>
        <w:lastRenderedPageBreak/>
        <w:t>Accuracy of AMH testing compared with AFC</w:t>
      </w:r>
      <w:bookmarkEnd w:id="285"/>
    </w:p>
    <w:p w14:paraId="701CDB99" w14:textId="45B9A627" w:rsidR="00364786" w:rsidRDefault="00364786" w:rsidP="007C7765">
      <w:pPr>
        <w:jc w:val="both"/>
      </w:pPr>
      <w:r>
        <w:t xml:space="preserve">ROC analysis </w:t>
      </w:r>
      <w:r w:rsidRPr="000A5B4F">
        <w:t xml:space="preserve">comparing AMH serum levels and </w:t>
      </w:r>
      <w:r>
        <w:t>A</w:t>
      </w:r>
      <w:r w:rsidRPr="000A5B4F">
        <w:t>F</w:t>
      </w:r>
      <w:r>
        <w:t>C</w:t>
      </w:r>
      <w:r w:rsidRPr="000A5B4F">
        <w:t xml:space="preserve"> with the menstrual status of women after chemotherapy </w:t>
      </w:r>
      <w:r w:rsidR="00786502">
        <w:t>found that the AUC for t</w:t>
      </w:r>
      <w:r>
        <w:t xml:space="preserve">he </w:t>
      </w:r>
      <w:r w:rsidR="000B0647">
        <w:t>first generation</w:t>
      </w:r>
      <w:r>
        <w:t xml:space="preserve"> AMH assay, the </w:t>
      </w:r>
      <w:r w:rsidRPr="008D3820">
        <w:t>DSL ACTIVE® AMH/MIS ELISA</w:t>
      </w:r>
      <w:r>
        <w:t xml:space="preserve"> and </w:t>
      </w:r>
      <w:r w:rsidRPr="006B3410">
        <w:t xml:space="preserve">AFC </w:t>
      </w:r>
      <w:r>
        <w:t>w</w:t>
      </w:r>
      <w:r w:rsidR="00786502">
        <w:t>ere 0.71 and 0.82, respectively. This means t</w:t>
      </w:r>
      <w:r>
        <w:t xml:space="preserve">he </w:t>
      </w:r>
      <w:r w:rsidRPr="00334A6D">
        <w:t xml:space="preserve">DSL ACTIVE® AMH/MIS ELISA </w:t>
      </w:r>
      <w:r>
        <w:t>test showed moderate performance in detecting the menstrual status of women</w:t>
      </w:r>
      <w:r w:rsidR="00786502">
        <w:t>,</w:t>
      </w:r>
      <w:r>
        <w:t xml:space="preserve"> compared with good performance for AFC</w:t>
      </w:r>
      <w:r w:rsidR="00786502">
        <w:t xml:space="preserve">. </w:t>
      </w:r>
      <w:r>
        <w:t>When the AMH and AFC results were combined the AUC increased to 0.87</w:t>
      </w:r>
      <w:r w:rsidR="003A2EEC">
        <w:t xml:space="preserve">. </w:t>
      </w:r>
      <w:r>
        <w:t>T</w:t>
      </w:r>
      <w:r w:rsidRPr="006B3410">
        <w:t>he sensitivity of the AFC</w:t>
      </w:r>
      <w:r>
        <w:t xml:space="preserve"> and</w:t>
      </w:r>
      <w:r w:rsidRPr="006B3410">
        <w:t xml:space="preserve"> AMH tests did not vary greatly (7</w:t>
      </w:r>
      <w:r>
        <w:t xml:space="preserve">9 and </w:t>
      </w:r>
      <w:r w:rsidRPr="006B3410">
        <w:t>7</w:t>
      </w:r>
      <w:r>
        <w:t>6</w:t>
      </w:r>
      <w:r w:rsidRPr="006B3410">
        <w:t>%), but 21</w:t>
      </w:r>
      <w:r w:rsidR="003A2EEC">
        <w:t>%</w:t>
      </w:r>
      <w:r>
        <w:t xml:space="preserve"> and </w:t>
      </w:r>
      <w:r w:rsidRPr="006B3410">
        <w:t xml:space="preserve">24% of women who had </w:t>
      </w:r>
      <w:r>
        <w:t xml:space="preserve">CRA </w:t>
      </w:r>
      <w:r w:rsidRPr="006B3410">
        <w:t xml:space="preserve">would have had a </w:t>
      </w:r>
      <w:r w:rsidR="00772EDC">
        <w:t>false-negative result</w:t>
      </w:r>
      <w:r>
        <w:t xml:space="preserve"> (high AMH and/or AFC)</w:t>
      </w:r>
      <w:r w:rsidR="003A2EEC">
        <w:t>, respectively.</w:t>
      </w:r>
    </w:p>
    <w:p w14:paraId="70B262B2" w14:textId="5DE8FEFF" w:rsidR="003A2EEC" w:rsidRDefault="00364786" w:rsidP="007C7765">
      <w:pPr>
        <w:jc w:val="both"/>
      </w:pPr>
      <w:r>
        <w:t>L</w:t>
      </w:r>
      <w:r w:rsidRPr="006B3410">
        <w:t xml:space="preserve">ess women </w:t>
      </w:r>
      <w:r w:rsidR="00023800">
        <w:t>without CRA</w:t>
      </w:r>
      <w:r>
        <w:t xml:space="preserve"> had</w:t>
      </w:r>
      <w:r w:rsidRPr="006B3410">
        <w:t xml:space="preserve"> a </w:t>
      </w:r>
      <w:r w:rsidR="00772EDC">
        <w:t>false-positive result</w:t>
      </w:r>
      <w:r w:rsidRPr="006B3410">
        <w:t xml:space="preserve"> indicating </w:t>
      </w:r>
      <w:r>
        <w:t>CRA</w:t>
      </w:r>
      <w:r w:rsidRPr="006B3410">
        <w:t xml:space="preserve"> with AFC (</w:t>
      </w:r>
      <w:r>
        <w:t xml:space="preserve">low count; </w:t>
      </w:r>
      <w:r w:rsidRPr="006B3410">
        <w:t xml:space="preserve">11%) than with </w:t>
      </w:r>
      <w:r>
        <w:t>AMH</w:t>
      </w:r>
      <w:r w:rsidRPr="006B3410">
        <w:t xml:space="preserve"> (</w:t>
      </w:r>
      <w:r>
        <w:t xml:space="preserve">low serum level; </w:t>
      </w:r>
      <w:r w:rsidRPr="006B3410">
        <w:t>40%)</w:t>
      </w:r>
      <w:r w:rsidR="00ED1F5D">
        <w:t>.</w:t>
      </w:r>
    </w:p>
    <w:p w14:paraId="4E2B3ACE" w14:textId="35B97ED0" w:rsidR="00364786" w:rsidRPr="00023800" w:rsidRDefault="00023800" w:rsidP="007C7765">
      <w:pPr>
        <w:jc w:val="both"/>
        <w:rPr>
          <w:color w:val="000000" w:themeColor="text1"/>
        </w:rPr>
      </w:pPr>
      <w:r>
        <w:rPr>
          <w:color w:val="000000" w:themeColor="text1"/>
        </w:rPr>
        <w:t>Among the included correlation studies, f</w:t>
      </w:r>
      <w:r w:rsidR="00364786" w:rsidRPr="00023800">
        <w:rPr>
          <w:color w:val="000000" w:themeColor="text1"/>
        </w:rPr>
        <w:t>ive studies found AMH serum levels to be positively correlated with AFC</w:t>
      </w:r>
      <w:r>
        <w:rPr>
          <w:color w:val="000000" w:themeColor="text1"/>
        </w:rPr>
        <w:t xml:space="preserve">, while none failed to report a </w:t>
      </w:r>
      <w:r w:rsidR="00364786" w:rsidRPr="00023800">
        <w:rPr>
          <w:color w:val="000000" w:themeColor="text1"/>
        </w:rPr>
        <w:t>significant correlation between AMH serum levels and AFC.</w:t>
      </w:r>
    </w:p>
    <w:p w14:paraId="6B7BE0ED" w14:textId="77777777" w:rsidR="00364786" w:rsidRDefault="00364786" w:rsidP="007C7765">
      <w:pPr>
        <w:pStyle w:val="Heading3"/>
        <w:jc w:val="both"/>
      </w:pPr>
      <w:bookmarkStart w:id="286" w:name="_Toc502832945"/>
      <w:r>
        <w:t>Accuracy of AMH testing compared with FSH testing</w:t>
      </w:r>
      <w:bookmarkEnd w:id="286"/>
    </w:p>
    <w:p w14:paraId="0A7E3412" w14:textId="4954ED76" w:rsidR="00D16A70" w:rsidRPr="00B02E74" w:rsidRDefault="00364786" w:rsidP="007C7765">
      <w:pPr>
        <w:jc w:val="both"/>
      </w:pPr>
      <w:r w:rsidRPr="008A26FB">
        <w:t>Miyoshi et al. (2013) found that the overall, positive and negative</w:t>
      </w:r>
      <w:r w:rsidR="00B169D7">
        <w:t xml:space="preserve"> per cent</w:t>
      </w:r>
      <w:r w:rsidRPr="008A26FB">
        <w:t xml:space="preserve"> agreements between low</w:t>
      </w:r>
      <w:r>
        <w:t xml:space="preserve"> AMH serum levels measured by the </w:t>
      </w:r>
      <w:r w:rsidRPr="0021475B">
        <w:t xml:space="preserve">EIA AMH/MIS ELISA </w:t>
      </w:r>
      <w:r>
        <w:t>test and high FSH serum levels were 77.4%</w:t>
      </w:r>
      <w:r w:rsidR="00D16A70">
        <w:t xml:space="preserve">, 57.1% and 67.6%, respectively. </w:t>
      </w:r>
      <w:r w:rsidRPr="00B02E74">
        <w:t>Thus, approximately 23% of patients would have discordant AMH and FSH results.</w:t>
      </w:r>
    </w:p>
    <w:p w14:paraId="56FE342C" w14:textId="61472ADE" w:rsidR="00D16A70" w:rsidRPr="00372B20" w:rsidRDefault="00364786" w:rsidP="007C7765">
      <w:pPr>
        <w:jc w:val="both"/>
      </w:pPr>
      <w:r>
        <w:t>T</w:t>
      </w:r>
      <w:r w:rsidRPr="00372B20">
        <w:t xml:space="preserve">he </w:t>
      </w:r>
      <w:r w:rsidR="001A00F0">
        <w:t xml:space="preserve">AUC for the </w:t>
      </w:r>
      <w:r w:rsidRPr="00372B20">
        <w:t xml:space="preserve">DSL ACTIVE® AMH/MIS ELISA </w:t>
      </w:r>
      <w:r w:rsidR="000B0647">
        <w:t>first generation</w:t>
      </w:r>
      <w:r w:rsidR="006F19DD">
        <w:t xml:space="preserve"> test</w:t>
      </w:r>
      <w:r>
        <w:t xml:space="preserve"> </w:t>
      </w:r>
      <w:r w:rsidRPr="00372B20">
        <w:t>and FSH were 0.71 and 0.</w:t>
      </w:r>
      <w:r>
        <w:t>7</w:t>
      </w:r>
      <w:r w:rsidR="00D16A70">
        <w:t>2, respectively. This means b</w:t>
      </w:r>
      <w:r>
        <w:t xml:space="preserve">oth the </w:t>
      </w:r>
      <w:r w:rsidRPr="00334A6D">
        <w:t xml:space="preserve">DSL ACTIVE® AMH/MIS ELISA </w:t>
      </w:r>
      <w:r>
        <w:t>and FSH test showed moderate performance in detecting the menstrual status of women</w:t>
      </w:r>
      <w:r w:rsidR="00D16A70">
        <w:t xml:space="preserve">. </w:t>
      </w:r>
      <w:r w:rsidRPr="00372B20">
        <w:t xml:space="preserve">When the AMH and </w:t>
      </w:r>
      <w:r>
        <w:t xml:space="preserve">FSH </w:t>
      </w:r>
      <w:r w:rsidRPr="00372B20">
        <w:t>results were combine</w:t>
      </w:r>
      <w:r>
        <w:t>d</w:t>
      </w:r>
      <w:r w:rsidRPr="00372B20">
        <w:t xml:space="preserve"> the AUC increased to 0.7</w:t>
      </w:r>
      <w:r>
        <w:t>4</w:t>
      </w:r>
      <w:r w:rsidR="006F19DD">
        <w:t>, indicating moderate performance</w:t>
      </w:r>
      <w:r w:rsidR="00D16A70">
        <w:t xml:space="preserve">. </w:t>
      </w:r>
      <w:r w:rsidRPr="00372B20">
        <w:t xml:space="preserve">The sensitivity </w:t>
      </w:r>
      <w:r>
        <w:t xml:space="preserve">and specificity </w:t>
      </w:r>
      <w:r w:rsidRPr="00372B20">
        <w:t>of the AFC and AMH tests did not vary greatly, but 2</w:t>
      </w:r>
      <w:r w:rsidR="006F19DD">
        <w:t xml:space="preserve">2 to </w:t>
      </w:r>
      <w:r w:rsidRPr="00372B20">
        <w:t xml:space="preserve">24% of women who had </w:t>
      </w:r>
      <w:r>
        <w:t xml:space="preserve">CRA </w:t>
      </w:r>
      <w:r w:rsidRPr="00372B20">
        <w:t xml:space="preserve">would have had a </w:t>
      </w:r>
      <w:r w:rsidR="00772EDC">
        <w:t>false-negative result</w:t>
      </w:r>
      <w:r w:rsidR="006F19DD">
        <w:t xml:space="preserve"> (high AMH and/or AFC), and 36 to </w:t>
      </w:r>
      <w:r w:rsidRPr="00372B20">
        <w:t xml:space="preserve">40% </w:t>
      </w:r>
      <w:r>
        <w:t xml:space="preserve">would have had a </w:t>
      </w:r>
      <w:r w:rsidR="00772EDC">
        <w:t>false-positive result</w:t>
      </w:r>
      <w:r w:rsidRPr="00372B20">
        <w:t xml:space="preserve"> indicating </w:t>
      </w:r>
      <w:r>
        <w:t>CRA (low AMH and/or AFC)</w:t>
      </w:r>
      <w:r w:rsidR="006F19DD">
        <w:t>.</w:t>
      </w:r>
    </w:p>
    <w:p w14:paraId="2276F0F4" w14:textId="149323EC" w:rsidR="00364786" w:rsidRDefault="006F19DD" w:rsidP="007C7765">
      <w:pPr>
        <w:jc w:val="both"/>
      </w:pPr>
      <w:r>
        <w:t>Among the included c</w:t>
      </w:r>
      <w:r w:rsidR="00364786">
        <w:t>or</w:t>
      </w:r>
      <w:r>
        <w:t>relation</w:t>
      </w:r>
      <w:r w:rsidR="00364786">
        <w:t xml:space="preserve"> </w:t>
      </w:r>
      <w:r>
        <w:t>studies, two</w:t>
      </w:r>
      <w:r w:rsidR="00364786" w:rsidRPr="00B02E74">
        <w:t xml:space="preserve"> found AMH serum levels </w:t>
      </w:r>
      <w:r>
        <w:t>were</w:t>
      </w:r>
      <w:r w:rsidR="00364786" w:rsidRPr="00B02E74">
        <w:t xml:space="preserve"> negatively correlated with FSH serum levels</w:t>
      </w:r>
      <w:r>
        <w:t>, one study</w:t>
      </w:r>
      <w:r w:rsidR="00364786" w:rsidRPr="00B02E74">
        <w:t xml:space="preserve"> that did not find a significant correlation between AMH and FSH serum levels, found a negative correlation between detectable/undetectable AMH and F</w:t>
      </w:r>
      <w:r w:rsidR="00D35C82">
        <w:t>SH</w:t>
      </w:r>
      <w:r w:rsidR="00364786" w:rsidRPr="00B02E74">
        <w:t xml:space="preserve"> serum levels</w:t>
      </w:r>
      <w:r>
        <w:t xml:space="preserve">, and five </w:t>
      </w:r>
      <w:r w:rsidR="00364786" w:rsidRPr="00B02E74">
        <w:t>studies found no significant correlation between AMH and FSH serum levels.</w:t>
      </w:r>
    </w:p>
    <w:p w14:paraId="1B6CD9B2" w14:textId="637EDA8C" w:rsidR="00364786" w:rsidRPr="00B02E74" w:rsidRDefault="00364786" w:rsidP="007C7765">
      <w:pPr>
        <w:jc w:val="both"/>
      </w:pPr>
      <w:r w:rsidRPr="00D16A70">
        <w:t xml:space="preserve">The reasons for </w:t>
      </w:r>
      <w:r w:rsidR="00DC7D92">
        <w:t>these discrepancies are unclear. T</w:t>
      </w:r>
      <w:r w:rsidRPr="00D16A70">
        <w:t>hey did not coincide with timing of the blood sample used for testing.</w:t>
      </w:r>
      <w:r w:rsidR="00D16A70">
        <w:t xml:space="preserve"> </w:t>
      </w:r>
      <w:r w:rsidRPr="00B02E74">
        <w:t>Of the four studies that used early follicular phase blood samples for testing, two showed a correlation and two showed no significant correlation.</w:t>
      </w:r>
      <w:r w:rsidR="00D16A70">
        <w:t xml:space="preserve"> </w:t>
      </w:r>
      <w:r w:rsidRPr="00B02E74">
        <w:t>Of the three studies that used blood samples from an</w:t>
      </w:r>
      <w:r w:rsidR="00DC7D92">
        <w:t xml:space="preserve">y stage of the menstrual cycle, </w:t>
      </w:r>
      <w:r w:rsidRPr="00B02E74">
        <w:t xml:space="preserve">or did </w:t>
      </w:r>
      <w:r w:rsidR="00DC7D92">
        <w:t>report the stage at which sampling occurred</w:t>
      </w:r>
      <w:r w:rsidRPr="00B02E74">
        <w:t>, one showed a correlation between detectable/undetectable AMH and F</w:t>
      </w:r>
      <w:r w:rsidR="00D35C82">
        <w:t>SH</w:t>
      </w:r>
      <w:r w:rsidRPr="00B02E74">
        <w:t xml:space="preserve"> serum levels.</w:t>
      </w:r>
    </w:p>
    <w:p w14:paraId="39E83451" w14:textId="77777777" w:rsidR="00364786" w:rsidRDefault="00364786" w:rsidP="007C7765">
      <w:pPr>
        <w:pStyle w:val="Heading3"/>
        <w:jc w:val="both"/>
      </w:pPr>
      <w:bookmarkStart w:id="287" w:name="_Toc502832946"/>
      <w:r>
        <w:lastRenderedPageBreak/>
        <w:t>Accuracy of AMH testing compared with E2 testing</w:t>
      </w:r>
      <w:bookmarkEnd w:id="287"/>
    </w:p>
    <w:p w14:paraId="23353BC0" w14:textId="67D437C8" w:rsidR="00364786" w:rsidRPr="00DC7D92" w:rsidRDefault="00DC7D92" w:rsidP="007C7765">
      <w:pPr>
        <w:jc w:val="both"/>
        <w:rPr>
          <w:color w:val="000000" w:themeColor="text1"/>
        </w:rPr>
      </w:pPr>
      <w:r>
        <w:rPr>
          <w:color w:val="000000" w:themeColor="text1"/>
        </w:rPr>
        <w:t xml:space="preserve">Among the included correlations studies, </w:t>
      </w:r>
      <w:r>
        <w:t>t</w:t>
      </w:r>
      <w:r w:rsidR="00364786" w:rsidRPr="00BF1A71">
        <w:t xml:space="preserve">wo found AMH serum levels to be </w:t>
      </w:r>
      <w:r w:rsidR="00364786">
        <w:t>positively</w:t>
      </w:r>
      <w:r w:rsidR="00364786" w:rsidRPr="00BF1A71">
        <w:t xml:space="preserve"> correlated with E2 serum level</w:t>
      </w:r>
      <w:r w:rsidR="00364786">
        <w:t>s</w:t>
      </w:r>
      <w:r w:rsidR="00D35C82">
        <w:t>,</w:t>
      </w:r>
      <w:r>
        <w:rPr>
          <w:color w:val="000000" w:themeColor="text1"/>
        </w:rPr>
        <w:t xml:space="preserve"> o</w:t>
      </w:r>
      <w:r w:rsidR="00364786">
        <w:t>ne</w:t>
      </w:r>
      <w:r w:rsidR="00364786" w:rsidRPr="00BF1A71">
        <w:t xml:space="preserve"> found </w:t>
      </w:r>
      <w:r w:rsidR="00364786">
        <w:t>AMH</w:t>
      </w:r>
      <w:r w:rsidR="00364786" w:rsidRPr="00BF1A71">
        <w:t xml:space="preserve"> serum levels to be negatively correlated with </w:t>
      </w:r>
      <w:r w:rsidR="00364786">
        <w:t>E2</w:t>
      </w:r>
      <w:r w:rsidR="00364786" w:rsidRPr="00BF1A71">
        <w:t xml:space="preserve"> serum levels</w:t>
      </w:r>
      <w:r>
        <w:t xml:space="preserve">, and one </w:t>
      </w:r>
      <w:r w:rsidR="00364786" w:rsidRPr="00BF1A71">
        <w:t xml:space="preserve">study did not find a significant correlation between AMH and </w:t>
      </w:r>
      <w:r w:rsidR="00364786">
        <w:t>E2 serum levels</w:t>
      </w:r>
      <w:r>
        <w:t>.</w:t>
      </w:r>
    </w:p>
    <w:p w14:paraId="4C41F869" w14:textId="63F1E868" w:rsidR="00364786" w:rsidRPr="00050C11" w:rsidRDefault="00050C11" w:rsidP="007C7765">
      <w:pPr>
        <w:jc w:val="both"/>
      </w:pPr>
      <w:r>
        <w:t>T</w:t>
      </w:r>
      <w:r w:rsidR="00364786" w:rsidRPr="00050C11">
        <w:t>he reasons for these discrepancies may be due to the timing of the blood sample used for testing.</w:t>
      </w:r>
    </w:p>
    <w:p w14:paraId="4EB60CCC" w14:textId="39E21F25" w:rsidR="00364786" w:rsidRPr="00BF1A71" w:rsidRDefault="00364786" w:rsidP="007C7765">
      <w:pPr>
        <w:jc w:val="both"/>
      </w:pPr>
      <w:r w:rsidRPr="00050C11">
        <w:t>Of the two studies that used early follicular phase blood samples for testing, one showed a negative correlation and the other showed no significant correlation.</w:t>
      </w:r>
      <w:r w:rsidR="00050C11">
        <w:t xml:space="preserve"> </w:t>
      </w:r>
      <w:r w:rsidRPr="00BF1A71">
        <w:t xml:space="preserve">Of the </w:t>
      </w:r>
      <w:r>
        <w:t>two</w:t>
      </w:r>
      <w:r w:rsidRPr="00BF1A71">
        <w:t xml:space="preserve"> studies that used blood samples from any stage of the menstrual cycle</w:t>
      </w:r>
      <w:r w:rsidR="00DC7D92">
        <w:t>,</w:t>
      </w:r>
      <w:r w:rsidRPr="00BF1A71">
        <w:t xml:space="preserve"> </w:t>
      </w:r>
      <w:r w:rsidR="00DC7D92" w:rsidRPr="00B02E74">
        <w:t xml:space="preserve">or did </w:t>
      </w:r>
      <w:r w:rsidR="00DC7D92">
        <w:t>report the stage at which sampling occurred</w:t>
      </w:r>
      <w:r w:rsidRPr="00BF1A71">
        <w:t xml:space="preserve">, </w:t>
      </w:r>
      <w:r>
        <w:t>both</w:t>
      </w:r>
      <w:r w:rsidRPr="00BF1A71">
        <w:t xml:space="preserve"> showed a </w:t>
      </w:r>
      <w:r>
        <w:t xml:space="preserve">positive </w:t>
      </w:r>
      <w:r w:rsidRPr="00BF1A71">
        <w:t xml:space="preserve">correlation between AMH and </w:t>
      </w:r>
      <w:r>
        <w:t>E2</w:t>
      </w:r>
      <w:r w:rsidRPr="00BF1A71">
        <w:t xml:space="preserve"> serum levels.</w:t>
      </w:r>
    </w:p>
    <w:p w14:paraId="3915C088" w14:textId="77777777" w:rsidR="00364786" w:rsidRDefault="00364786" w:rsidP="007C7765">
      <w:pPr>
        <w:pStyle w:val="Heading3"/>
        <w:jc w:val="both"/>
      </w:pPr>
      <w:bookmarkStart w:id="288" w:name="_Toc502832947"/>
      <w:r>
        <w:t>Accuracy of AMH testing compared with inhibin B testing</w:t>
      </w:r>
      <w:bookmarkEnd w:id="288"/>
    </w:p>
    <w:p w14:paraId="131F2155" w14:textId="18A2FA21" w:rsidR="0078476F" w:rsidRPr="00D366DE" w:rsidRDefault="00364786" w:rsidP="007C7765">
      <w:pPr>
        <w:jc w:val="both"/>
      </w:pPr>
      <w:r>
        <w:t>T</w:t>
      </w:r>
      <w:r w:rsidRPr="00372B20">
        <w:t>he</w:t>
      </w:r>
      <w:r w:rsidR="00D35C82">
        <w:t xml:space="preserve"> AUC for</w:t>
      </w:r>
      <w:r w:rsidRPr="00372B20">
        <w:t xml:space="preserve"> DSL ACTIVE® AMH/MIS ELISA and </w:t>
      </w:r>
      <w:r>
        <w:t>inhibin B</w:t>
      </w:r>
      <w:r w:rsidRPr="00372B20">
        <w:t xml:space="preserve"> were 0.71 and 0.</w:t>
      </w:r>
      <w:r>
        <w:t>63</w:t>
      </w:r>
      <w:r w:rsidR="0078476F">
        <w:t>, respectively. This means t</w:t>
      </w:r>
      <w:r w:rsidRPr="00334A6D">
        <w:t xml:space="preserve">he DSL ACTIVE® AMH/MIS ELISA test showed moderate performance in detecting the menstrual status of women compared with a </w:t>
      </w:r>
      <w:r>
        <w:t>poor</w:t>
      </w:r>
      <w:r w:rsidRPr="00334A6D">
        <w:t xml:space="preserve"> performance for </w:t>
      </w:r>
      <w:r>
        <w:t>inhibin B</w:t>
      </w:r>
      <w:r w:rsidR="0078476F">
        <w:t xml:space="preserve">. </w:t>
      </w:r>
      <w:r>
        <w:t>L</w:t>
      </w:r>
      <w:r w:rsidRPr="006B3410">
        <w:t xml:space="preserve">ess women </w:t>
      </w:r>
      <w:r>
        <w:t>with CRA had</w:t>
      </w:r>
      <w:r w:rsidRPr="006B3410">
        <w:t xml:space="preserve"> a </w:t>
      </w:r>
      <w:r w:rsidR="00772EDC">
        <w:t>false-negative result</w:t>
      </w:r>
      <w:r w:rsidRPr="006B3410">
        <w:t xml:space="preserve"> with </w:t>
      </w:r>
      <w:r>
        <w:t>AMH</w:t>
      </w:r>
      <w:r w:rsidRPr="006B3410">
        <w:t xml:space="preserve"> (</w:t>
      </w:r>
      <w:r>
        <w:t xml:space="preserve">high </w:t>
      </w:r>
      <w:r w:rsidRPr="007C286A">
        <w:t>serum level</w:t>
      </w:r>
      <w:r>
        <w:t>; 24</w:t>
      </w:r>
      <w:r w:rsidRPr="006B3410">
        <w:t xml:space="preserve">%) than with </w:t>
      </w:r>
      <w:r>
        <w:t>inhibin B</w:t>
      </w:r>
      <w:r w:rsidRPr="006B3410">
        <w:t xml:space="preserve"> (</w:t>
      </w:r>
      <w:r>
        <w:t xml:space="preserve">high serum level; </w:t>
      </w:r>
      <w:r w:rsidRPr="006B3410">
        <w:t>4</w:t>
      </w:r>
      <w:r>
        <w:t>6</w:t>
      </w:r>
      <w:r w:rsidRPr="006B3410">
        <w:t>%)</w:t>
      </w:r>
      <w:r>
        <w:t>.</w:t>
      </w:r>
      <w:r w:rsidR="0078476F">
        <w:t xml:space="preserve"> </w:t>
      </w:r>
      <w:r w:rsidRPr="00372B20">
        <w:t xml:space="preserve">The </w:t>
      </w:r>
      <w:r>
        <w:t xml:space="preserve">specificity </w:t>
      </w:r>
      <w:r w:rsidR="0078476F">
        <w:t xml:space="preserve">of the AMH </w:t>
      </w:r>
      <w:r w:rsidRPr="00372B20">
        <w:t xml:space="preserve">and </w:t>
      </w:r>
      <w:r>
        <w:t>inhibin B</w:t>
      </w:r>
      <w:r w:rsidRPr="00372B20">
        <w:t xml:space="preserve"> tests did not vary greatly, but </w:t>
      </w:r>
      <w:r w:rsidR="00CB02D2">
        <w:t xml:space="preserve">36 to </w:t>
      </w:r>
      <w:r w:rsidRPr="00372B20">
        <w:t xml:space="preserve">40% </w:t>
      </w:r>
      <w:r>
        <w:t xml:space="preserve">would have had a </w:t>
      </w:r>
      <w:r w:rsidR="00772EDC">
        <w:t>false-positive result</w:t>
      </w:r>
      <w:r w:rsidRPr="00372B20">
        <w:t xml:space="preserve"> indicating </w:t>
      </w:r>
      <w:r>
        <w:t>CRA (low AMH and/or inhibin B serum levels)</w:t>
      </w:r>
      <w:r w:rsidR="00CB02D2">
        <w:t>.</w:t>
      </w:r>
    </w:p>
    <w:p w14:paraId="349619F4" w14:textId="5979C198" w:rsidR="00364786" w:rsidRDefault="00CB02D2" w:rsidP="007C7765">
      <w:pPr>
        <w:jc w:val="both"/>
      </w:pPr>
      <w:r w:rsidRPr="00CB02D2">
        <w:rPr>
          <w:color w:val="000000" w:themeColor="text1"/>
        </w:rPr>
        <w:t xml:space="preserve">Among the included correlations studies, </w:t>
      </w:r>
      <w:r>
        <w:t>six</w:t>
      </w:r>
      <w:r w:rsidR="00364786" w:rsidRPr="00B02E74">
        <w:t xml:space="preserve"> found AMH serum levels to be </w:t>
      </w:r>
      <w:r w:rsidR="00364786">
        <w:t>positively</w:t>
      </w:r>
      <w:r w:rsidR="00364786" w:rsidRPr="00B02E74">
        <w:t xml:space="preserve"> correlated with </w:t>
      </w:r>
      <w:r w:rsidR="00364786">
        <w:t>inhibin B</w:t>
      </w:r>
      <w:r w:rsidR="00364786" w:rsidRPr="00B02E74">
        <w:t xml:space="preserve"> serum levels</w:t>
      </w:r>
      <w:r>
        <w:t xml:space="preserve"> and none failed to show a</w:t>
      </w:r>
      <w:r w:rsidR="00364786" w:rsidRPr="00B02E74">
        <w:t xml:space="preserve"> significant correlation between AMH and </w:t>
      </w:r>
      <w:r w:rsidR="00364786">
        <w:t>inhibin B</w:t>
      </w:r>
      <w:r w:rsidR="00364786" w:rsidRPr="00B02E74">
        <w:t xml:space="preserve"> serum levels.</w:t>
      </w:r>
    </w:p>
    <w:p w14:paraId="746DBAC4" w14:textId="2194AC51" w:rsidR="00A12062" w:rsidRDefault="00190673" w:rsidP="00190673">
      <w:pPr>
        <w:pStyle w:val="Heading1"/>
        <w:ind w:left="1134" w:hanging="1134"/>
      </w:pPr>
      <w:bookmarkStart w:id="289" w:name="_Toc502832948"/>
      <w:r>
        <w:lastRenderedPageBreak/>
        <w:t>B4</w:t>
      </w:r>
      <w:r>
        <w:tab/>
      </w:r>
      <w:r w:rsidR="005A35FF">
        <w:t xml:space="preserve">Clinical </w:t>
      </w:r>
      <w:r w:rsidR="00DC5CE5">
        <w:t>v</w:t>
      </w:r>
      <w:r w:rsidR="005A35FF">
        <w:t>alidity</w:t>
      </w:r>
      <w:bookmarkEnd w:id="289"/>
    </w:p>
    <w:p w14:paraId="30A2E80A" w14:textId="77777777" w:rsidR="007638EB" w:rsidRDefault="007638EB" w:rsidP="000214B4">
      <w:pPr>
        <w:pStyle w:val="Heading2"/>
        <w:ind w:left="993" w:hanging="993"/>
      </w:pPr>
      <w:bookmarkStart w:id="290" w:name="_Toc502832949"/>
      <w:r>
        <w:t>B4.1</w:t>
      </w:r>
      <w:r>
        <w:tab/>
        <w:t>Measures of clinical validity</w:t>
      </w:r>
      <w:bookmarkEnd w:id="290"/>
    </w:p>
    <w:p w14:paraId="7DEA4B5B" w14:textId="3C803F56" w:rsidR="00A00B06" w:rsidRDefault="000465EF" w:rsidP="00A06CF4">
      <w:pPr>
        <w:jc w:val="both"/>
      </w:pPr>
      <w:r w:rsidRPr="004507E0">
        <w:rPr>
          <w:bCs/>
        </w:rPr>
        <w:t>The clinical validity of AMH testing is</w:t>
      </w:r>
      <w:r w:rsidR="004507E0">
        <w:rPr>
          <w:bCs/>
        </w:rPr>
        <w:t xml:space="preserve"> about how</w:t>
      </w:r>
      <w:r w:rsidRPr="004507E0">
        <w:rPr>
          <w:bCs/>
        </w:rPr>
        <w:t xml:space="preserve"> </w:t>
      </w:r>
      <w:r>
        <w:rPr>
          <w:bCs/>
        </w:rPr>
        <w:t xml:space="preserve">well it predicts clinical outcomes. </w:t>
      </w:r>
      <w:r w:rsidR="00617798">
        <w:rPr>
          <w:bCs/>
        </w:rPr>
        <w:t xml:space="preserve">The results are presented in two </w:t>
      </w:r>
      <w:r w:rsidR="00E376AF">
        <w:rPr>
          <w:bCs/>
        </w:rPr>
        <w:t>parts</w:t>
      </w:r>
      <w:r w:rsidR="00617798">
        <w:rPr>
          <w:bCs/>
        </w:rPr>
        <w:t xml:space="preserve">: one </w:t>
      </w:r>
      <w:r w:rsidR="00E376AF">
        <w:rPr>
          <w:bCs/>
        </w:rPr>
        <w:t>presents</w:t>
      </w:r>
      <w:r w:rsidR="00617798">
        <w:rPr>
          <w:bCs/>
        </w:rPr>
        <w:t xml:space="preserve"> the prognostic and p</w:t>
      </w:r>
      <w:r w:rsidR="00E376AF">
        <w:rPr>
          <w:bCs/>
        </w:rPr>
        <w:t xml:space="preserve">redictive value of AMH testing, </w:t>
      </w:r>
      <w:r w:rsidR="00617798">
        <w:rPr>
          <w:bCs/>
        </w:rPr>
        <w:t xml:space="preserve">with ovarian function, response to ovarian stimulation </w:t>
      </w:r>
      <w:r w:rsidR="00E376AF">
        <w:rPr>
          <w:bCs/>
        </w:rPr>
        <w:t>and pregnancy as outcomes</w:t>
      </w:r>
      <w:r w:rsidR="00617798">
        <w:rPr>
          <w:bCs/>
        </w:rPr>
        <w:t xml:space="preserve">, and </w:t>
      </w:r>
      <w:r w:rsidR="00E376AF">
        <w:rPr>
          <w:bCs/>
        </w:rPr>
        <w:t>the other part presents</w:t>
      </w:r>
      <w:r w:rsidR="00617798">
        <w:rPr>
          <w:bCs/>
        </w:rPr>
        <w:t xml:space="preserve"> how the test would perform in predicting ovarian function in women </w:t>
      </w:r>
      <w:r w:rsidR="00617798" w:rsidRPr="00CB6357">
        <w:t>undergoing treatment</w:t>
      </w:r>
      <w:r w:rsidR="00E376AF">
        <w:t>s</w:t>
      </w:r>
      <w:r w:rsidR="00617798">
        <w:t xml:space="preserve"> </w:t>
      </w:r>
      <w:r w:rsidR="00E376AF">
        <w:t>with</w:t>
      </w:r>
      <w:r w:rsidR="00617798">
        <w:t xml:space="preserve"> different levels of gonadotoxicity</w:t>
      </w:r>
      <w:r w:rsidR="00E376AF">
        <w:t>.</w:t>
      </w:r>
    </w:p>
    <w:p w14:paraId="659BB930" w14:textId="7D8F5773" w:rsidR="007518CF" w:rsidRDefault="00FE7969" w:rsidP="00617798">
      <w:pPr>
        <w:jc w:val="both"/>
        <w:rPr>
          <w:color w:val="000000" w:themeColor="text1"/>
        </w:rPr>
      </w:pPr>
      <w:r w:rsidRPr="004507E0">
        <w:rPr>
          <w:bCs/>
          <w:color w:val="000000" w:themeColor="text1"/>
        </w:rPr>
        <w:t xml:space="preserve">The clinical validity of a test </w:t>
      </w:r>
      <w:r w:rsidR="00705C52">
        <w:rPr>
          <w:bCs/>
          <w:color w:val="000000" w:themeColor="text1"/>
        </w:rPr>
        <w:t xml:space="preserve">often </w:t>
      </w:r>
      <w:r w:rsidR="00E376AF">
        <w:rPr>
          <w:bCs/>
          <w:color w:val="000000" w:themeColor="text1"/>
        </w:rPr>
        <w:t>depends on the prevalence or pre-test probability</w:t>
      </w:r>
      <w:r w:rsidRPr="004507E0">
        <w:rPr>
          <w:bCs/>
          <w:color w:val="000000" w:themeColor="text1"/>
        </w:rPr>
        <w:t xml:space="preserve"> of the target condition or outcome of interest</w:t>
      </w:r>
      <w:r w:rsidR="00E376AF">
        <w:rPr>
          <w:bCs/>
          <w:color w:val="000000" w:themeColor="text1"/>
        </w:rPr>
        <w:t>, i.e. ovarian function</w:t>
      </w:r>
      <w:r w:rsidRPr="004507E0">
        <w:rPr>
          <w:bCs/>
          <w:color w:val="000000" w:themeColor="text1"/>
        </w:rPr>
        <w:t xml:space="preserve">. The </w:t>
      </w:r>
      <w:r w:rsidR="00303758" w:rsidRPr="004507E0">
        <w:rPr>
          <w:bCs/>
          <w:color w:val="000000" w:themeColor="text1"/>
        </w:rPr>
        <w:t xml:space="preserve">key </w:t>
      </w:r>
      <w:r w:rsidRPr="004507E0">
        <w:rPr>
          <w:bCs/>
          <w:color w:val="000000" w:themeColor="text1"/>
        </w:rPr>
        <w:t xml:space="preserve">measures used are the </w:t>
      </w:r>
      <w:r w:rsidR="00776418">
        <w:rPr>
          <w:bCs/>
          <w:color w:val="000000" w:themeColor="text1"/>
        </w:rPr>
        <w:t>PPVs and NPVs</w:t>
      </w:r>
      <w:r w:rsidR="00C029BC" w:rsidRPr="004507E0">
        <w:rPr>
          <w:bCs/>
          <w:color w:val="000000" w:themeColor="text1"/>
        </w:rPr>
        <w:t xml:space="preserve">, which are </w:t>
      </w:r>
      <w:r w:rsidR="00C029BC" w:rsidRPr="00705C52">
        <w:t xml:space="preserve">the probabilities of </w:t>
      </w:r>
      <w:r w:rsidR="00E376AF">
        <w:t xml:space="preserve">premature ovarian failure or the </w:t>
      </w:r>
      <w:r w:rsidR="004507E0" w:rsidRPr="00705C52">
        <w:t>co</w:t>
      </w:r>
      <w:r w:rsidR="00E376AF">
        <w:t>ntinuation or resumption of menses</w:t>
      </w:r>
      <w:r w:rsidR="00C029BC" w:rsidRPr="00705C52">
        <w:t xml:space="preserve"> in a tested individual.</w:t>
      </w:r>
      <w:r w:rsidR="00705C52" w:rsidRPr="00705C52">
        <w:t xml:space="preserve"> </w:t>
      </w:r>
      <w:r w:rsidR="0060297F" w:rsidRPr="00705C52">
        <w:t>These measures are heavily dependent on the prevalence of disease</w:t>
      </w:r>
      <w:r w:rsidR="00705C52">
        <w:t xml:space="preserve"> </w:t>
      </w:r>
      <w:r w:rsidR="0060297F" w:rsidRPr="00705C52">
        <w:t>in the study population</w:t>
      </w:r>
      <w:r w:rsidR="00E376AF">
        <w:t>, in this case, the risk of ovarian failure</w:t>
      </w:r>
      <w:r w:rsidR="0060297F" w:rsidRPr="00705C52">
        <w:t>.</w:t>
      </w:r>
      <w:r w:rsidR="00705C52">
        <w:t xml:space="preserve"> As the risk of ovarian failure</w:t>
      </w:r>
      <w:r w:rsidR="00E376AF">
        <w:t xml:space="preserve"> depends on a range of factors, e.g. age, type of treatment</w:t>
      </w:r>
      <w:r w:rsidR="00617798">
        <w:t>,</w:t>
      </w:r>
      <w:r w:rsidR="00E376AF">
        <w:t xml:space="preserve"> the second part </w:t>
      </w:r>
      <w:r w:rsidR="00705C52">
        <w:t>of B4.1.5 (</w:t>
      </w:r>
      <w:r w:rsidR="006D27E0">
        <w:fldChar w:fldCharType="begin"/>
      </w:r>
      <w:r w:rsidR="006D27E0">
        <w:instrText xml:space="preserve"> REF _Ref497821399 \h </w:instrText>
      </w:r>
      <w:r w:rsidR="006D27E0">
        <w:fldChar w:fldCharType="separate"/>
      </w:r>
      <w:r w:rsidR="00AC4BE5">
        <w:t>Is it accurate? - Usefulness of AMH at varying risks of ovarian failure</w:t>
      </w:r>
      <w:r w:rsidR="006D27E0">
        <w:fldChar w:fldCharType="end"/>
      </w:r>
      <w:r w:rsidR="00705C52">
        <w:t>)</w:t>
      </w:r>
      <w:r w:rsidR="00617798">
        <w:t xml:space="preserve"> included</w:t>
      </w:r>
      <w:r w:rsidR="00705C52">
        <w:t xml:space="preserve"> </w:t>
      </w:r>
      <w:r w:rsidR="004E3DBA">
        <w:t xml:space="preserve">eligible </w:t>
      </w:r>
      <w:r w:rsidR="00705C52">
        <w:t>evidence</w:t>
      </w:r>
      <w:r w:rsidR="004E3DBA">
        <w:t xml:space="preserve"> from the prognostic and analytical validity evidence</w:t>
      </w:r>
      <w:r w:rsidR="00705C52">
        <w:t xml:space="preserve"> to determine </w:t>
      </w:r>
      <w:r w:rsidR="00705C52" w:rsidRPr="00CB6357">
        <w:t xml:space="preserve">how the test would perform in women undergoing </w:t>
      </w:r>
      <w:r w:rsidR="00705C52">
        <w:t>gon</w:t>
      </w:r>
      <w:r w:rsidR="00705C52" w:rsidRPr="00CB6357">
        <w:t>adotoxic treatment</w:t>
      </w:r>
      <w:r w:rsidR="00E376AF">
        <w:t>s</w:t>
      </w:r>
      <w:r w:rsidR="00617798">
        <w:t xml:space="preserve"> </w:t>
      </w:r>
      <w:r w:rsidR="00E376AF">
        <w:t>of</w:t>
      </w:r>
      <w:r w:rsidR="00617798">
        <w:t xml:space="preserve"> different </w:t>
      </w:r>
      <w:r w:rsidR="00705C52">
        <w:t>gonadotoxicity</w:t>
      </w:r>
      <w:r w:rsidR="00E376AF">
        <w:t xml:space="preserve"> levels, effectively different levels of disease prevalence</w:t>
      </w:r>
      <w:r w:rsidR="00705C52">
        <w:t xml:space="preserve">. </w:t>
      </w:r>
      <w:r w:rsidR="00617798" w:rsidRPr="00CB6357">
        <w:rPr>
          <w:color w:val="000000" w:themeColor="text1"/>
        </w:rPr>
        <w:t xml:space="preserve">This </w:t>
      </w:r>
      <w:r w:rsidR="00617798">
        <w:rPr>
          <w:color w:val="000000" w:themeColor="text1"/>
        </w:rPr>
        <w:t>should give</w:t>
      </w:r>
      <w:r w:rsidR="00617798" w:rsidRPr="00CB6357">
        <w:rPr>
          <w:color w:val="000000" w:themeColor="text1"/>
        </w:rPr>
        <w:t xml:space="preserve"> an indication of the usefulness of the test when it is used before or after </w:t>
      </w:r>
      <w:r w:rsidR="00E376AF">
        <w:rPr>
          <w:color w:val="000000" w:themeColor="text1"/>
        </w:rPr>
        <w:t xml:space="preserve">gonadotoxic </w:t>
      </w:r>
      <w:r w:rsidR="00617798" w:rsidRPr="00CB6357">
        <w:rPr>
          <w:color w:val="000000" w:themeColor="text1"/>
        </w:rPr>
        <w:t xml:space="preserve">treatments </w:t>
      </w:r>
      <w:r w:rsidR="00E376AF">
        <w:rPr>
          <w:color w:val="000000" w:themeColor="text1"/>
        </w:rPr>
        <w:t xml:space="preserve">associated with </w:t>
      </w:r>
      <w:r w:rsidR="00617798" w:rsidRPr="00CB6357">
        <w:rPr>
          <w:color w:val="000000" w:themeColor="text1"/>
        </w:rPr>
        <w:t>low</w:t>
      </w:r>
      <w:r w:rsidR="00916047">
        <w:rPr>
          <w:color w:val="000000" w:themeColor="text1"/>
        </w:rPr>
        <w:t xml:space="preserve"> </w:t>
      </w:r>
      <w:r w:rsidR="00617798" w:rsidRPr="00CB6357">
        <w:rPr>
          <w:color w:val="000000" w:themeColor="text1"/>
        </w:rPr>
        <w:t>risk (20–30%), intermediate</w:t>
      </w:r>
      <w:r w:rsidR="00DE6DD5">
        <w:rPr>
          <w:color w:val="000000" w:themeColor="text1"/>
        </w:rPr>
        <w:t xml:space="preserve"> </w:t>
      </w:r>
      <w:r w:rsidR="00617798" w:rsidRPr="00CB6357">
        <w:rPr>
          <w:color w:val="000000" w:themeColor="text1"/>
        </w:rPr>
        <w:t>risk (40–70%) and high</w:t>
      </w:r>
      <w:r w:rsidR="00DE6DD5">
        <w:rPr>
          <w:color w:val="000000" w:themeColor="text1"/>
        </w:rPr>
        <w:t xml:space="preserve"> </w:t>
      </w:r>
      <w:r w:rsidR="00617798" w:rsidRPr="00CB6357">
        <w:rPr>
          <w:color w:val="000000" w:themeColor="text1"/>
        </w:rPr>
        <w:t>risk (70–80%) of ovarian failure.</w:t>
      </w:r>
    </w:p>
    <w:p w14:paraId="4F9173A0" w14:textId="4A20C112" w:rsidR="0055629E" w:rsidRDefault="0055629E" w:rsidP="00D366DE">
      <w:pPr>
        <w:pStyle w:val="Heading2"/>
        <w:numPr>
          <w:ilvl w:val="1"/>
          <w:numId w:val="18"/>
        </w:numPr>
      </w:pPr>
      <w:bookmarkStart w:id="291" w:name="_Toc502832950"/>
      <w:r w:rsidRPr="0048411A">
        <w:t>Reference standard</w:t>
      </w:r>
      <w:bookmarkEnd w:id="291"/>
    </w:p>
    <w:p w14:paraId="41976FB1" w14:textId="22171038" w:rsidR="007518CF" w:rsidRDefault="006A5D85" w:rsidP="00E82FC9">
      <w:pPr>
        <w:jc w:val="both"/>
      </w:pPr>
      <w:r>
        <w:t xml:space="preserve">The clinical outcomes </w:t>
      </w:r>
      <w:r w:rsidR="00E82FC9">
        <w:t>serve as the reference standard. In the prognostic section outcome</w:t>
      </w:r>
      <w:r w:rsidR="00EA5A12">
        <w:t xml:space="preserve">s were ovarian function, </w:t>
      </w:r>
      <w:r w:rsidR="00E82FC9">
        <w:t xml:space="preserve">measured as </w:t>
      </w:r>
      <w:r w:rsidR="00EA5A12">
        <w:t xml:space="preserve">the presence or absence of amenorrhea, achieving pregnancy, live birth or both, </w:t>
      </w:r>
      <w:r w:rsidR="00E82FC9">
        <w:t xml:space="preserve">and </w:t>
      </w:r>
      <w:r w:rsidR="00EA5A12">
        <w:t xml:space="preserve">the </w:t>
      </w:r>
      <w:r w:rsidR="00E82FC9">
        <w:t xml:space="preserve">response </w:t>
      </w:r>
      <w:r w:rsidR="00EA5A12">
        <w:t>to controlled hyperstimulation, i.e. oocyte yield</w:t>
      </w:r>
      <w:r w:rsidR="00E82FC9">
        <w:t xml:space="preserve">. The second section aimed at determining the usefulness of AMH determining ovarian </w:t>
      </w:r>
      <w:r w:rsidR="00EA5A12">
        <w:t>function, with the presence or absence</w:t>
      </w:r>
      <w:r w:rsidR="00E82FC9">
        <w:t xml:space="preserve"> of a menstrual cycle as the reference standard.</w:t>
      </w:r>
    </w:p>
    <w:p w14:paraId="2B93979E" w14:textId="12F7A501" w:rsidR="001B77EE" w:rsidRDefault="0055629E" w:rsidP="00D366DE">
      <w:pPr>
        <w:pStyle w:val="Heading2"/>
        <w:numPr>
          <w:ilvl w:val="1"/>
          <w:numId w:val="18"/>
        </w:numPr>
      </w:pPr>
      <w:bookmarkStart w:id="292" w:name="_Toc502832951"/>
      <w:r w:rsidRPr="00183E4D">
        <w:t xml:space="preserve">Risk of </w:t>
      </w:r>
      <w:r w:rsidR="00DC5CE5">
        <w:t>b</w:t>
      </w:r>
      <w:r w:rsidRPr="00183E4D">
        <w:t xml:space="preserve">ias </w:t>
      </w:r>
      <w:r w:rsidR="00DC5CE5">
        <w:t>a</w:t>
      </w:r>
      <w:r w:rsidRPr="00183E4D">
        <w:t>ssessment</w:t>
      </w:r>
      <w:bookmarkEnd w:id="292"/>
    </w:p>
    <w:p w14:paraId="7AD0E5FC" w14:textId="7B136E6E" w:rsidR="007518CF" w:rsidRDefault="001B77EE" w:rsidP="00BA7109">
      <w:pPr>
        <w:jc w:val="both"/>
      </w:pPr>
      <w:r>
        <w:t>The studies included in the prognostic evidence section were assessed for ri</w:t>
      </w:r>
      <w:r w:rsidR="006D27E0">
        <w:t xml:space="preserve">sk of bias using the </w:t>
      </w:r>
      <w:r w:rsidR="00776418">
        <w:rPr>
          <w:rStyle w:val="st"/>
        </w:rPr>
        <w:t>Quality in Prognosis Studies (</w:t>
      </w:r>
      <w:r w:rsidR="006D27E0">
        <w:t>QUIPS</w:t>
      </w:r>
      <w:r w:rsidR="00776418">
        <w:t>)</w:t>
      </w:r>
      <w:r w:rsidR="006D27E0">
        <w:t xml:space="preserve"> </w:t>
      </w:r>
      <w:r w:rsidR="006D27E0" w:rsidRPr="006D27E0">
        <w:t>Risk of Bias Assessment Instrument for Prognostic Factor Studies</w:t>
      </w:r>
      <w:r w:rsidR="006D27E0">
        <w:t xml:space="preserve"> </w:t>
      </w:r>
      <w:r w:rsidR="00577E24">
        <w:fldChar w:fldCharType="begin"/>
      </w:r>
      <w:r w:rsidR="00577E24">
        <w:instrText xml:space="preserve"> ADDIN EN.CITE &lt;EndNote&gt;&lt;Cite&gt;&lt;Author&gt;Hayden&lt;/Author&gt;&lt;Year&gt;2013&lt;/Year&gt;&lt;RecNum&gt;398&lt;/RecNum&gt;&lt;IDText&gt;280-6&lt;/IDText&gt;&lt;DisplayText&gt;(Hayden et al. 2013)&lt;/DisplayText&gt;&lt;record&gt;&lt;rec-number&gt;398&lt;/rec-number&gt;&lt;foreign-keys&gt;&lt;key app="EN" db-id="s2dftfxw1fvsr1efx58vfvxtvfwzxea0td02" timestamp="1511751571"&gt;398&lt;/key&gt;&lt;/foreign-keys&gt;&lt;ref-type name="Journal Article"&gt;17&lt;/ref-type&gt;&lt;contributors&gt;&lt;authors&gt;&lt;author&gt;Hayden, J. A.&lt;/author&gt;&lt;author&gt;van der Windt, D. A.&lt;/author&gt;&lt;author&gt;Cartwright, J. L.&lt;/author&gt;&lt;author&gt;Cote, P.&lt;/author&gt;&lt;author&gt;Bombardier, C.&lt;/author&gt;&lt;/authors&gt;&lt;/contributors&gt;&lt;auth-address&gt;Department of Community Health &amp;amp; Epidemiology, Dalhousie University, 5790 University Avenue, Room 222, Halifax, Nova Scotia B3H 1V7, Canada. jhayden@dal.ca&lt;/auth-address&gt;&lt;titles&gt;&lt;title&gt;Assessing bias in studies of prognostic factors&lt;/title&gt;&lt;secondary-title&gt;Ann Intern Med&lt;/secondary-title&gt;&lt;/titles&gt;&lt;periodical&gt;&lt;full-title&gt;Ann Intern Med&lt;/full-title&gt;&lt;/periodical&gt;&lt;pages&gt;280-6&lt;/pages&gt;&lt;volume&gt;158&lt;/volume&gt;&lt;number&gt;4&lt;/number&gt;&lt;keywords&gt;&lt;keyword&gt;*Bias (Epidemiology)&lt;/keyword&gt;&lt;keyword&gt;Humans&lt;/keyword&gt;&lt;keyword&gt;Low Back Pain/therapy&lt;/keyword&gt;&lt;keyword&gt;*Prognosis&lt;/keyword&gt;&lt;keyword&gt;*Research Design&lt;/keyword&gt;&lt;keyword&gt;*Review Literature as Topic&lt;/keyword&gt;&lt;/keywords&gt;&lt;dates&gt;&lt;year&gt;2013&lt;/year&gt;&lt;pub-dates&gt;&lt;date&gt;Feb 19&lt;/date&gt;&lt;/pub-dates&gt;&lt;/dates&gt;&lt;isbn&gt;1539-3704 (Electronic)&amp;#xD;0003-4819 (Linking)&lt;/isbn&gt;&lt;accession-num&gt;23420236&lt;/accession-num&gt;&lt;urls&gt;&lt;related-urls&gt;&lt;url&gt;http://www.ncbi.nlm.nih.gov/pubmed/23420236&lt;/url&gt;&lt;/related-urls&gt;&lt;/urls&gt;&lt;electronic-resource-num&gt;10.7326/0003-4819-158-4-201302190-00009&lt;/electronic-resource-num&gt;&lt;/record&gt;&lt;/Cite&gt;&lt;/EndNote&gt;</w:instrText>
      </w:r>
      <w:r w:rsidR="00577E24">
        <w:fldChar w:fldCharType="separate"/>
      </w:r>
      <w:r w:rsidR="00577E24">
        <w:rPr>
          <w:noProof/>
        </w:rPr>
        <w:t>(</w:t>
      </w:r>
      <w:hyperlink w:anchor="_ENREF_28" w:tooltip="Hayden, 2013 #398" w:history="1">
        <w:r w:rsidR="00835BA6">
          <w:rPr>
            <w:noProof/>
          </w:rPr>
          <w:t>Hayden et al. 2013</w:t>
        </w:r>
      </w:hyperlink>
      <w:r w:rsidR="00577E24">
        <w:rPr>
          <w:noProof/>
        </w:rPr>
        <w:t>)</w:t>
      </w:r>
      <w:r w:rsidR="00577E24">
        <w:fldChar w:fldCharType="end"/>
      </w:r>
      <w:r w:rsidR="007F4459">
        <w:t xml:space="preserve">. </w:t>
      </w:r>
      <w:r w:rsidR="000F4B7F">
        <w:t xml:space="preserve">The </w:t>
      </w:r>
      <w:r w:rsidR="0064098D">
        <w:t>t</w:t>
      </w:r>
      <w:r w:rsidR="000F4B7F">
        <w:t>able showing</w:t>
      </w:r>
      <w:r w:rsidR="006D27E0">
        <w:t xml:space="preserve"> overall risk of bias and</w:t>
      </w:r>
      <w:r w:rsidR="000F4B7F">
        <w:t xml:space="preserve"> risk of bias for the different domains per study </w:t>
      </w:r>
      <w:r w:rsidR="008A68D3">
        <w:t xml:space="preserve">is shown in </w:t>
      </w:r>
      <w:r w:rsidR="008A68D3" w:rsidRPr="001F23FD">
        <w:fldChar w:fldCharType="begin"/>
      </w:r>
      <w:r w:rsidR="008A68D3" w:rsidRPr="001F23FD">
        <w:instrText xml:space="preserve"> REF _Ref497820796 \h </w:instrText>
      </w:r>
      <w:r w:rsidR="00BA7109" w:rsidRPr="001F23FD">
        <w:instrText xml:space="preserve"> \* MERGEFORMAT </w:instrText>
      </w:r>
      <w:r w:rsidR="008A68D3" w:rsidRPr="001F23FD">
        <w:fldChar w:fldCharType="separate"/>
      </w:r>
      <w:r w:rsidR="00AC4BE5" w:rsidRPr="00183E4D">
        <w:t xml:space="preserve">Appendix </w:t>
      </w:r>
      <w:r w:rsidR="00AC4BE5">
        <w:rPr>
          <w:noProof/>
        </w:rPr>
        <w:t>F</w:t>
      </w:r>
      <w:r w:rsidR="008A68D3" w:rsidRPr="001F23FD">
        <w:fldChar w:fldCharType="end"/>
      </w:r>
      <w:r w:rsidR="008A68D3" w:rsidRPr="001F23FD">
        <w:t>.</w:t>
      </w:r>
    </w:p>
    <w:p w14:paraId="06E0A417" w14:textId="4DDCCE03" w:rsidR="007518CF" w:rsidRDefault="003F0160" w:rsidP="00BA7109">
      <w:pPr>
        <w:jc w:val="both"/>
      </w:pPr>
      <w:r>
        <w:t>Of</w:t>
      </w:r>
      <w:r w:rsidR="006D27E0">
        <w:t xml:space="preserve"> the seven studies included in the second </w:t>
      </w:r>
      <w:r>
        <w:t>part</w:t>
      </w:r>
      <w:r w:rsidR="001F23FD">
        <w:t xml:space="preserve"> second part of B4.1.5 (</w:t>
      </w:r>
      <w:r w:rsidR="001F23FD">
        <w:fldChar w:fldCharType="begin"/>
      </w:r>
      <w:r w:rsidR="001F23FD">
        <w:instrText xml:space="preserve"> REF _Ref497821399 \h </w:instrText>
      </w:r>
      <w:r w:rsidR="001F23FD">
        <w:fldChar w:fldCharType="separate"/>
      </w:r>
      <w:r w:rsidR="00AC4BE5">
        <w:t>Is it accurate? - Usefulness of AMH at varying risks of ovarian failure</w:t>
      </w:r>
      <w:r w:rsidR="001F23FD">
        <w:fldChar w:fldCharType="end"/>
      </w:r>
      <w:r w:rsidR="001F23FD">
        <w:t>),</w:t>
      </w:r>
      <w:r w:rsidR="006D27E0">
        <w:t xml:space="preserve"> two </w:t>
      </w:r>
      <w:r w:rsidR="001F23FD">
        <w:t xml:space="preserve">studies </w:t>
      </w:r>
      <w:r w:rsidR="006D27E0">
        <w:t xml:space="preserve">were included </w:t>
      </w:r>
      <w:r>
        <w:t>for evidence on analytical validity</w:t>
      </w:r>
      <w:r w:rsidR="00BA7109">
        <w:t xml:space="preserve"> </w:t>
      </w:r>
      <w:r w:rsidR="00A109BA">
        <w:lastRenderedPageBreak/>
        <w:fldChar w:fldCharType="begin">
          <w:fldData xml:space="preserve">PEVuZE5vdGU+PENpdGU+PEF1dGhvcj5EZWNhbnRlcjwvQXV0aG9yPjxZZWFyPjIwMTQ8L1llYXI+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</w:fldData>
        </w:fldChar>
      </w:r>
      <w:r w:rsidR="00577E24">
        <w:instrText xml:space="preserve"> ADDIN EN.CITE </w:instrText>
      </w:r>
      <w:r w:rsidR="00577E24">
        <w:fldChar w:fldCharType="begin">
          <w:fldData xml:space="preserve">PEVuZE5vdGU+PENpdGU+PEF1dGhvcj5EZWNhbnRlcjwvQXV0aG9yPjxZZWFyPjIwMTQ8L1llYXI+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</w:fldData>
        </w:fldChar>
      </w:r>
      <w:r w:rsidR="00577E24">
        <w:instrText xml:space="preserve"> ADDIN EN.CITE.DATA </w:instrText>
      </w:r>
      <w:r w:rsidR="00577E24">
        <w:fldChar w:fldCharType="end"/>
      </w:r>
      <w:r w:rsidR="00A109BA">
        <w:fldChar w:fldCharType="separate"/>
      </w:r>
      <w:r w:rsidR="00A109BA">
        <w:rPr>
          <w:noProof/>
        </w:rPr>
        <w:t>(</w:t>
      </w:r>
      <w:hyperlink w:anchor="_ENREF_18" w:tooltip="Decanter, 2014 #114" w:history="1">
        <w:r w:rsidR="00835BA6">
          <w:rPr>
            <w:noProof/>
          </w:rPr>
          <w:t>Decanter et al. 2014</w:t>
        </w:r>
      </w:hyperlink>
      <w:r w:rsidR="00A109BA">
        <w:rPr>
          <w:noProof/>
        </w:rPr>
        <w:t xml:space="preserve">; </w:t>
      </w:r>
      <w:hyperlink w:anchor="_ENREF_65" w:tooltip="Su, 2011 #335" w:history="1">
        <w:r w:rsidR="00835BA6">
          <w:rPr>
            <w:noProof/>
          </w:rPr>
          <w:t>Su et al. 2011</w:t>
        </w:r>
      </w:hyperlink>
      <w:r w:rsidR="00A109BA">
        <w:rPr>
          <w:noProof/>
        </w:rPr>
        <w:t>)</w:t>
      </w:r>
      <w:r w:rsidR="00A109BA">
        <w:fldChar w:fldCharType="end"/>
      </w:r>
      <w:r w:rsidR="00B532A4">
        <w:t xml:space="preserve"> and assessed by the QUADAS-</w:t>
      </w:r>
      <w:r w:rsidR="00BA7109">
        <w:t xml:space="preserve">2 checklist </w:t>
      </w:r>
      <w:r w:rsidR="00611F8B">
        <w:t>in</w:t>
      </w:r>
      <w:r>
        <w:t xml:space="preserve"> Section B3.3.</w:t>
      </w:r>
      <w:r w:rsidR="006D27E0">
        <w:t xml:space="preserve"> </w:t>
      </w:r>
      <w:r>
        <w:t>F</w:t>
      </w:r>
      <w:r w:rsidR="006D27E0">
        <w:t>our</w:t>
      </w:r>
      <w:r w:rsidR="00611F8B">
        <w:t xml:space="preserve"> </w:t>
      </w:r>
      <w:r>
        <w:t xml:space="preserve">of the seven </w:t>
      </w:r>
      <w:r w:rsidR="00611F8B">
        <w:t>studies</w:t>
      </w:r>
      <w:r w:rsidR="006D27E0">
        <w:t xml:space="preserve"> were included in the prognostic evidence section</w:t>
      </w:r>
      <w:r w:rsidR="00BA7109">
        <w:t xml:space="preserve"> and</w:t>
      </w:r>
      <w:r w:rsidR="00611F8B">
        <w:t xml:space="preserve"> initially</w:t>
      </w:r>
      <w:r w:rsidR="00BA7109">
        <w:t xml:space="preserve"> assessed by the QUIPS tool</w:t>
      </w:r>
      <w:r w:rsidR="001C6C1F">
        <w:t xml:space="preserve"> (</w:t>
      </w:r>
      <w:r w:rsidR="009403F7">
        <w:fldChar w:fldCharType="begin"/>
      </w:r>
      <w:r w:rsidR="009403F7">
        <w:instrText xml:space="preserve"> REF _Ref497820796 \h </w:instrText>
      </w:r>
      <w:r w:rsidR="009403F7">
        <w:fldChar w:fldCharType="separate"/>
      </w:r>
      <w:r w:rsidR="00AC4BE5" w:rsidRPr="00183E4D">
        <w:t xml:space="preserve">Appendix </w:t>
      </w:r>
      <w:r w:rsidR="00AC4BE5">
        <w:rPr>
          <w:noProof/>
        </w:rPr>
        <w:t>F</w:t>
      </w:r>
      <w:r w:rsidR="009403F7">
        <w:fldChar w:fldCharType="end"/>
      </w:r>
      <w:r w:rsidR="001C6C1F">
        <w:t>)</w:t>
      </w:r>
      <w:r w:rsidR="00BA7109">
        <w:t xml:space="preserve"> </w:t>
      </w:r>
      <w:r w:rsidR="00A109BA">
        <w:fldChar w:fldCharType="begin">
          <w:fldData xml:space="preserve">PEVuZE5vdGU+PENpdGU+PEF1dGhvcj5BbmRlcnM8L0F1dGhvcj48WWVhcj4yMDA4PC9ZZWFyPjxS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</w:fldData>
        </w:fldChar>
      </w:r>
      <w:r w:rsidR="004308C4">
        <w:instrText xml:space="preserve"> ADDIN EN.CITE </w:instrText>
      </w:r>
      <w:r w:rsidR="004308C4">
        <w:fldChar w:fldCharType="begin">
          <w:fldData xml:space="preserve">PEVuZE5vdGU+PENpdGU+PEF1dGhvcj5BbmRlcnM8L0F1dGhvcj48WWVhcj4yMDA4PC9ZZWFyPjxS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</w:fldData>
        </w:fldChar>
      </w:r>
      <w:r w:rsidR="004308C4">
        <w:instrText xml:space="preserve"> ADDIN EN.CITE.DATA </w:instrText>
      </w:r>
      <w:r w:rsidR="004308C4">
        <w:fldChar w:fldCharType="end"/>
      </w:r>
      <w:r w:rsidR="00A109BA">
        <w:fldChar w:fldCharType="separate"/>
      </w:r>
      <w:r w:rsidR="004308C4">
        <w:rPr>
          <w:noProof/>
        </w:rPr>
        <w:t>(</w:t>
      </w:r>
      <w:hyperlink w:anchor="_ENREF_5" w:tooltip="Anders, 2008 #25" w:history="1">
        <w:r w:rsidR="00835BA6">
          <w:rPr>
            <w:noProof/>
          </w:rPr>
          <w:t>Anders et al. 2008</w:t>
        </w:r>
      </w:hyperlink>
      <w:r w:rsidR="004308C4">
        <w:rPr>
          <w:noProof/>
        </w:rPr>
        <w:t xml:space="preserve">; </w:t>
      </w:r>
      <w:hyperlink w:anchor="_ENREF_14" w:tooltip="Chai, 2014 #88" w:history="1">
        <w:r w:rsidR="00835BA6">
          <w:rPr>
            <w:noProof/>
          </w:rPr>
          <w:t>Chai et al. 2014</w:t>
        </w:r>
      </w:hyperlink>
      <w:r w:rsidR="004308C4">
        <w:rPr>
          <w:noProof/>
        </w:rPr>
        <w:t xml:space="preserve">; </w:t>
      </w:r>
      <w:hyperlink w:anchor="_ENREF_15" w:tooltip="D'Avila, 2015 #110" w:history="1">
        <w:r w:rsidR="00835BA6">
          <w:rPr>
            <w:noProof/>
          </w:rPr>
          <w:t>D'Avila et al. 2015</w:t>
        </w:r>
      </w:hyperlink>
      <w:r w:rsidR="004308C4">
        <w:rPr>
          <w:noProof/>
        </w:rPr>
        <w:t xml:space="preserve">; </w:t>
      </w:r>
      <w:hyperlink w:anchor="_ENREF_29" w:tooltip="Henry, 2014 #178" w:history="1">
        <w:r w:rsidR="00835BA6">
          <w:rPr>
            <w:noProof/>
          </w:rPr>
          <w:t>Henry et al. 2014</w:t>
        </w:r>
      </w:hyperlink>
      <w:r w:rsidR="004308C4">
        <w:rPr>
          <w:noProof/>
        </w:rPr>
        <w:t>)</w:t>
      </w:r>
      <w:r w:rsidR="00A109BA">
        <w:fldChar w:fldCharType="end"/>
      </w:r>
      <w:r w:rsidR="00BA7109">
        <w:t>. The study by Jantke et al. (2012) was the only study which did not meet the criteria for inclusion in</w:t>
      </w:r>
      <w:r w:rsidR="00FB5FF1">
        <w:t xml:space="preserve"> either the</w:t>
      </w:r>
      <w:r w:rsidR="00BA7109">
        <w:t xml:space="preserve"> analytical validity </w:t>
      </w:r>
      <w:r>
        <w:t xml:space="preserve">or the prognostic section, given that no comparator test was applicable and the </w:t>
      </w:r>
      <w:r w:rsidR="00BA7109">
        <w:t>AMH levels and outcome</w:t>
      </w:r>
      <w:r>
        <w:t>s</w:t>
      </w:r>
      <w:r w:rsidR="00BA7109">
        <w:t xml:space="preserve"> were measured at the same time</w:t>
      </w:r>
      <w:r>
        <w:t>,</w:t>
      </w:r>
      <w:r w:rsidR="00BA7109">
        <w:t xml:space="preserve"> and therefore </w:t>
      </w:r>
      <w:r>
        <w:t>the test was not predictive or prognostic</w:t>
      </w:r>
      <w:r w:rsidR="00BA7109">
        <w:t>. However, it provided 2</w:t>
      </w:r>
      <w:r w:rsidR="009403F7">
        <w:t xml:space="preserve"> </w:t>
      </w:r>
      <w:r w:rsidR="00BA7109">
        <w:t>x</w:t>
      </w:r>
      <w:r w:rsidR="009403F7">
        <w:t xml:space="preserve"> </w:t>
      </w:r>
      <w:r w:rsidR="00BA7109">
        <w:t xml:space="preserve">2 data which means it was eligible to be included in </w:t>
      </w:r>
      <w:r>
        <w:t>for clinical validity</w:t>
      </w:r>
      <w:r w:rsidR="00BA7109">
        <w:t xml:space="preserve">. The </w:t>
      </w:r>
      <w:r w:rsidR="001C6C1F">
        <w:t>risk of bias</w:t>
      </w:r>
      <w:r>
        <w:t xml:space="preserve"> of these seven studies was re</w:t>
      </w:r>
      <w:r w:rsidR="00611F8B">
        <w:t>assessed</w:t>
      </w:r>
      <w:r w:rsidR="001C6C1F">
        <w:t xml:space="preserve"> with the QUADAS</w:t>
      </w:r>
      <w:r w:rsidR="00990C3E">
        <w:t>-</w:t>
      </w:r>
      <w:r w:rsidR="001C6C1F">
        <w:t>2 tool</w:t>
      </w:r>
      <w:r w:rsidR="00611F8B">
        <w:t xml:space="preserve"> for clinical validity</w:t>
      </w:r>
      <w:r w:rsidR="001C6C1F">
        <w:t xml:space="preserve">, </w:t>
      </w:r>
      <w:r>
        <w:t>as</w:t>
      </w:r>
      <w:r w:rsidR="001C6C1F">
        <w:t xml:space="preserve"> shown </w:t>
      </w:r>
      <w:r>
        <w:t>in</w:t>
      </w:r>
      <w:r w:rsidR="001F23FD">
        <w:t xml:space="preserve"> </w:t>
      </w:r>
      <w:r w:rsidR="001F23FD">
        <w:rPr>
          <w:highlight w:val="yellow"/>
        </w:rPr>
        <w:fldChar w:fldCharType="begin"/>
      </w:r>
      <w:r w:rsidR="001F23FD">
        <w:instrText xml:space="preserve"> REF _Ref501464319 \h </w:instrText>
      </w:r>
      <w:r w:rsidR="001F23FD">
        <w:rPr>
          <w:highlight w:val="yellow"/>
        </w:rPr>
      </w:r>
      <w:r w:rsidR="001F23FD">
        <w:rPr>
          <w:highlight w:val="yellow"/>
        </w:rPr>
        <w:fldChar w:fldCharType="separate"/>
      </w:r>
      <w:r w:rsidR="00AC4BE5" w:rsidRPr="006343CE">
        <w:t xml:space="preserve">Table </w:t>
      </w:r>
      <w:r w:rsidR="00AC4BE5">
        <w:rPr>
          <w:noProof/>
        </w:rPr>
        <w:t>37</w:t>
      </w:r>
      <w:r w:rsidR="001F23FD">
        <w:rPr>
          <w:highlight w:val="yellow"/>
        </w:rPr>
        <w:fldChar w:fldCharType="end"/>
      </w:r>
      <w:r w:rsidR="001C6C1F">
        <w:t xml:space="preserve">. </w:t>
      </w:r>
      <w:r w:rsidR="00611F8B">
        <w:t xml:space="preserve">The </w:t>
      </w:r>
      <w:r w:rsidR="00FB5FF1">
        <w:t xml:space="preserve">risk of </w:t>
      </w:r>
      <w:r w:rsidR="00611F8B">
        <w:t xml:space="preserve">bias assessment of the studies by Su et al. </w:t>
      </w:r>
      <w:r>
        <w:t xml:space="preserve">2011 </w:t>
      </w:r>
      <w:r w:rsidR="00611F8B">
        <w:t xml:space="preserve">and Decanter et al. </w:t>
      </w:r>
      <w:r>
        <w:t xml:space="preserve">2014 </w:t>
      </w:r>
      <w:r w:rsidR="00611F8B">
        <w:t>remained largely the same</w:t>
      </w:r>
      <w:r w:rsidR="00FB5FF1">
        <w:t xml:space="preserve"> as in Section B3.3</w:t>
      </w:r>
      <w:r w:rsidR="00611F8B">
        <w:t>, except for the</w:t>
      </w:r>
      <w:r w:rsidR="00FB5FF1">
        <w:t xml:space="preserve"> applicability</w:t>
      </w:r>
      <w:r>
        <w:t>. A</w:t>
      </w:r>
      <w:r w:rsidR="00611F8B">
        <w:t xml:space="preserve"> clinical outcome is applicable for the clinical validity section</w:t>
      </w:r>
      <w:r w:rsidR="00FB5FF1">
        <w:t>, and no comparators have been included in the clinical validity section</w:t>
      </w:r>
      <w:r w:rsidR="00611F8B">
        <w:t>.</w:t>
      </w:r>
    </w:p>
    <w:p w14:paraId="6BCEEBBA" w14:textId="297C386B" w:rsidR="001C6C1F" w:rsidRPr="006343CE" w:rsidRDefault="001C6C1F" w:rsidP="00634539">
      <w:pPr>
        <w:pStyle w:val="TableHeading"/>
      </w:pPr>
      <w:bookmarkStart w:id="293" w:name="_Ref501464319"/>
      <w:bookmarkStart w:id="294" w:name="_Toc502833055"/>
      <w:r w:rsidRPr="006343CE">
        <w:t xml:space="preserve">Table </w:t>
      </w:r>
      <w:r w:rsidR="00AC4BE5">
        <w:fldChar w:fldCharType="begin"/>
      </w:r>
      <w:r w:rsidR="00AC4BE5">
        <w:instrText xml:space="preserve"> SEQ Table \* ARABIC </w:instrText>
      </w:r>
      <w:r w:rsidR="00AC4BE5">
        <w:fldChar w:fldCharType="separate"/>
      </w:r>
      <w:r w:rsidR="00AC4BE5">
        <w:rPr>
          <w:noProof/>
        </w:rPr>
        <w:t>37</w:t>
      </w:r>
      <w:r w:rsidR="00AC4BE5">
        <w:rPr>
          <w:noProof/>
        </w:rPr>
        <w:fldChar w:fldCharType="end"/>
      </w:r>
      <w:bookmarkEnd w:id="293"/>
      <w:r w:rsidRPr="006343CE">
        <w:tab/>
        <w:t xml:space="preserve">Modified QUADAS-2 risk of bias results for </w:t>
      </w:r>
      <w:r w:rsidR="002B7606">
        <w:t>clinical validity</w:t>
      </w:r>
      <w:r w:rsidRPr="006343CE">
        <w:t xml:space="preserve"> studies</w:t>
      </w:r>
      <w:bookmarkEnd w:id="294"/>
    </w:p>
    <w:tbl>
      <w:tblPr>
        <w:tblStyle w:val="TableGrid1"/>
        <w:tblW w:w="9185" w:type="dxa"/>
        <w:tblLayout w:type="fixed"/>
        <w:tblLook w:val="00A0" w:firstRow="1" w:lastRow="0" w:firstColumn="1" w:lastColumn="0" w:noHBand="0" w:noVBand="0"/>
        <w:tblDescription w:val="Modified QUADAS-2 risk of bias results for clinical validity studies"/>
      </w:tblPr>
      <w:tblGrid>
        <w:gridCol w:w="1560"/>
        <w:gridCol w:w="850"/>
        <w:gridCol w:w="567"/>
        <w:gridCol w:w="1134"/>
        <w:gridCol w:w="851"/>
        <w:gridCol w:w="850"/>
        <w:gridCol w:w="851"/>
        <w:gridCol w:w="567"/>
        <w:gridCol w:w="1134"/>
        <w:gridCol w:w="821"/>
      </w:tblGrid>
      <w:tr w:rsidR="001C6C1F" w:rsidRPr="006343CE" w14:paraId="3BA71EAA" w14:textId="77777777" w:rsidTr="009B1C7A">
        <w:trPr>
          <w:cnfStyle w:val="100000000000" w:firstRow="1" w:lastRow="0" w:firstColumn="0" w:lastColumn="0" w:oddVBand="0" w:evenVBand="0" w:oddHBand="0" w:evenHBand="0" w:firstRowFirstColumn="0" w:firstRowLastColumn="0" w:lastRowFirstColumn="0" w:lastRowLastColumn="0"/>
          <w:trHeight w:val="415"/>
          <w:tblHeader/>
        </w:trPr>
        <w:tc>
          <w:tcPr>
            <w:tcW w:w="1560" w:type="dxa"/>
          </w:tcPr>
          <w:p w14:paraId="7C363926" w14:textId="77777777" w:rsidR="001C6C1F" w:rsidRPr="006343CE" w:rsidRDefault="001C6C1F" w:rsidP="007C7765">
            <w:pPr>
              <w:spacing w:after="40" w:line="240" w:lineRule="auto"/>
              <w:ind w:left="-57" w:right="-57"/>
              <w:rPr>
                <w:rFonts w:ascii="Arial Narrow" w:hAnsi="Arial Narrow" w:cs="Calibri"/>
                <w:sz w:val="20"/>
                <w:lang w:eastAsia="en-GB"/>
              </w:rPr>
            </w:pPr>
            <w:r w:rsidRPr="006343CE">
              <w:rPr>
                <w:rFonts w:ascii="Arial Narrow" w:hAnsi="Arial Narrow" w:cs="Calibri"/>
                <w:b/>
                <w:sz w:val="20"/>
                <w:lang w:eastAsia="en-GB"/>
              </w:rPr>
              <w:t>Study</w:t>
            </w:r>
          </w:p>
        </w:tc>
        <w:tc>
          <w:tcPr>
            <w:tcW w:w="850" w:type="dxa"/>
          </w:tcPr>
          <w:p w14:paraId="473B6D4D" w14:textId="77777777" w:rsidR="001C6C1F" w:rsidRPr="006343CE" w:rsidRDefault="001C6C1F" w:rsidP="007C7765">
            <w:pPr>
              <w:spacing w:after="40" w:line="240" w:lineRule="auto"/>
              <w:ind w:left="-57" w:right="-57"/>
              <w:rPr>
                <w:rFonts w:ascii="Arial Narrow" w:hAnsi="Arial Narrow" w:cs="Calibri"/>
                <w:b/>
                <w:sz w:val="20"/>
                <w:lang w:eastAsia="en-GB"/>
              </w:rPr>
            </w:pPr>
          </w:p>
        </w:tc>
        <w:tc>
          <w:tcPr>
            <w:tcW w:w="567" w:type="dxa"/>
          </w:tcPr>
          <w:p w14:paraId="4DDCFE9C" w14:textId="77777777" w:rsidR="001C6C1F" w:rsidRPr="006343CE" w:rsidRDefault="001C6C1F" w:rsidP="007C7765">
            <w:pPr>
              <w:spacing w:after="40" w:line="240" w:lineRule="auto"/>
              <w:ind w:left="-57" w:right="-57"/>
              <w:rPr>
                <w:rFonts w:ascii="Arial Narrow" w:hAnsi="Arial Narrow" w:cs="Calibri"/>
                <w:b/>
                <w:sz w:val="20"/>
                <w:lang w:eastAsia="en-GB"/>
              </w:rPr>
            </w:pPr>
          </w:p>
        </w:tc>
        <w:tc>
          <w:tcPr>
            <w:tcW w:w="1134" w:type="dxa"/>
          </w:tcPr>
          <w:p w14:paraId="32208622" w14:textId="77777777" w:rsidR="001C6C1F" w:rsidRPr="006343CE" w:rsidRDefault="001C6C1F" w:rsidP="007C7765">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Risk of bias</w:t>
            </w:r>
          </w:p>
        </w:tc>
        <w:tc>
          <w:tcPr>
            <w:tcW w:w="851" w:type="dxa"/>
          </w:tcPr>
          <w:p w14:paraId="24C68990" w14:textId="77777777" w:rsidR="001C6C1F" w:rsidRPr="006343CE" w:rsidRDefault="001C6C1F" w:rsidP="007C7765">
            <w:pPr>
              <w:spacing w:after="40" w:line="240" w:lineRule="auto"/>
              <w:ind w:left="-57" w:right="-57"/>
              <w:rPr>
                <w:rFonts w:ascii="Arial Narrow" w:hAnsi="Arial Narrow" w:cs="Calibri"/>
                <w:b/>
                <w:sz w:val="20"/>
                <w:lang w:eastAsia="en-GB"/>
              </w:rPr>
            </w:pPr>
          </w:p>
        </w:tc>
        <w:tc>
          <w:tcPr>
            <w:tcW w:w="850" w:type="dxa"/>
          </w:tcPr>
          <w:p w14:paraId="6F983087" w14:textId="77777777" w:rsidR="001C6C1F" w:rsidRPr="006343CE" w:rsidRDefault="001C6C1F" w:rsidP="007C7765">
            <w:pPr>
              <w:spacing w:after="40" w:line="240" w:lineRule="auto"/>
              <w:ind w:left="-57" w:right="-57"/>
              <w:rPr>
                <w:rFonts w:ascii="Arial Narrow" w:hAnsi="Arial Narrow" w:cs="Calibri"/>
                <w:b/>
                <w:sz w:val="20"/>
                <w:lang w:eastAsia="en-GB"/>
              </w:rPr>
            </w:pPr>
          </w:p>
        </w:tc>
        <w:tc>
          <w:tcPr>
            <w:tcW w:w="851" w:type="dxa"/>
          </w:tcPr>
          <w:p w14:paraId="3C8A955E" w14:textId="77777777" w:rsidR="001C6C1F" w:rsidRPr="006343CE" w:rsidRDefault="001C6C1F" w:rsidP="007C7765">
            <w:pPr>
              <w:spacing w:after="40" w:line="240" w:lineRule="auto"/>
              <w:ind w:left="-57" w:right="-57"/>
              <w:rPr>
                <w:rFonts w:ascii="Arial Narrow" w:hAnsi="Arial Narrow" w:cs="Calibri"/>
                <w:b/>
                <w:sz w:val="20"/>
                <w:lang w:eastAsia="en-GB"/>
              </w:rPr>
            </w:pPr>
          </w:p>
        </w:tc>
        <w:tc>
          <w:tcPr>
            <w:tcW w:w="567" w:type="dxa"/>
          </w:tcPr>
          <w:p w14:paraId="2B910766" w14:textId="77777777" w:rsidR="001C6C1F" w:rsidRPr="006343CE" w:rsidRDefault="001C6C1F" w:rsidP="007C7765">
            <w:pPr>
              <w:spacing w:after="40" w:line="240" w:lineRule="auto"/>
              <w:ind w:left="-57" w:right="-57"/>
              <w:rPr>
                <w:rFonts w:ascii="Arial Narrow" w:hAnsi="Arial Narrow" w:cs="Calibri"/>
                <w:b/>
                <w:sz w:val="20"/>
                <w:lang w:eastAsia="en-GB"/>
              </w:rPr>
            </w:pPr>
          </w:p>
        </w:tc>
        <w:tc>
          <w:tcPr>
            <w:tcW w:w="1134" w:type="dxa"/>
          </w:tcPr>
          <w:p w14:paraId="75D59C22" w14:textId="77777777" w:rsidR="001C6C1F" w:rsidRPr="006343CE" w:rsidRDefault="001C6C1F" w:rsidP="007C7765">
            <w:pPr>
              <w:spacing w:after="40" w:line="240" w:lineRule="auto"/>
              <w:ind w:left="-57" w:right="-57"/>
              <w:rPr>
                <w:rFonts w:ascii="Arial Narrow" w:hAnsi="Arial Narrow" w:cs="Calibri"/>
                <w:b/>
                <w:sz w:val="20"/>
                <w:lang w:eastAsia="en-GB"/>
              </w:rPr>
            </w:pPr>
            <w:r w:rsidRPr="006343CE">
              <w:rPr>
                <w:rFonts w:ascii="Arial Narrow" w:hAnsi="Arial Narrow" w:cs="Calibri"/>
                <w:b/>
                <w:sz w:val="20"/>
                <w:lang w:eastAsia="en-GB"/>
              </w:rPr>
              <w:t>Applicability</w:t>
            </w:r>
          </w:p>
        </w:tc>
        <w:tc>
          <w:tcPr>
            <w:tcW w:w="821" w:type="dxa"/>
          </w:tcPr>
          <w:p w14:paraId="1ED3BA84" w14:textId="77777777" w:rsidR="001C6C1F" w:rsidRPr="006343CE" w:rsidRDefault="001C6C1F" w:rsidP="007C7765">
            <w:pPr>
              <w:spacing w:after="40" w:line="240" w:lineRule="auto"/>
              <w:ind w:left="-57" w:right="-57"/>
              <w:rPr>
                <w:rFonts w:ascii="Arial Narrow" w:hAnsi="Arial Narrow" w:cs="Calibri"/>
                <w:b/>
                <w:sz w:val="20"/>
                <w:lang w:eastAsia="en-GB"/>
              </w:rPr>
            </w:pPr>
          </w:p>
        </w:tc>
      </w:tr>
      <w:tr w:rsidR="001C6C1F" w:rsidRPr="006343CE" w14:paraId="33ED3DA1" w14:textId="77777777" w:rsidTr="009B1C7A">
        <w:trPr>
          <w:trHeight w:val="295"/>
        </w:trPr>
        <w:tc>
          <w:tcPr>
            <w:tcW w:w="1560" w:type="dxa"/>
          </w:tcPr>
          <w:p w14:paraId="155028E4" w14:textId="77777777" w:rsidR="001C6C1F" w:rsidRPr="006343CE" w:rsidRDefault="001C6C1F" w:rsidP="007C7765">
            <w:pPr>
              <w:spacing w:after="40" w:line="240" w:lineRule="auto"/>
              <w:ind w:left="-57" w:right="-57"/>
              <w:rPr>
                <w:rFonts w:ascii="Arial Narrow" w:hAnsi="Arial Narrow" w:cs="Calibri"/>
                <w:b/>
                <w:color w:val="FFFFFF" w:themeColor="background1"/>
                <w:sz w:val="20"/>
                <w:lang w:eastAsia="en-GB"/>
              </w:rPr>
            </w:pPr>
            <w:r w:rsidRPr="006343CE">
              <w:rPr>
                <w:rFonts w:ascii="Arial Narrow" w:hAnsi="Arial Narrow" w:cs="Calibri"/>
                <w:b/>
                <w:color w:val="FFFFFF" w:themeColor="background1"/>
                <w:sz w:val="20"/>
                <w:lang w:eastAsia="en-GB"/>
              </w:rPr>
              <w:t>-</w:t>
            </w:r>
          </w:p>
        </w:tc>
        <w:tc>
          <w:tcPr>
            <w:tcW w:w="850" w:type="dxa"/>
          </w:tcPr>
          <w:p w14:paraId="3F3D7118"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Patient selection</w:t>
            </w:r>
          </w:p>
        </w:tc>
        <w:tc>
          <w:tcPr>
            <w:tcW w:w="567" w:type="dxa"/>
          </w:tcPr>
          <w:p w14:paraId="33287D63"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Index test</w:t>
            </w:r>
          </w:p>
        </w:tc>
        <w:tc>
          <w:tcPr>
            <w:tcW w:w="1134" w:type="dxa"/>
          </w:tcPr>
          <w:p w14:paraId="335F065F"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Comparator</w:t>
            </w:r>
          </w:p>
        </w:tc>
        <w:tc>
          <w:tcPr>
            <w:tcW w:w="851" w:type="dxa"/>
          </w:tcPr>
          <w:p w14:paraId="5F844852"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Reference standard</w:t>
            </w:r>
          </w:p>
        </w:tc>
        <w:tc>
          <w:tcPr>
            <w:tcW w:w="850" w:type="dxa"/>
          </w:tcPr>
          <w:p w14:paraId="70D75B83"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Flow and timing</w:t>
            </w:r>
          </w:p>
        </w:tc>
        <w:tc>
          <w:tcPr>
            <w:tcW w:w="851" w:type="dxa"/>
          </w:tcPr>
          <w:p w14:paraId="10DE95BF"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Patient selection</w:t>
            </w:r>
          </w:p>
        </w:tc>
        <w:tc>
          <w:tcPr>
            <w:tcW w:w="567" w:type="dxa"/>
          </w:tcPr>
          <w:p w14:paraId="46237C41"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Index test</w:t>
            </w:r>
          </w:p>
        </w:tc>
        <w:tc>
          <w:tcPr>
            <w:tcW w:w="1134" w:type="dxa"/>
          </w:tcPr>
          <w:p w14:paraId="5A62A879"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Comparator</w:t>
            </w:r>
          </w:p>
        </w:tc>
        <w:tc>
          <w:tcPr>
            <w:tcW w:w="821" w:type="dxa"/>
          </w:tcPr>
          <w:p w14:paraId="15E60227" w14:textId="77777777" w:rsidR="001C6C1F" w:rsidRPr="006343CE" w:rsidRDefault="001C6C1F" w:rsidP="007C7765">
            <w:pPr>
              <w:spacing w:after="40" w:line="240" w:lineRule="auto"/>
              <w:ind w:left="-57" w:right="-57"/>
              <w:rPr>
                <w:rFonts w:ascii="Arial Narrow" w:hAnsi="Arial Narrow" w:cs="Calibri"/>
                <w:b/>
                <w:sz w:val="18"/>
                <w:lang w:eastAsia="en-GB"/>
              </w:rPr>
            </w:pPr>
            <w:r w:rsidRPr="006343CE">
              <w:rPr>
                <w:rFonts w:ascii="Arial Narrow" w:hAnsi="Arial Narrow" w:cs="Calibri"/>
                <w:b/>
                <w:sz w:val="18"/>
                <w:lang w:eastAsia="en-GB"/>
              </w:rPr>
              <w:t>Reference standard</w:t>
            </w:r>
          </w:p>
        </w:tc>
      </w:tr>
      <w:tr w:rsidR="00611F8B" w:rsidRPr="006343CE" w14:paraId="24AD7C67" w14:textId="77777777" w:rsidTr="009B1C7A">
        <w:trPr>
          <w:trHeight w:val="138"/>
        </w:trPr>
        <w:tc>
          <w:tcPr>
            <w:tcW w:w="1560" w:type="dxa"/>
          </w:tcPr>
          <w:p w14:paraId="267027A8" w14:textId="77777777" w:rsidR="00611F8B" w:rsidRPr="006343CE" w:rsidRDefault="00611F8B" w:rsidP="00B7183E">
            <w:pPr>
              <w:pStyle w:val="Tabletext1"/>
              <w:rPr>
                <w:lang w:eastAsia="en-GB"/>
              </w:rPr>
            </w:pPr>
            <w:r>
              <w:rPr>
                <w:lang w:eastAsia="en-GB"/>
              </w:rPr>
              <w:t>Anders et al. (2008)</w:t>
            </w:r>
          </w:p>
        </w:tc>
        <w:tc>
          <w:tcPr>
            <w:tcW w:w="850" w:type="dxa"/>
          </w:tcPr>
          <w:p w14:paraId="37AE262F" w14:textId="528D1625" w:rsidR="00611F8B" w:rsidRPr="006343CE" w:rsidRDefault="0084041A" w:rsidP="00B7183E">
            <w:pPr>
              <w:pStyle w:val="Tabletext1"/>
              <w:rPr>
                <w:b/>
              </w:rPr>
            </w:pPr>
            <w:r w:rsidRPr="006343CE">
              <w:rPr>
                <w:b/>
                <w:color w:val="00B050"/>
              </w:rPr>
              <w:sym w:font="Wingdings" w:char="F04A"/>
            </w:r>
          </w:p>
        </w:tc>
        <w:tc>
          <w:tcPr>
            <w:tcW w:w="567" w:type="dxa"/>
          </w:tcPr>
          <w:p w14:paraId="2EFB9DDC" w14:textId="1C3C4926" w:rsidR="00611F8B" w:rsidRPr="006343CE" w:rsidRDefault="0084041A" w:rsidP="00B7183E">
            <w:pPr>
              <w:pStyle w:val="Tabletext1"/>
              <w:rPr>
                <w:b/>
              </w:rPr>
            </w:pPr>
            <w:r w:rsidRPr="006343CE">
              <w:rPr>
                <w:b/>
                <w:color w:val="0070C0"/>
              </w:rPr>
              <w:t>?</w:t>
            </w:r>
          </w:p>
        </w:tc>
        <w:tc>
          <w:tcPr>
            <w:tcW w:w="1134" w:type="dxa"/>
          </w:tcPr>
          <w:p w14:paraId="05E3D106" w14:textId="0C285633" w:rsidR="00611F8B" w:rsidRPr="006343CE" w:rsidRDefault="00984C50" w:rsidP="00B7183E">
            <w:pPr>
              <w:pStyle w:val="Tabletext1"/>
              <w:rPr>
                <w:b/>
              </w:rPr>
            </w:pPr>
            <w:r w:rsidRPr="006343CE">
              <w:rPr>
                <w:b/>
                <w:color w:val="0070C0"/>
              </w:rPr>
              <w:t>?</w:t>
            </w:r>
          </w:p>
        </w:tc>
        <w:tc>
          <w:tcPr>
            <w:tcW w:w="851" w:type="dxa"/>
          </w:tcPr>
          <w:p w14:paraId="0FD68D54" w14:textId="6749225E" w:rsidR="00611F8B" w:rsidRPr="006343CE" w:rsidRDefault="0084041A" w:rsidP="00B7183E">
            <w:pPr>
              <w:pStyle w:val="Tabletext1"/>
              <w:rPr>
                <w:b/>
              </w:rPr>
            </w:pPr>
            <w:r w:rsidRPr="006343CE">
              <w:rPr>
                <w:b/>
                <w:color w:val="00B050"/>
              </w:rPr>
              <w:sym w:font="Wingdings" w:char="F04A"/>
            </w:r>
          </w:p>
        </w:tc>
        <w:tc>
          <w:tcPr>
            <w:tcW w:w="850" w:type="dxa"/>
          </w:tcPr>
          <w:p w14:paraId="34F88132" w14:textId="1AE754FC" w:rsidR="00611F8B" w:rsidRPr="006343CE" w:rsidRDefault="004472F7" w:rsidP="00B7183E">
            <w:pPr>
              <w:pStyle w:val="Tabletext1"/>
              <w:rPr>
                <w:b/>
              </w:rPr>
            </w:pPr>
            <w:r w:rsidRPr="006343CE">
              <w:rPr>
                <w:b/>
                <w:color w:val="00B050"/>
              </w:rPr>
              <w:sym w:font="Wingdings" w:char="F04A"/>
            </w:r>
          </w:p>
        </w:tc>
        <w:tc>
          <w:tcPr>
            <w:tcW w:w="851" w:type="dxa"/>
          </w:tcPr>
          <w:p w14:paraId="3C811F0D" w14:textId="4E5F89B7" w:rsidR="00611F8B" w:rsidRPr="006343CE" w:rsidRDefault="004472F7" w:rsidP="00B7183E">
            <w:pPr>
              <w:pStyle w:val="Tabletext1"/>
              <w:rPr>
                <w:b/>
              </w:rPr>
            </w:pPr>
            <w:r w:rsidRPr="006343CE">
              <w:rPr>
                <w:b/>
                <w:color w:val="00B050"/>
              </w:rPr>
              <w:sym w:font="Wingdings" w:char="F04A"/>
            </w:r>
          </w:p>
        </w:tc>
        <w:tc>
          <w:tcPr>
            <w:tcW w:w="567" w:type="dxa"/>
          </w:tcPr>
          <w:p w14:paraId="4090FEEE" w14:textId="37B4043D" w:rsidR="00611F8B" w:rsidRPr="006343CE" w:rsidRDefault="004472F7" w:rsidP="00B7183E">
            <w:pPr>
              <w:pStyle w:val="Tabletext1"/>
              <w:rPr>
                <w:b/>
              </w:rPr>
            </w:pPr>
            <w:r w:rsidRPr="006343CE">
              <w:rPr>
                <w:b/>
                <w:color w:val="00B050"/>
              </w:rPr>
              <w:sym w:font="Wingdings" w:char="F04A"/>
            </w:r>
          </w:p>
        </w:tc>
        <w:tc>
          <w:tcPr>
            <w:tcW w:w="1134" w:type="dxa"/>
          </w:tcPr>
          <w:p w14:paraId="1590B5B3" w14:textId="0BB15DE3" w:rsidR="00611F8B" w:rsidRPr="006343CE" w:rsidRDefault="00FB5FF1" w:rsidP="00B7183E">
            <w:pPr>
              <w:pStyle w:val="Tabletext1"/>
              <w:rPr>
                <w:b/>
              </w:rPr>
            </w:pPr>
            <w:r w:rsidRPr="006343CE">
              <w:rPr>
                <w:lang w:eastAsia="en-GB"/>
              </w:rPr>
              <w:t>NA</w:t>
            </w:r>
          </w:p>
        </w:tc>
        <w:tc>
          <w:tcPr>
            <w:tcW w:w="821" w:type="dxa"/>
          </w:tcPr>
          <w:p w14:paraId="6B974135" w14:textId="101376F3" w:rsidR="00611F8B" w:rsidRPr="006343CE" w:rsidRDefault="004472F7" w:rsidP="00B7183E">
            <w:pPr>
              <w:pStyle w:val="Tabletext1"/>
              <w:rPr>
                <w:b/>
              </w:rPr>
            </w:pPr>
            <w:r w:rsidRPr="006343CE">
              <w:rPr>
                <w:b/>
                <w:color w:val="00B050"/>
              </w:rPr>
              <w:sym w:font="Wingdings" w:char="F04A"/>
            </w:r>
          </w:p>
        </w:tc>
      </w:tr>
      <w:tr w:rsidR="00611F8B" w:rsidRPr="006343CE" w14:paraId="6266ADCF" w14:textId="77777777" w:rsidTr="009B1C7A">
        <w:trPr>
          <w:trHeight w:val="138"/>
        </w:trPr>
        <w:tc>
          <w:tcPr>
            <w:tcW w:w="1560" w:type="dxa"/>
          </w:tcPr>
          <w:p w14:paraId="2E8A2F7F" w14:textId="77777777" w:rsidR="00611F8B" w:rsidRDefault="00611F8B" w:rsidP="00B7183E">
            <w:pPr>
              <w:pStyle w:val="Tabletext1"/>
              <w:rPr>
                <w:lang w:eastAsia="en-GB"/>
              </w:rPr>
            </w:pPr>
            <w:r>
              <w:rPr>
                <w:lang w:eastAsia="en-GB"/>
              </w:rPr>
              <w:t>Chai et al. (2014)</w:t>
            </w:r>
          </w:p>
        </w:tc>
        <w:tc>
          <w:tcPr>
            <w:tcW w:w="850" w:type="dxa"/>
          </w:tcPr>
          <w:p w14:paraId="064CD7D5" w14:textId="77777777" w:rsidR="00611F8B" w:rsidRPr="006343CE" w:rsidRDefault="00611F8B" w:rsidP="00B7183E">
            <w:pPr>
              <w:pStyle w:val="Tabletext1"/>
              <w:rPr>
                <w:b/>
                <w:lang w:eastAsia="en-GB"/>
              </w:rPr>
            </w:pPr>
            <w:r w:rsidRPr="006343CE">
              <w:rPr>
                <w:b/>
                <w:color w:val="00B050"/>
              </w:rPr>
              <w:sym w:font="Wingdings" w:char="F04A"/>
            </w:r>
          </w:p>
        </w:tc>
        <w:tc>
          <w:tcPr>
            <w:tcW w:w="567" w:type="dxa"/>
          </w:tcPr>
          <w:p w14:paraId="4D00BECD" w14:textId="77777777" w:rsidR="00611F8B" w:rsidRPr="006343CE" w:rsidRDefault="00611F8B" w:rsidP="00B7183E">
            <w:pPr>
              <w:pStyle w:val="Tabletext1"/>
              <w:rPr>
                <w:b/>
                <w:lang w:eastAsia="en-GB"/>
              </w:rPr>
            </w:pPr>
            <w:r w:rsidRPr="006343CE">
              <w:rPr>
                <w:b/>
                <w:color w:val="0070C0"/>
              </w:rPr>
              <w:t>?</w:t>
            </w:r>
          </w:p>
        </w:tc>
        <w:tc>
          <w:tcPr>
            <w:tcW w:w="1134" w:type="dxa"/>
          </w:tcPr>
          <w:p w14:paraId="30A48FB2" w14:textId="77777777" w:rsidR="00611F8B" w:rsidRPr="006343CE" w:rsidRDefault="00611F8B" w:rsidP="00B7183E">
            <w:pPr>
              <w:pStyle w:val="Tabletext1"/>
              <w:rPr>
                <w:b/>
                <w:lang w:eastAsia="en-GB"/>
              </w:rPr>
            </w:pPr>
            <w:r w:rsidRPr="006343CE">
              <w:rPr>
                <w:b/>
                <w:color w:val="0070C0"/>
              </w:rPr>
              <w:t>?</w:t>
            </w:r>
          </w:p>
        </w:tc>
        <w:tc>
          <w:tcPr>
            <w:tcW w:w="851" w:type="dxa"/>
          </w:tcPr>
          <w:p w14:paraId="3429759C" w14:textId="77777777" w:rsidR="00611F8B" w:rsidRPr="006343CE" w:rsidRDefault="00611F8B" w:rsidP="00B7183E">
            <w:pPr>
              <w:pStyle w:val="Tabletext1"/>
              <w:rPr>
                <w:b/>
                <w:lang w:eastAsia="en-GB"/>
              </w:rPr>
            </w:pPr>
            <w:r w:rsidRPr="006343CE">
              <w:rPr>
                <w:b/>
                <w:color w:val="00B050"/>
              </w:rPr>
              <w:sym w:font="Wingdings" w:char="F04A"/>
            </w:r>
          </w:p>
        </w:tc>
        <w:tc>
          <w:tcPr>
            <w:tcW w:w="850" w:type="dxa"/>
          </w:tcPr>
          <w:p w14:paraId="3591A243" w14:textId="3D0C4607" w:rsidR="00611F8B" w:rsidRPr="006343CE" w:rsidRDefault="004472F7" w:rsidP="00B7183E">
            <w:pPr>
              <w:pStyle w:val="Tabletext1"/>
              <w:rPr>
                <w:b/>
                <w:lang w:eastAsia="en-GB"/>
              </w:rPr>
            </w:pPr>
            <w:r w:rsidRPr="006343CE">
              <w:rPr>
                <w:b/>
                <w:color w:val="00B050"/>
              </w:rPr>
              <w:sym w:font="Wingdings" w:char="F04A"/>
            </w:r>
          </w:p>
        </w:tc>
        <w:tc>
          <w:tcPr>
            <w:tcW w:w="851" w:type="dxa"/>
          </w:tcPr>
          <w:p w14:paraId="2F0AADD9" w14:textId="77777777" w:rsidR="00611F8B" w:rsidRPr="006343CE" w:rsidRDefault="00611F8B" w:rsidP="00B7183E">
            <w:pPr>
              <w:pStyle w:val="Tabletext1"/>
              <w:rPr>
                <w:b/>
                <w:lang w:eastAsia="en-GB"/>
              </w:rPr>
            </w:pPr>
            <w:r w:rsidRPr="006343CE">
              <w:rPr>
                <w:b/>
                <w:color w:val="00B050"/>
              </w:rPr>
              <w:sym w:font="Wingdings" w:char="F04A"/>
            </w:r>
          </w:p>
        </w:tc>
        <w:tc>
          <w:tcPr>
            <w:tcW w:w="567" w:type="dxa"/>
          </w:tcPr>
          <w:p w14:paraId="47BC1893" w14:textId="77777777" w:rsidR="00611F8B" w:rsidRPr="006343CE" w:rsidRDefault="00611F8B" w:rsidP="00B7183E">
            <w:pPr>
              <w:pStyle w:val="Tabletext1"/>
              <w:rPr>
                <w:b/>
                <w:lang w:eastAsia="en-GB"/>
              </w:rPr>
            </w:pPr>
            <w:r w:rsidRPr="006343CE">
              <w:rPr>
                <w:b/>
                <w:color w:val="00B050"/>
              </w:rPr>
              <w:sym w:font="Wingdings" w:char="F04A"/>
            </w:r>
          </w:p>
        </w:tc>
        <w:tc>
          <w:tcPr>
            <w:tcW w:w="1134" w:type="dxa"/>
          </w:tcPr>
          <w:p w14:paraId="1607A8D4" w14:textId="0B720ABB" w:rsidR="00611F8B" w:rsidRPr="006343CE" w:rsidRDefault="00FB5FF1" w:rsidP="00B7183E">
            <w:pPr>
              <w:pStyle w:val="Tabletext1"/>
              <w:rPr>
                <w:b/>
                <w:lang w:eastAsia="en-GB"/>
              </w:rPr>
            </w:pPr>
            <w:r w:rsidRPr="006343CE">
              <w:rPr>
                <w:lang w:eastAsia="en-GB"/>
              </w:rPr>
              <w:t>NA</w:t>
            </w:r>
          </w:p>
        </w:tc>
        <w:tc>
          <w:tcPr>
            <w:tcW w:w="821" w:type="dxa"/>
          </w:tcPr>
          <w:p w14:paraId="3EE4964C" w14:textId="77777777" w:rsidR="00611F8B" w:rsidRPr="006343CE" w:rsidRDefault="00611F8B" w:rsidP="00B7183E">
            <w:pPr>
              <w:pStyle w:val="Tabletext1"/>
              <w:rPr>
                <w:b/>
                <w:lang w:eastAsia="en-GB"/>
              </w:rPr>
            </w:pPr>
            <w:r w:rsidRPr="006343CE">
              <w:rPr>
                <w:b/>
                <w:color w:val="00B050"/>
              </w:rPr>
              <w:sym w:font="Wingdings" w:char="F04A"/>
            </w:r>
          </w:p>
        </w:tc>
      </w:tr>
      <w:tr w:rsidR="003D186E" w:rsidRPr="006343CE" w14:paraId="0EF6F44F" w14:textId="77777777" w:rsidTr="009B1C7A">
        <w:trPr>
          <w:trHeight w:val="138"/>
        </w:trPr>
        <w:tc>
          <w:tcPr>
            <w:tcW w:w="1560" w:type="dxa"/>
          </w:tcPr>
          <w:p w14:paraId="1826D3FD" w14:textId="77777777" w:rsidR="003D186E" w:rsidRPr="006343CE" w:rsidRDefault="003D186E" w:rsidP="00B7183E">
            <w:pPr>
              <w:pStyle w:val="Tabletext1"/>
              <w:rPr>
                <w:lang w:eastAsia="en-GB"/>
              </w:rPr>
            </w:pPr>
            <w:r>
              <w:rPr>
                <w:lang w:eastAsia="en-GB"/>
              </w:rPr>
              <w:t>D’avila et al. (2015)</w:t>
            </w:r>
          </w:p>
        </w:tc>
        <w:tc>
          <w:tcPr>
            <w:tcW w:w="850" w:type="dxa"/>
          </w:tcPr>
          <w:p w14:paraId="249F5911" w14:textId="44338BF5" w:rsidR="003D186E" w:rsidRPr="006343CE" w:rsidRDefault="003D186E" w:rsidP="00B7183E">
            <w:pPr>
              <w:pStyle w:val="Tabletext1"/>
              <w:rPr>
                <w:b/>
                <w:lang w:eastAsia="en-GB"/>
              </w:rPr>
            </w:pPr>
            <w:r w:rsidRPr="006343CE">
              <w:rPr>
                <w:b/>
                <w:color w:val="00B050"/>
              </w:rPr>
              <w:sym w:font="Wingdings" w:char="F04A"/>
            </w:r>
          </w:p>
        </w:tc>
        <w:tc>
          <w:tcPr>
            <w:tcW w:w="567" w:type="dxa"/>
          </w:tcPr>
          <w:p w14:paraId="1028B7F2" w14:textId="75069174" w:rsidR="003D186E" w:rsidRPr="006343CE" w:rsidRDefault="003D186E" w:rsidP="00B7183E">
            <w:pPr>
              <w:pStyle w:val="Tabletext1"/>
              <w:rPr>
                <w:b/>
                <w:lang w:eastAsia="en-GB"/>
              </w:rPr>
            </w:pPr>
            <w:r w:rsidRPr="006343CE">
              <w:rPr>
                <w:b/>
                <w:color w:val="0070C0"/>
              </w:rPr>
              <w:t>?</w:t>
            </w:r>
          </w:p>
        </w:tc>
        <w:tc>
          <w:tcPr>
            <w:tcW w:w="1134" w:type="dxa"/>
          </w:tcPr>
          <w:p w14:paraId="05257F6E" w14:textId="162357ED" w:rsidR="003D186E" w:rsidRPr="006343CE" w:rsidRDefault="003D186E" w:rsidP="00B7183E">
            <w:pPr>
              <w:pStyle w:val="Tabletext1"/>
              <w:rPr>
                <w:b/>
                <w:lang w:eastAsia="en-GB"/>
              </w:rPr>
            </w:pPr>
            <w:r w:rsidRPr="006343CE">
              <w:rPr>
                <w:b/>
                <w:color w:val="0070C0"/>
              </w:rPr>
              <w:t>?</w:t>
            </w:r>
          </w:p>
        </w:tc>
        <w:tc>
          <w:tcPr>
            <w:tcW w:w="851" w:type="dxa"/>
          </w:tcPr>
          <w:p w14:paraId="0A966180" w14:textId="21522F07" w:rsidR="003D186E" w:rsidRPr="006343CE" w:rsidRDefault="003D186E" w:rsidP="00B7183E">
            <w:pPr>
              <w:pStyle w:val="Tabletext1"/>
              <w:rPr>
                <w:b/>
                <w:lang w:eastAsia="en-GB"/>
              </w:rPr>
            </w:pPr>
            <w:r w:rsidRPr="006343CE">
              <w:rPr>
                <w:b/>
                <w:color w:val="00B050"/>
              </w:rPr>
              <w:sym w:font="Wingdings" w:char="F04A"/>
            </w:r>
          </w:p>
        </w:tc>
        <w:tc>
          <w:tcPr>
            <w:tcW w:w="850" w:type="dxa"/>
          </w:tcPr>
          <w:p w14:paraId="46272A5D" w14:textId="0CF5B0BD" w:rsidR="003D186E" w:rsidRPr="006343CE" w:rsidRDefault="003D186E" w:rsidP="00B7183E">
            <w:pPr>
              <w:pStyle w:val="Tabletext1"/>
              <w:rPr>
                <w:b/>
                <w:lang w:eastAsia="en-GB"/>
              </w:rPr>
            </w:pPr>
            <w:r w:rsidRPr="006343CE">
              <w:rPr>
                <w:b/>
                <w:color w:val="00B050"/>
              </w:rPr>
              <w:sym w:font="Wingdings" w:char="F04A"/>
            </w:r>
          </w:p>
        </w:tc>
        <w:tc>
          <w:tcPr>
            <w:tcW w:w="851" w:type="dxa"/>
          </w:tcPr>
          <w:p w14:paraId="67911AD5" w14:textId="4889F370" w:rsidR="003D186E" w:rsidRPr="006343CE" w:rsidRDefault="003D186E" w:rsidP="00B7183E">
            <w:pPr>
              <w:pStyle w:val="Tabletext1"/>
              <w:rPr>
                <w:b/>
                <w:lang w:eastAsia="en-GB"/>
              </w:rPr>
            </w:pPr>
            <w:r w:rsidRPr="006343CE">
              <w:rPr>
                <w:b/>
                <w:color w:val="00B050"/>
              </w:rPr>
              <w:sym w:font="Wingdings" w:char="F04A"/>
            </w:r>
          </w:p>
        </w:tc>
        <w:tc>
          <w:tcPr>
            <w:tcW w:w="567" w:type="dxa"/>
          </w:tcPr>
          <w:p w14:paraId="44BF508B" w14:textId="6F4CF30A" w:rsidR="003D186E" w:rsidRPr="006343CE" w:rsidRDefault="003D186E" w:rsidP="00B7183E">
            <w:pPr>
              <w:pStyle w:val="Tabletext1"/>
              <w:rPr>
                <w:b/>
                <w:lang w:eastAsia="en-GB"/>
              </w:rPr>
            </w:pPr>
            <w:r w:rsidRPr="006343CE">
              <w:rPr>
                <w:b/>
                <w:color w:val="00B050"/>
              </w:rPr>
              <w:sym w:font="Wingdings" w:char="F04A"/>
            </w:r>
          </w:p>
        </w:tc>
        <w:tc>
          <w:tcPr>
            <w:tcW w:w="1134" w:type="dxa"/>
          </w:tcPr>
          <w:p w14:paraId="7A81C54D" w14:textId="2E6B7E2B" w:rsidR="003D186E" w:rsidRPr="006343CE" w:rsidRDefault="003D186E" w:rsidP="00B7183E">
            <w:pPr>
              <w:pStyle w:val="Tabletext1"/>
              <w:rPr>
                <w:b/>
                <w:lang w:eastAsia="en-GB"/>
              </w:rPr>
            </w:pPr>
            <w:r w:rsidRPr="006343CE">
              <w:rPr>
                <w:lang w:eastAsia="en-GB"/>
              </w:rPr>
              <w:t>NA</w:t>
            </w:r>
          </w:p>
        </w:tc>
        <w:tc>
          <w:tcPr>
            <w:tcW w:w="821" w:type="dxa"/>
          </w:tcPr>
          <w:p w14:paraId="5F7B0EE3" w14:textId="15481B10" w:rsidR="003D186E" w:rsidRPr="006343CE" w:rsidRDefault="003D186E" w:rsidP="00B7183E">
            <w:pPr>
              <w:pStyle w:val="Tabletext1"/>
              <w:rPr>
                <w:b/>
                <w:lang w:eastAsia="en-GB"/>
              </w:rPr>
            </w:pPr>
            <w:r w:rsidRPr="006343CE">
              <w:rPr>
                <w:b/>
                <w:color w:val="00B050"/>
              </w:rPr>
              <w:sym w:font="Wingdings" w:char="F04A"/>
            </w:r>
          </w:p>
        </w:tc>
      </w:tr>
      <w:tr w:rsidR="003D186E" w:rsidRPr="006343CE" w14:paraId="06E5E3FF" w14:textId="77777777" w:rsidTr="009B1C7A">
        <w:trPr>
          <w:trHeight w:val="138"/>
        </w:trPr>
        <w:tc>
          <w:tcPr>
            <w:tcW w:w="1560" w:type="dxa"/>
          </w:tcPr>
          <w:p w14:paraId="33072602" w14:textId="77777777" w:rsidR="003D186E" w:rsidRDefault="003D186E" w:rsidP="00B7183E">
            <w:pPr>
              <w:pStyle w:val="Tabletext1"/>
              <w:rPr>
                <w:lang w:eastAsia="en-GB"/>
              </w:rPr>
            </w:pPr>
            <w:r>
              <w:rPr>
                <w:lang w:eastAsia="en-GB"/>
              </w:rPr>
              <w:t>Decanter et al. (2014)</w:t>
            </w:r>
          </w:p>
        </w:tc>
        <w:tc>
          <w:tcPr>
            <w:tcW w:w="850" w:type="dxa"/>
          </w:tcPr>
          <w:p w14:paraId="3449F41E" w14:textId="77777777" w:rsidR="003D186E" w:rsidRPr="006343CE" w:rsidRDefault="003D186E" w:rsidP="00B7183E">
            <w:pPr>
              <w:pStyle w:val="Tabletext1"/>
              <w:rPr>
                <w:b/>
                <w:lang w:eastAsia="en-GB"/>
              </w:rPr>
            </w:pPr>
            <w:r w:rsidRPr="006343CE">
              <w:rPr>
                <w:b/>
                <w:color w:val="00B050"/>
              </w:rPr>
              <w:sym w:font="Wingdings" w:char="F04A"/>
            </w:r>
          </w:p>
        </w:tc>
        <w:tc>
          <w:tcPr>
            <w:tcW w:w="567" w:type="dxa"/>
          </w:tcPr>
          <w:p w14:paraId="1426F120" w14:textId="77777777" w:rsidR="003D186E" w:rsidRPr="006343CE" w:rsidRDefault="003D186E" w:rsidP="00B7183E">
            <w:pPr>
              <w:pStyle w:val="Tabletext1"/>
              <w:rPr>
                <w:b/>
                <w:lang w:eastAsia="en-GB"/>
              </w:rPr>
            </w:pPr>
            <w:r w:rsidRPr="006343CE">
              <w:rPr>
                <w:b/>
                <w:color w:val="0070C0"/>
              </w:rPr>
              <w:t>?</w:t>
            </w:r>
          </w:p>
        </w:tc>
        <w:tc>
          <w:tcPr>
            <w:tcW w:w="1134" w:type="dxa"/>
          </w:tcPr>
          <w:p w14:paraId="34FD2461" w14:textId="77777777" w:rsidR="003D186E" w:rsidRPr="006343CE" w:rsidRDefault="003D186E" w:rsidP="00B7183E">
            <w:pPr>
              <w:pStyle w:val="Tabletext1"/>
              <w:rPr>
                <w:b/>
                <w:lang w:eastAsia="en-GB"/>
              </w:rPr>
            </w:pPr>
            <w:r w:rsidRPr="006343CE">
              <w:rPr>
                <w:b/>
                <w:color w:val="0070C0"/>
              </w:rPr>
              <w:t>?</w:t>
            </w:r>
          </w:p>
        </w:tc>
        <w:tc>
          <w:tcPr>
            <w:tcW w:w="851" w:type="dxa"/>
          </w:tcPr>
          <w:p w14:paraId="6E696937" w14:textId="77777777" w:rsidR="003D186E" w:rsidRPr="006343CE" w:rsidRDefault="003D186E" w:rsidP="00B7183E">
            <w:pPr>
              <w:pStyle w:val="Tabletext1"/>
              <w:rPr>
                <w:b/>
                <w:lang w:eastAsia="en-GB"/>
              </w:rPr>
            </w:pPr>
            <w:r w:rsidRPr="006343CE">
              <w:rPr>
                <w:b/>
                <w:color w:val="00B050"/>
              </w:rPr>
              <w:sym w:font="Wingdings" w:char="F04A"/>
            </w:r>
          </w:p>
        </w:tc>
        <w:tc>
          <w:tcPr>
            <w:tcW w:w="850" w:type="dxa"/>
          </w:tcPr>
          <w:p w14:paraId="5CF643DC" w14:textId="77777777" w:rsidR="003D186E" w:rsidRPr="006343CE" w:rsidRDefault="003D186E" w:rsidP="00B7183E">
            <w:pPr>
              <w:pStyle w:val="Tabletext1"/>
              <w:rPr>
                <w:b/>
                <w:lang w:eastAsia="en-GB"/>
              </w:rPr>
            </w:pPr>
            <w:r w:rsidRPr="006343CE">
              <w:rPr>
                <w:b/>
                <w:color w:val="00B050"/>
              </w:rPr>
              <w:sym w:font="Wingdings" w:char="F04A"/>
            </w:r>
          </w:p>
        </w:tc>
        <w:tc>
          <w:tcPr>
            <w:tcW w:w="851" w:type="dxa"/>
          </w:tcPr>
          <w:p w14:paraId="6E9649E0" w14:textId="77777777" w:rsidR="003D186E" w:rsidRPr="006343CE" w:rsidRDefault="003D186E" w:rsidP="00B7183E">
            <w:pPr>
              <w:pStyle w:val="Tabletext1"/>
              <w:rPr>
                <w:b/>
                <w:lang w:eastAsia="en-GB"/>
              </w:rPr>
            </w:pPr>
            <w:r w:rsidRPr="006343CE">
              <w:rPr>
                <w:b/>
                <w:color w:val="00B050"/>
              </w:rPr>
              <w:sym w:font="Wingdings" w:char="F04A"/>
            </w:r>
          </w:p>
        </w:tc>
        <w:tc>
          <w:tcPr>
            <w:tcW w:w="567" w:type="dxa"/>
          </w:tcPr>
          <w:p w14:paraId="169D195A" w14:textId="77777777" w:rsidR="003D186E" w:rsidRPr="006343CE" w:rsidRDefault="003D186E" w:rsidP="00B7183E">
            <w:pPr>
              <w:pStyle w:val="Tabletext1"/>
              <w:rPr>
                <w:b/>
                <w:lang w:eastAsia="en-GB"/>
              </w:rPr>
            </w:pPr>
            <w:r w:rsidRPr="006343CE">
              <w:rPr>
                <w:b/>
                <w:color w:val="00B050"/>
              </w:rPr>
              <w:sym w:font="Wingdings" w:char="F04A"/>
            </w:r>
          </w:p>
        </w:tc>
        <w:tc>
          <w:tcPr>
            <w:tcW w:w="1134" w:type="dxa"/>
          </w:tcPr>
          <w:p w14:paraId="23E258A8" w14:textId="2669926A" w:rsidR="003D186E" w:rsidRPr="006343CE" w:rsidRDefault="003D186E" w:rsidP="00B7183E">
            <w:pPr>
              <w:pStyle w:val="Tabletext1"/>
              <w:rPr>
                <w:b/>
                <w:lang w:eastAsia="en-GB"/>
              </w:rPr>
            </w:pPr>
            <w:r w:rsidRPr="006343CE">
              <w:rPr>
                <w:lang w:eastAsia="en-GB"/>
              </w:rPr>
              <w:t>NA</w:t>
            </w:r>
          </w:p>
        </w:tc>
        <w:tc>
          <w:tcPr>
            <w:tcW w:w="821" w:type="dxa"/>
          </w:tcPr>
          <w:p w14:paraId="3D6FD908" w14:textId="77777777" w:rsidR="003D186E" w:rsidRPr="006343CE" w:rsidRDefault="003D186E" w:rsidP="00B7183E">
            <w:pPr>
              <w:pStyle w:val="Tabletext1"/>
              <w:rPr>
                <w:b/>
                <w:lang w:eastAsia="en-GB"/>
              </w:rPr>
            </w:pPr>
            <w:r w:rsidRPr="006343CE">
              <w:rPr>
                <w:b/>
                <w:color w:val="00B050"/>
              </w:rPr>
              <w:sym w:font="Wingdings" w:char="F04A"/>
            </w:r>
          </w:p>
        </w:tc>
      </w:tr>
      <w:tr w:rsidR="003D186E" w:rsidRPr="006343CE" w14:paraId="1E3378A2" w14:textId="77777777" w:rsidTr="009B1C7A">
        <w:trPr>
          <w:trHeight w:val="138"/>
        </w:trPr>
        <w:tc>
          <w:tcPr>
            <w:tcW w:w="1560" w:type="dxa"/>
          </w:tcPr>
          <w:p w14:paraId="3C686A2E" w14:textId="77777777" w:rsidR="003D186E" w:rsidRDefault="003D186E" w:rsidP="00B7183E">
            <w:pPr>
              <w:pStyle w:val="Tabletext1"/>
              <w:rPr>
                <w:lang w:eastAsia="en-GB"/>
              </w:rPr>
            </w:pPr>
            <w:r>
              <w:rPr>
                <w:lang w:eastAsia="en-GB"/>
              </w:rPr>
              <w:t>Henry et al. (2014)</w:t>
            </w:r>
          </w:p>
        </w:tc>
        <w:tc>
          <w:tcPr>
            <w:tcW w:w="850" w:type="dxa"/>
          </w:tcPr>
          <w:p w14:paraId="0CBE3790" w14:textId="6F4D2EE4" w:rsidR="003D186E" w:rsidRPr="006343CE" w:rsidRDefault="003D186E" w:rsidP="00B7183E">
            <w:pPr>
              <w:pStyle w:val="Tabletext1"/>
              <w:rPr>
                <w:b/>
                <w:lang w:eastAsia="en-GB"/>
              </w:rPr>
            </w:pPr>
            <w:r w:rsidRPr="006343CE">
              <w:rPr>
                <w:b/>
                <w:color w:val="00B050"/>
              </w:rPr>
              <w:sym w:font="Wingdings" w:char="F04A"/>
            </w:r>
          </w:p>
        </w:tc>
        <w:tc>
          <w:tcPr>
            <w:tcW w:w="567" w:type="dxa"/>
          </w:tcPr>
          <w:p w14:paraId="78664269" w14:textId="7F0CCED2" w:rsidR="003D186E" w:rsidRPr="006343CE" w:rsidRDefault="003D186E" w:rsidP="00B7183E">
            <w:pPr>
              <w:pStyle w:val="Tabletext1"/>
              <w:rPr>
                <w:b/>
                <w:lang w:eastAsia="en-GB"/>
              </w:rPr>
            </w:pPr>
            <w:r w:rsidRPr="006343CE">
              <w:rPr>
                <w:b/>
                <w:color w:val="0070C0"/>
              </w:rPr>
              <w:t>?</w:t>
            </w:r>
          </w:p>
        </w:tc>
        <w:tc>
          <w:tcPr>
            <w:tcW w:w="1134" w:type="dxa"/>
          </w:tcPr>
          <w:p w14:paraId="060EB1B5" w14:textId="29674102" w:rsidR="003D186E" w:rsidRPr="006343CE" w:rsidRDefault="003D186E" w:rsidP="00B7183E">
            <w:pPr>
              <w:pStyle w:val="Tabletext1"/>
              <w:rPr>
                <w:b/>
                <w:lang w:eastAsia="en-GB"/>
              </w:rPr>
            </w:pPr>
            <w:r w:rsidRPr="006343CE">
              <w:rPr>
                <w:b/>
                <w:color w:val="0070C0"/>
              </w:rPr>
              <w:t>?</w:t>
            </w:r>
          </w:p>
        </w:tc>
        <w:tc>
          <w:tcPr>
            <w:tcW w:w="851" w:type="dxa"/>
          </w:tcPr>
          <w:p w14:paraId="7CC40E18" w14:textId="7935A0CC" w:rsidR="003D186E" w:rsidRPr="006343CE" w:rsidRDefault="003D186E" w:rsidP="00B7183E">
            <w:pPr>
              <w:pStyle w:val="Tabletext1"/>
              <w:rPr>
                <w:b/>
                <w:lang w:eastAsia="en-GB"/>
              </w:rPr>
            </w:pPr>
            <w:r w:rsidRPr="006343CE">
              <w:rPr>
                <w:b/>
                <w:color w:val="00B050"/>
              </w:rPr>
              <w:sym w:font="Wingdings" w:char="F04A"/>
            </w:r>
          </w:p>
        </w:tc>
        <w:tc>
          <w:tcPr>
            <w:tcW w:w="850" w:type="dxa"/>
          </w:tcPr>
          <w:p w14:paraId="085DA868" w14:textId="19669F5C" w:rsidR="003D186E" w:rsidRPr="006343CE" w:rsidRDefault="003D186E" w:rsidP="00B7183E">
            <w:pPr>
              <w:pStyle w:val="Tabletext1"/>
              <w:rPr>
                <w:b/>
                <w:lang w:eastAsia="en-GB"/>
              </w:rPr>
            </w:pPr>
            <w:r w:rsidRPr="006343CE">
              <w:rPr>
                <w:b/>
                <w:color w:val="00B050"/>
              </w:rPr>
              <w:sym w:font="Wingdings" w:char="F04A"/>
            </w:r>
          </w:p>
        </w:tc>
        <w:tc>
          <w:tcPr>
            <w:tcW w:w="851" w:type="dxa"/>
          </w:tcPr>
          <w:p w14:paraId="0C1250A9" w14:textId="10FC399B" w:rsidR="003D186E" w:rsidRPr="006343CE" w:rsidRDefault="003D186E" w:rsidP="00B7183E">
            <w:pPr>
              <w:pStyle w:val="Tabletext1"/>
              <w:rPr>
                <w:b/>
                <w:lang w:eastAsia="en-GB"/>
              </w:rPr>
            </w:pPr>
            <w:r w:rsidRPr="006343CE">
              <w:rPr>
                <w:b/>
                <w:color w:val="00B050"/>
              </w:rPr>
              <w:sym w:font="Wingdings" w:char="F04A"/>
            </w:r>
          </w:p>
        </w:tc>
        <w:tc>
          <w:tcPr>
            <w:tcW w:w="567" w:type="dxa"/>
          </w:tcPr>
          <w:p w14:paraId="35AD23AF" w14:textId="373AB717" w:rsidR="003D186E" w:rsidRPr="006343CE" w:rsidRDefault="003D186E" w:rsidP="00B7183E">
            <w:pPr>
              <w:pStyle w:val="Tabletext1"/>
              <w:rPr>
                <w:b/>
                <w:lang w:eastAsia="en-GB"/>
              </w:rPr>
            </w:pPr>
            <w:r w:rsidRPr="006343CE">
              <w:rPr>
                <w:b/>
                <w:color w:val="00B050"/>
              </w:rPr>
              <w:sym w:font="Wingdings" w:char="F04A"/>
            </w:r>
          </w:p>
        </w:tc>
        <w:tc>
          <w:tcPr>
            <w:tcW w:w="1134" w:type="dxa"/>
          </w:tcPr>
          <w:p w14:paraId="4E3EC491" w14:textId="1A8DDA10" w:rsidR="003D186E" w:rsidRPr="006343CE" w:rsidRDefault="003D186E" w:rsidP="00B7183E">
            <w:pPr>
              <w:pStyle w:val="Tabletext1"/>
              <w:rPr>
                <w:b/>
                <w:lang w:eastAsia="en-GB"/>
              </w:rPr>
            </w:pPr>
            <w:r w:rsidRPr="006343CE">
              <w:rPr>
                <w:lang w:eastAsia="en-GB"/>
              </w:rPr>
              <w:t>NA</w:t>
            </w:r>
          </w:p>
        </w:tc>
        <w:tc>
          <w:tcPr>
            <w:tcW w:w="821" w:type="dxa"/>
          </w:tcPr>
          <w:p w14:paraId="5907E044" w14:textId="4EF3587A" w:rsidR="003D186E" w:rsidRPr="006343CE" w:rsidRDefault="003D186E" w:rsidP="00B7183E">
            <w:pPr>
              <w:pStyle w:val="Tabletext1"/>
              <w:rPr>
                <w:b/>
                <w:lang w:eastAsia="en-GB"/>
              </w:rPr>
            </w:pPr>
            <w:r w:rsidRPr="006343CE">
              <w:rPr>
                <w:b/>
                <w:color w:val="00B050"/>
              </w:rPr>
              <w:sym w:font="Wingdings" w:char="F04A"/>
            </w:r>
          </w:p>
        </w:tc>
      </w:tr>
      <w:tr w:rsidR="003D186E" w:rsidRPr="006343CE" w14:paraId="37F5CF24" w14:textId="77777777" w:rsidTr="009B1C7A">
        <w:trPr>
          <w:trHeight w:val="138"/>
        </w:trPr>
        <w:tc>
          <w:tcPr>
            <w:tcW w:w="1560" w:type="dxa"/>
          </w:tcPr>
          <w:p w14:paraId="37A78FDB" w14:textId="77777777" w:rsidR="003D186E" w:rsidRPr="006343CE" w:rsidDel="003D350F" w:rsidRDefault="003D186E" w:rsidP="00B7183E">
            <w:pPr>
              <w:pStyle w:val="Tabletext1"/>
              <w:rPr>
                <w:lang w:eastAsia="en-GB"/>
              </w:rPr>
            </w:pPr>
            <w:r>
              <w:rPr>
                <w:lang w:eastAsia="en-GB"/>
              </w:rPr>
              <w:t xml:space="preserve">Jantke </w:t>
            </w:r>
            <w:r>
              <w:t>et al. (2012)</w:t>
            </w:r>
          </w:p>
        </w:tc>
        <w:tc>
          <w:tcPr>
            <w:tcW w:w="850" w:type="dxa"/>
          </w:tcPr>
          <w:p w14:paraId="32469675" w14:textId="77777777" w:rsidR="003D186E" w:rsidRPr="006343CE" w:rsidDel="003D350F" w:rsidRDefault="003D186E" w:rsidP="00B7183E">
            <w:pPr>
              <w:pStyle w:val="Tabletext1"/>
              <w:rPr>
                <w:b/>
                <w:color w:val="00B050"/>
              </w:rPr>
            </w:pPr>
            <w:r w:rsidRPr="006343CE">
              <w:rPr>
                <w:b/>
                <w:color w:val="FF0000"/>
              </w:rPr>
              <w:sym w:font="Wingdings" w:char="F04C"/>
            </w:r>
          </w:p>
        </w:tc>
        <w:tc>
          <w:tcPr>
            <w:tcW w:w="567" w:type="dxa"/>
          </w:tcPr>
          <w:p w14:paraId="5906CE6F" w14:textId="77777777" w:rsidR="003D186E" w:rsidRPr="006343CE" w:rsidDel="003D350F" w:rsidRDefault="003D186E" w:rsidP="00B7183E">
            <w:pPr>
              <w:pStyle w:val="Tabletext1"/>
              <w:rPr>
                <w:b/>
                <w:color w:val="0070C0"/>
              </w:rPr>
            </w:pPr>
            <w:r w:rsidRPr="006343CE">
              <w:rPr>
                <w:b/>
                <w:color w:val="0070C0"/>
              </w:rPr>
              <w:t>?</w:t>
            </w:r>
          </w:p>
        </w:tc>
        <w:tc>
          <w:tcPr>
            <w:tcW w:w="1134" w:type="dxa"/>
          </w:tcPr>
          <w:p w14:paraId="752A608C" w14:textId="77777777" w:rsidR="003D186E" w:rsidRPr="006343CE" w:rsidDel="003D350F" w:rsidRDefault="003D186E" w:rsidP="00B7183E">
            <w:pPr>
              <w:pStyle w:val="Tabletext1"/>
              <w:rPr>
                <w:b/>
                <w:color w:val="0070C0"/>
              </w:rPr>
            </w:pPr>
            <w:r w:rsidRPr="006343CE">
              <w:rPr>
                <w:lang w:eastAsia="en-GB"/>
              </w:rPr>
              <w:t>NA</w:t>
            </w:r>
          </w:p>
        </w:tc>
        <w:tc>
          <w:tcPr>
            <w:tcW w:w="851" w:type="dxa"/>
          </w:tcPr>
          <w:p w14:paraId="75C6CE19" w14:textId="77777777" w:rsidR="003D186E" w:rsidRPr="006343CE" w:rsidDel="003D350F" w:rsidRDefault="003D186E" w:rsidP="00B7183E">
            <w:pPr>
              <w:pStyle w:val="Tabletext1"/>
              <w:rPr>
                <w:b/>
                <w:color w:val="00B050"/>
              </w:rPr>
            </w:pPr>
            <w:r w:rsidRPr="006343CE">
              <w:rPr>
                <w:b/>
                <w:color w:val="0070C0"/>
              </w:rPr>
              <w:t>?</w:t>
            </w:r>
          </w:p>
        </w:tc>
        <w:tc>
          <w:tcPr>
            <w:tcW w:w="850" w:type="dxa"/>
          </w:tcPr>
          <w:p w14:paraId="66DD7D01" w14:textId="77777777" w:rsidR="003D186E" w:rsidRPr="006343CE" w:rsidDel="003D350F" w:rsidRDefault="003D186E" w:rsidP="00B7183E">
            <w:pPr>
              <w:pStyle w:val="Tabletext1"/>
              <w:rPr>
                <w:b/>
                <w:color w:val="00B050"/>
              </w:rPr>
            </w:pPr>
            <w:r w:rsidRPr="006343CE">
              <w:rPr>
                <w:b/>
                <w:color w:val="FF0000"/>
              </w:rPr>
              <w:sym w:font="Wingdings" w:char="F04C"/>
            </w:r>
          </w:p>
        </w:tc>
        <w:tc>
          <w:tcPr>
            <w:tcW w:w="851" w:type="dxa"/>
          </w:tcPr>
          <w:p w14:paraId="5A118D2B" w14:textId="77777777" w:rsidR="003D186E" w:rsidRPr="006343CE" w:rsidDel="003D350F" w:rsidRDefault="003D186E" w:rsidP="00B7183E">
            <w:pPr>
              <w:pStyle w:val="Tabletext1"/>
              <w:rPr>
                <w:b/>
                <w:color w:val="00B050"/>
              </w:rPr>
            </w:pPr>
            <w:r w:rsidRPr="006343CE">
              <w:rPr>
                <w:b/>
                <w:color w:val="00B050"/>
              </w:rPr>
              <w:sym w:font="Wingdings" w:char="F04A"/>
            </w:r>
          </w:p>
        </w:tc>
        <w:tc>
          <w:tcPr>
            <w:tcW w:w="567" w:type="dxa"/>
          </w:tcPr>
          <w:p w14:paraId="6E61837C" w14:textId="77777777" w:rsidR="003D186E" w:rsidRPr="006343CE" w:rsidDel="003D350F" w:rsidRDefault="003D186E" w:rsidP="00B7183E">
            <w:pPr>
              <w:pStyle w:val="Tabletext1"/>
              <w:rPr>
                <w:b/>
                <w:color w:val="00B050"/>
              </w:rPr>
            </w:pPr>
            <w:r w:rsidRPr="006343CE">
              <w:rPr>
                <w:b/>
                <w:color w:val="00B050"/>
              </w:rPr>
              <w:sym w:font="Wingdings" w:char="F04A"/>
            </w:r>
          </w:p>
        </w:tc>
        <w:tc>
          <w:tcPr>
            <w:tcW w:w="1134" w:type="dxa"/>
          </w:tcPr>
          <w:p w14:paraId="2DFE1639" w14:textId="77777777" w:rsidR="003D186E" w:rsidRPr="006343CE" w:rsidDel="003D350F" w:rsidRDefault="003D186E" w:rsidP="00B7183E">
            <w:pPr>
              <w:pStyle w:val="Tabletext1"/>
              <w:rPr>
                <w:b/>
                <w:color w:val="00B050"/>
              </w:rPr>
            </w:pPr>
            <w:r w:rsidRPr="006343CE">
              <w:rPr>
                <w:lang w:eastAsia="en-GB"/>
              </w:rPr>
              <w:t>NA</w:t>
            </w:r>
          </w:p>
        </w:tc>
        <w:tc>
          <w:tcPr>
            <w:tcW w:w="821" w:type="dxa"/>
          </w:tcPr>
          <w:p w14:paraId="07A74B06" w14:textId="77777777" w:rsidR="003D186E" w:rsidRPr="006343CE" w:rsidDel="003D350F" w:rsidRDefault="003D186E" w:rsidP="00B7183E">
            <w:pPr>
              <w:pStyle w:val="Tabletext1"/>
              <w:rPr>
                <w:b/>
                <w:color w:val="FF0000"/>
              </w:rPr>
            </w:pPr>
            <w:r w:rsidRPr="006343CE">
              <w:rPr>
                <w:b/>
                <w:color w:val="00B050"/>
              </w:rPr>
              <w:sym w:font="Wingdings" w:char="F04A"/>
            </w:r>
          </w:p>
        </w:tc>
      </w:tr>
      <w:tr w:rsidR="003D186E" w:rsidRPr="006343CE" w14:paraId="763B7CDB" w14:textId="77777777" w:rsidTr="009B1C7A">
        <w:trPr>
          <w:trHeight w:val="138"/>
        </w:trPr>
        <w:tc>
          <w:tcPr>
            <w:tcW w:w="1560" w:type="dxa"/>
          </w:tcPr>
          <w:p w14:paraId="6C186720" w14:textId="77777777" w:rsidR="003D186E" w:rsidRDefault="003D186E" w:rsidP="00B7183E">
            <w:pPr>
              <w:pStyle w:val="Tabletext1"/>
              <w:rPr>
                <w:lang w:eastAsia="en-GB"/>
              </w:rPr>
            </w:pPr>
            <w:r>
              <w:rPr>
                <w:lang w:eastAsia="en-GB"/>
              </w:rPr>
              <w:t>Su et al. (2011)</w:t>
            </w:r>
          </w:p>
        </w:tc>
        <w:tc>
          <w:tcPr>
            <w:tcW w:w="850" w:type="dxa"/>
          </w:tcPr>
          <w:p w14:paraId="7F3928AA" w14:textId="77777777" w:rsidR="003D186E" w:rsidRPr="006343CE" w:rsidRDefault="003D186E" w:rsidP="00B7183E">
            <w:pPr>
              <w:pStyle w:val="Tabletext1"/>
              <w:rPr>
                <w:b/>
                <w:lang w:eastAsia="en-GB"/>
              </w:rPr>
            </w:pPr>
            <w:r w:rsidRPr="006343CE">
              <w:rPr>
                <w:b/>
                <w:color w:val="00B050"/>
              </w:rPr>
              <w:sym w:font="Wingdings" w:char="F04A"/>
            </w:r>
          </w:p>
        </w:tc>
        <w:tc>
          <w:tcPr>
            <w:tcW w:w="567" w:type="dxa"/>
          </w:tcPr>
          <w:p w14:paraId="4ED9ED48" w14:textId="77777777" w:rsidR="003D186E" w:rsidRPr="006343CE" w:rsidRDefault="003D186E" w:rsidP="00B7183E">
            <w:pPr>
              <w:pStyle w:val="Tabletext1"/>
              <w:rPr>
                <w:b/>
                <w:lang w:eastAsia="en-GB"/>
              </w:rPr>
            </w:pPr>
            <w:r w:rsidRPr="006343CE">
              <w:rPr>
                <w:b/>
                <w:color w:val="0070C0"/>
              </w:rPr>
              <w:t>?</w:t>
            </w:r>
          </w:p>
        </w:tc>
        <w:tc>
          <w:tcPr>
            <w:tcW w:w="1134" w:type="dxa"/>
          </w:tcPr>
          <w:p w14:paraId="1970AFD0" w14:textId="77777777" w:rsidR="003D186E" w:rsidRPr="006343CE" w:rsidRDefault="003D186E" w:rsidP="00B7183E">
            <w:pPr>
              <w:pStyle w:val="Tabletext1"/>
              <w:rPr>
                <w:b/>
                <w:lang w:eastAsia="en-GB"/>
              </w:rPr>
            </w:pPr>
            <w:r w:rsidRPr="006343CE">
              <w:rPr>
                <w:b/>
                <w:color w:val="00B050"/>
              </w:rPr>
              <w:sym w:font="Wingdings" w:char="F04A"/>
            </w:r>
          </w:p>
        </w:tc>
        <w:tc>
          <w:tcPr>
            <w:tcW w:w="851" w:type="dxa"/>
          </w:tcPr>
          <w:p w14:paraId="13156B13" w14:textId="77777777" w:rsidR="003D186E" w:rsidRPr="006343CE" w:rsidRDefault="003D186E" w:rsidP="00B7183E">
            <w:pPr>
              <w:pStyle w:val="Tabletext1"/>
              <w:rPr>
                <w:b/>
                <w:lang w:eastAsia="en-GB"/>
              </w:rPr>
            </w:pPr>
            <w:r w:rsidRPr="006343CE">
              <w:rPr>
                <w:b/>
                <w:color w:val="0070C0"/>
              </w:rPr>
              <w:t>?</w:t>
            </w:r>
          </w:p>
        </w:tc>
        <w:tc>
          <w:tcPr>
            <w:tcW w:w="850" w:type="dxa"/>
          </w:tcPr>
          <w:p w14:paraId="37B96755" w14:textId="77777777" w:rsidR="003D186E" w:rsidRPr="006343CE" w:rsidRDefault="003D186E" w:rsidP="00B7183E">
            <w:pPr>
              <w:pStyle w:val="Tabletext1"/>
              <w:rPr>
                <w:b/>
                <w:lang w:eastAsia="en-GB"/>
              </w:rPr>
            </w:pPr>
            <w:r w:rsidRPr="006343CE">
              <w:rPr>
                <w:b/>
                <w:color w:val="00B050"/>
              </w:rPr>
              <w:sym w:font="Wingdings" w:char="F04A"/>
            </w:r>
          </w:p>
        </w:tc>
        <w:tc>
          <w:tcPr>
            <w:tcW w:w="851" w:type="dxa"/>
          </w:tcPr>
          <w:p w14:paraId="5EBE00E4" w14:textId="77777777" w:rsidR="003D186E" w:rsidRPr="006343CE" w:rsidRDefault="003D186E" w:rsidP="00B7183E">
            <w:pPr>
              <w:pStyle w:val="Tabletext1"/>
              <w:rPr>
                <w:b/>
                <w:lang w:eastAsia="en-GB"/>
              </w:rPr>
            </w:pPr>
            <w:r w:rsidRPr="006343CE">
              <w:rPr>
                <w:b/>
                <w:color w:val="00B050"/>
              </w:rPr>
              <w:sym w:font="Wingdings" w:char="F04A"/>
            </w:r>
          </w:p>
        </w:tc>
        <w:tc>
          <w:tcPr>
            <w:tcW w:w="567" w:type="dxa"/>
          </w:tcPr>
          <w:p w14:paraId="3A3522F0" w14:textId="77777777" w:rsidR="003D186E" w:rsidRPr="006343CE" w:rsidRDefault="003D186E" w:rsidP="00B7183E">
            <w:pPr>
              <w:pStyle w:val="Tabletext1"/>
              <w:rPr>
                <w:b/>
                <w:lang w:eastAsia="en-GB"/>
              </w:rPr>
            </w:pPr>
            <w:r w:rsidRPr="006343CE">
              <w:rPr>
                <w:b/>
                <w:color w:val="00B050"/>
              </w:rPr>
              <w:sym w:font="Wingdings" w:char="F04A"/>
            </w:r>
          </w:p>
        </w:tc>
        <w:tc>
          <w:tcPr>
            <w:tcW w:w="1134" w:type="dxa"/>
          </w:tcPr>
          <w:p w14:paraId="238A318C" w14:textId="65B71E8B" w:rsidR="003D186E" w:rsidRPr="006343CE" w:rsidRDefault="003D186E" w:rsidP="00B7183E">
            <w:pPr>
              <w:pStyle w:val="Tabletext1"/>
              <w:rPr>
                <w:b/>
                <w:lang w:eastAsia="en-GB"/>
              </w:rPr>
            </w:pPr>
            <w:r w:rsidRPr="006343CE">
              <w:rPr>
                <w:lang w:eastAsia="en-GB"/>
              </w:rPr>
              <w:t>NA</w:t>
            </w:r>
          </w:p>
        </w:tc>
        <w:tc>
          <w:tcPr>
            <w:tcW w:w="821" w:type="dxa"/>
          </w:tcPr>
          <w:p w14:paraId="079B91F8" w14:textId="77777777" w:rsidR="003D186E" w:rsidRPr="006343CE" w:rsidRDefault="003D186E" w:rsidP="00B7183E">
            <w:pPr>
              <w:pStyle w:val="Tabletext1"/>
              <w:rPr>
                <w:b/>
                <w:lang w:eastAsia="en-GB"/>
              </w:rPr>
            </w:pPr>
            <w:r w:rsidRPr="006343CE">
              <w:rPr>
                <w:b/>
                <w:color w:val="00B050"/>
              </w:rPr>
              <w:sym w:font="Wingdings" w:char="F04A"/>
            </w:r>
          </w:p>
        </w:tc>
      </w:tr>
    </w:tbl>
    <w:p w14:paraId="417241B4" w14:textId="50966DE3" w:rsidR="001C6C1F" w:rsidRDefault="001C6C1F" w:rsidP="001C6C1F">
      <w:pPr>
        <w:widowControl w:val="0"/>
        <w:spacing w:line="240" w:lineRule="auto"/>
        <w:contextualSpacing/>
        <w:jc w:val="both"/>
        <w:rPr>
          <w:rFonts w:ascii="Arial Narrow" w:hAnsi="Arial Narrow" w:cs="Arial"/>
          <w:snapToGrid w:val="0"/>
          <w:sz w:val="18"/>
          <w:szCs w:val="20"/>
          <w:lang w:eastAsia="en-US"/>
        </w:rPr>
      </w:pPr>
      <w:r w:rsidRPr="006343CE">
        <w:rPr>
          <w:rFonts w:ascii="Arial Narrow" w:hAnsi="Arial Narrow" w:cs="Arial"/>
          <w:snapToGrid w:val="0"/>
          <w:color w:val="00B050"/>
          <w:sz w:val="18"/>
          <w:szCs w:val="20"/>
          <w:lang w:eastAsia="en-US"/>
        </w:rPr>
        <w:sym w:font="Wingdings" w:char="F04A"/>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low risk</w:t>
      </w:r>
      <w:r w:rsidRPr="006343CE">
        <w:rPr>
          <w:rFonts w:ascii="Arial Narrow" w:hAnsi="Arial Narrow" w:cs="Arial"/>
          <w:snapToGrid w:val="0"/>
          <w:sz w:val="18"/>
          <w:szCs w:val="20"/>
          <w:lang w:eastAsia="en-US"/>
        </w:rPr>
        <w:t xml:space="preserve">; </w:t>
      </w:r>
      <w:r w:rsidRPr="006343CE">
        <w:rPr>
          <w:rFonts w:ascii="Arial Narrow" w:hAnsi="Arial Narrow" w:cs="Arial"/>
          <w:snapToGrid w:val="0"/>
          <w:color w:val="FF0000"/>
          <w:sz w:val="18"/>
          <w:szCs w:val="20"/>
          <w:lang w:eastAsia="en-US"/>
        </w:rPr>
        <w:sym w:font="Wingdings" w:char="F04C"/>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high risk</w:t>
      </w:r>
      <w:r w:rsidRPr="006343CE">
        <w:rPr>
          <w:rFonts w:ascii="Arial Narrow" w:hAnsi="Arial Narrow" w:cs="Arial"/>
          <w:snapToGrid w:val="0"/>
          <w:sz w:val="18"/>
          <w:szCs w:val="20"/>
          <w:lang w:eastAsia="en-US"/>
        </w:rPr>
        <w:t>;</w:t>
      </w:r>
      <w:r w:rsidRPr="006343CE">
        <w:rPr>
          <w:rFonts w:ascii="Arial Narrow" w:hAnsi="Arial Narrow" w:cs="Arial"/>
          <w:b/>
          <w:snapToGrid w:val="0"/>
          <w:color w:val="1F497D" w:themeColor="text2"/>
          <w:sz w:val="18"/>
          <w:szCs w:val="20"/>
          <w:lang w:eastAsia="en-US"/>
        </w:rPr>
        <w:t>?</w:t>
      </w:r>
      <w:r w:rsidRPr="006343CE">
        <w:rPr>
          <w:rFonts w:ascii="Arial Narrow" w:hAnsi="Arial Narrow" w:cs="Arial"/>
          <w:snapToGrid w:val="0"/>
          <w:sz w:val="18"/>
          <w:szCs w:val="20"/>
          <w:lang w:eastAsia="en-US"/>
        </w:rPr>
        <w:t xml:space="preserve"> = </w:t>
      </w:r>
      <w:r w:rsidR="002F60BC">
        <w:rPr>
          <w:rFonts w:ascii="Arial Narrow" w:hAnsi="Arial Narrow" w:cs="Arial"/>
          <w:snapToGrid w:val="0"/>
          <w:sz w:val="18"/>
          <w:szCs w:val="20"/>
          <w:lang w:eastAsia="en-US"/>
        </w:rPr>
        <w:t>unclear risk</w:t>
      </w:r>
      <w:r w:rsidRPr="006343CE">
        <w:rPr>
          <w:rFonts w:ascii="Arial Narrow" w:hAnsi="Arial Narrow" w:cs="Arial"/>
          <w:snapToGrid w:val="0"/>
          <w:sz w:val="18"/>
          <w:szCs w:val="20"/>
          <w:lang w:eastAsia="en-US"/>
        </w:rPr>
        <w:t>; NA = not applicable</w:t>
      </w:r>
    </w:p>
    <w:p w14:paraId="7BCA44BC" w14:textId="6D8B43C0" w:rsidR="0055629E" w:rsidRPr="00183E4D" w:rsidRDefault="0055629E" w:rsidP="007C7765">
      <w:pPr>
        <w:pStyle w:val="Heading2"/>
        <w:numPr>
          <w:ilvl w:val="1"/>
          <w:numId w:val="18"/>
        </w:numPr>
        <w:jc w:val="both"/>
      </w:pPr>
      <w:bookmarkStart w:id="295" w:name="_Toc502832952"/>
      <w:r w:rsidRPr="00183E4D">
        <w:t xml:space="preserve">Characteristics of the </w:t>
      </w:r>
      <w:r w:rsidR="00DC5CE5">
        <w:t>e</w:t>
      </w:r>
      <w:r w:rsidRPr="00183E4D">
        <w:t xml:space="preserve">vidence </w:t>
      </w:r>
      <w:r w:rsidR="00DC5CE5">
        <w:t>b</w:t>
      </w:r>
      <w:r w:rsidRPr="00183E4D">
        <w:t>ase</w:t>
      </w:r>
      <w:bookmarkEnd w:id="295"/>
    </w:p>
    <w:p w14:paraId="65506697" w14:textId="24F9C59E" w:rsidR="007518CF" w:rsidRDefault="005C222E" w:rsidP="007C7765">
      <w:pPr>
        <w:jc w:val="both"/>
      </w:pPr>
      <w:r>
        <w:t xml:space="preserve">Profiles of </w:t>
      </w:r>
      <w:r w:rsidR="0055629E" w:rsidRPr="00C910BA">
        <w:t>the individual studies included in the evidence base</w:t>
      </w:r>
      <w:r w:rsidRPr="005C222E">
        <w:t xml:space="preserve"> </w:t>
      </w:r>
      <w:r>
        <w:t xml:space="preserve">are provided in </w:t>
      </w:r>
      <w:r w:rsidR="009403F7">
        <w:fldChar w:fldCharType="begin"/>
      </w:r>
      <w:r w:rsidR="009403F7">
        <w:instrText xml:space="preserve"> REF _Ref364237249 \h </w:instrText>
      </w:r>
      <w:r w:rsidR="009403F7">
        <w:fldChar w:fldCharType="separate"/>
      </w:r>
      <w:r w:rsidR="00AC4BE5" w:rsidRPr="00183E4D">
        <w:t xml:space="preserve">Appendix </w:t>
      </w:r>
      <w:r w:rsidR="00AC4BE5">
        <w:rPr>
          <w:noProof/>
        </w:rPr>
        <w:t>C</w:t>
      </w:r>
      <w:r w:rsidR="009403F7">
        <w:fldChar w:fldCharType="end"/>
      </w:r>
      <w:r w:rsidR="0055629E" w:rsidRPr="00C910BA">
        <w:t>.</w:t>
      </w:r>
    </w:p>
    <w:p w14:paraId="4EE99B59" w14:textId="77777777" w:rsidR="00AC4BE5" w:rsidRPr="009B1C7A" w:rsidRDefault="005C222E" w:rsidP="009B1C7A">
      <w:pPr>
        <w:jc w:val="both"/>
      </w:pPr>
      <w:r>
        <w:t>C</w:t>
      </w:r>
      <w:r w:rsidR="0055629E">
        <w:t xml:space="preserve">haracteristics </w:t>
      </w:r>
      <w:r>
        <w:t>for</w:t>
      </w:r>
      <w:r w:rsidR="0055629E">
        <w:t xml:space="preserve"> </w:t>
      </w:r>
      <w:r w:rsidR="002B7606">
        <w:t>s</w:t>
      </w:r>
      <w:r w:rsidR="0055629E">
        <w:t>tudies</w:t>
      </w:r>
      <w:r w:rsidR="0094708F">
        <w:t xml:space="preserve"> </w:t>
      </w:r>
      <w:r>
        <w:t>included for the</w:t>
      </w:r>
      <w:r w:rsidR="0094708F">
        <w:t xml:space="preserve"> prognostic and predictive value of AMH testing</w:t>
      </w:r>
      <w:r w:rsidR="0055629E">
        <w:t xml:space="preserve"> </w:t>
      </w:r>
      <w:r>
        <w:t>are summarised in</w:t>
      </w:r>
      <w:r w:rsidR="0094708F">
        <w:t xml:space="preserve"> </w:t>
      </w:r>
      <w:r w:rsidR="0094708F">
        <w:fldChar w:fldCharType="begin"/>
      </w:r>
      <w:r w:rsidR="0094708F">
        <w:instrText xml:space="preserve"> REF _Ref497830277 \h </w:instrText>
      </w:r>
      <w:r w:rsidR="007C7765">
        <w:instrText xml:space="preserve"> \* MERGEFORMAT </w:instrText>
      </w:r>
      <w:r w:rsidR="0094708F">
        <w:fldChar w:fldCharType="separate"/>
      </w:r>
      <w:r w:rsidR="00AC4BE5" w:rsidRPr="002B7606">
        <w:t xml:space="preserve">Table </w:t>
      </w:r>
      <w:r w:rsidR="00AC4BE5">
        <w:rPr>
          <w:noProof/>
        </w:rPr>
        <w:t>38</w:t>
      </w:r>
      <w:r w:rsidR="0094708F">
        <w:fldChar w:fldCharType="end"/>
      </w:r>
      <w:r w:rsidR="00170274">
        <w:t xml:space="preserve">. The characteristics for studies included for clinical validity, i.e. the usefulness of AMH testing, are shown in </w:t>
      </w:r>
      <w:r w:rsidR="00170274">
        <w:fldChar w:fldCharType="begin"/>
      </w:r>
      <w:r w:rsidR="00170274">
        <w:instrText xml:space="preserve"> REF _Ref499712464 \h  \* MERGEFORMAT </w:instrText>
      </w:r>
      <w:r w:rsidR="00170274">
        <w:fldChar w:fldCharType="separate"/>
      </w:r>
      <w:r w:rsidR="00AC4BE5">
        <w:br w:type="page"/>
      </w:r>
    </w:p>
    <w:p w14:paraId="4226A631" w14:textId="69F176C6" w:rsidR="007518CF" w:rsidRDefault="00AC4BE5" w:rsidP="007C7765">
      <w:pPr>
        <w:jc w:val="both"/>
      </w:pPr>
      <w:r w:rsidRPr="002B7606">
        <w:rPr>
          <w:noProof/>
        </w:rPr>
        <w:lastRenderedPageBreak/>
        <w:t>Table</w:t>
      </w:r>
      <w:r w:rsidRPr="002B7606">
        <w:t xml:space="preserve"> </w:t>
      </w:r>
      <w:r>
        <w:rPr>
          <w:noProof/>
        </w:rPr>
        <w:t>39</w:t>
      </w:r>
      <w:r w:rsidR="00170274">
        <w:fldChar w:fldCharType="end"/>
      </w:r>
      <w:r w:rsidR="00170274">
        <w:t>.</w:t>
      </w:r>
    </w:p>
    <w:p w14:paraId="630012C5" w14:textId="77777777" w:rsidR="00170274" w:rsidRPr="00183E4D" w:rsidRDefault="00170274" w:rsidP="00170274">
      <w:pPr>
        <w:pStyle w:val="Caption"/>
        <w:ind w:left="1134" w:hanging="1134"/>
        <w:rPr>
          <w:snapToGrid w:val="0"/>
          <w:lang w:eastAsia="en-US"/>
        </w:rPr>
      </w:pPr>
      <w:bookmarkStart w:id="296" w:name="_Ref497830277"/>
      <w:bookmarkStart w:id="297" w:name="_Toc502833056"/>
      <w:r w:rsidRPr="002B7606">
        <w:t xml:space="preserve">Table </w:t>
      </w:r>
      <w:r w:rsidR="00AC4BE5">
        <w:fldChar w:fldCharType="begin"/>
      </w:r>
      <w:r w:rsidR="00AC4BE5">
        <w:instrText xml:space="preserve"> SEQ Table \* ARABIC </w:instrText>
      </w:r>
      <w:r w:rsidR="00AC4BE5">
        <w:fldChar w:fldCharType="separate"/>
      </w:r>
      <w:r w:rsidR="00AC4BE5">
        <w:rPr>
          <w:noProof/>
        </w:rPr>
        <w:t>38</w:t>
      </w:r>
      <w:r w:rsidR="00AC4BE5">
        <w:rPr>
          <w:noProof/>
        </w:rPr>
        <w:fldChar w:fldCharType="end"/>
      </w:r>
      <w:bookmarkEnd w:id="296"/>
      <w:r w:rsidRPr="002B7606">
        <w:tab/>
      </w:r>
      <w:r w:rsidRPr="002B7606">
        <w:rPr>
          <w:snapToGrid w:val="0"/>
          <w:lang w:eastAsia="en-US"/>
        </w:rPr>
        <w:t>Key features of the included evidence on prognostic or predictive value of AMH testing</w:t>
      </w:r>
      <w:r>
        <w:rPr>
          <w:snapToGrid w:val="0"/>
          <w:lang w:eastAsia="en-US"/>
        </w:rPr>
        <w:t>, ordered by study size</w:t>
      </w:r>
      <w:bookmarkEnd w:id="297"/>
    </w:p>
    <w:tbl>
      <w:tblPr>
        <w:tblStyle w:val="TableGrid1"/>
        <w:tblW w:w="4950" w:type="pct"/>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247"/>
        <w:gridCol w:w="957"/>
        <w:gridCol w:w="990"/>
        <w:gridCol w:w="1017"/>
        <w:gridCol w:w="1744"/>
        <w:gridCol w:w="3195"/>
      </w:tblGrid>
      <w:tr w:rsidR="00170274" w:rsidRPr="00183E4D" w14:paraId="0AAAA614" w14:textId="77777777" w:rsidTr="009B1C7A">
        <w:trPr>
          <w:cnfStyle w:val="100000000000" w:firstRow="1" w:lastRow="0" w:firstColumn="0" w:lastColumn="0" w:oddVBand="0" w:evenVBand="0" w:oddHBand="0" w:evenHBand="0" w:firstRowFirstColumn="0" w:firstRowLastColumn="0" w:lastRowFirstColumn="0" w:lastRowLastColumn="0"/>
          <w:tblHeader/>
        </w:trPr>
        <w:tc>
          <w:tcPr>
            <w:tcW w:w="681" w:type="pct"/>
          </w:tcPr>
          <w:p w14:paraId="14DCEA9B" w14:textId="77777777" w:rsidR="00170274" w:rsidRPr="00183E4D" w:rsidRDefault="00170274" w:rsidP="00170274">
            <w:pPr>
              <w:pStyle w:val="TableHeading"/>
              <w:keepNext w:val="0"/>
              <w:spacing w:before="0"/>
              <w:rPr>
                <w:snapToGrid w:val="0"/>
                <w:lang w:eastAsia="en-US"/>
              </w:rPr>
            </w:pPr>
            <w:r>
              <w:rPr>
                <w:snapToGrid w:val="0"/>
                <w:lang w:eastAsia="en-US"/>
              </w:rPr>
              <w:t>Trial/study</w:t>
            </w:r>
          </w:p>
        </w:tc>
        <w:tc>
          <w:tcPr>
            <w:tcW w:w="523" w:type="pct"/>
          </w:tcPr>
          <w:p w14:paraId="7A210A61" w14:textId="77777777" w:rsidR="00170274" w:rsidRPr="00183E4D" w:rsidRDefault="00170274" w:rsidP="00170274">
            <w:pPr>
              <w:pStyle w:val="TableHeading"/>
              <w:keepNext w:val="0"/>
              <w:spacing w:before="0"/>
              <w:rPr>
                <w:snapToGrid w:val="0"/>
                <w:lang w:eastAsia="en-US"/>
              </w:rPr>
            </w:pPr>
            <w:r w:rsidRPr="00183E4D">
              <w:rPr>
                <w:snapToGrid w:val="0"/>
                <w:lang w:eastAsia="en-US"/>
              </w:rPr>
              <w:t>N</w:t>
            </w:r>
          </w:p>
        </w:tc>
        <w:tc>
          <w:tcPr>
            <w:tcW w:w="541" w:type="pct"/>
          </w:tcPr>
          <w:p w14:paraId="609835C7" w14:textId="77777777" w:rsidR="00170274" w:rsidRPr="00183E4D" w:rsidRDefault="00170274" w:rsidP="00170274">
            <w:pPr>
              <w:pStyle w:val="TableHeading"/>
              <w:keepNext w:val="0"/>
              <w:spacing w:before="0"/>
              <w:rPr>
                <w:snapToGrid w:val="0"/>
                <w:lang w:eastAsia="en-US"/>
              </w:rPr>
            </w:pPr>
            <w:r>
              <w:rPr>
                <w:snapToGrid w:val="0"/>
                <w:lang w:eastAsia="en-US"/>
              </w:rPr>
              <w:t>Level of evidence</w:t>
            </w:r>
          </w:p>
        </w:tc>
        <w:tc>
          <w:tcPr>
            <w:tcW w:w="556" w:type="pct"/>
          </w:tcPr>
          <w:p w14:paraId="4A540DF3" w14:textId="77777777" w:rsidR="00170274" w:rsidRPr="00183E4D" w:rsidRDefault="00170274" w:rsidP="00170274">
            <w:pPr>
              <w:pStyle w:val="TableHeading"/>
              <w:keepNext w:val="0"/>
              <w:spacing w:before="0"/>
              <w:rPr>
                <w:snapToGrid w:val="0"/>
                <w:lang w:eastAsia="en-US"/>
              </w:rPr>
            </w:pPr>
            <w:r w:rsidRPr="00183E4D">
              <w:rPr>
                <w:snapToGrid w:val="0"/>
                <w:lang w:eastAsia="en-US"/>
              </w:rPr>
              <w:t>Risk of bias</w:t>
            </w:r>
          </w:p>
        </w:tc>
        <w:tc>
          <w:tcPr>
            <w:tcW w:w="953" w:type="pct"/>
          </w:tcPr>
          <w:p w14:paraId="15A80A62" w14:textId="77777777" w:rsidR="00170274" w:rsidRPr="00183E4D" w:rsidRDefault="00170274" w:rsidP="00170274">
            <w:pPr>
              <w:pStyle w:val="TableHeading"/>
              <w:keepNext w:val="0"/>
              <w:spacing w:before="0"/>
              <w:rPr>
                <w:snapToGrid w:val="0"/>
                <w:lang w:eastAsia="en-US"/>
              </w:rPr>
            </w:pPr>
            <w:r w:rsidRPr="00183E4D">
              <w:rPr>
                <w:snapToGrid w:val="0"/>
                <w:lang w:eastAsia="en-US"/>
              </w:rPr>
              <w:t>Patient population</w:t>
            </w:r>
          </w:p>
        </w:tc>
        <w:tc>
          <w:tcPr>
            <w:tcW w:w="1748" w:type="pct"/>
          </w:tcPr>
          <w:p w14:paraId="6AA302AD" w14:textId="77777777" w:rsidR="00170274" w:rsidRPr="00183E4D" w:rsidRDefault="00170274" w:rsidP="00170274">
            <w:pPr>
              <w:pStyle w:val="TableHeading"/>
              <w:keepNext w:val="0"/>
              <w:spacing w:before="0"/>
              <w:rPr>
                <w:snapToGrid w:val="0"/>
                <w:lang w:eastAsia="en-US"/>
              </w:rPr>
            </w:pPr>
            <w:r>
              <w:rPr>
                <w:snapToGrid w:val="0"/>
                <w:lang w:eastAsia="en-US"/>
              </w:rPr>
              <w:t>Analysis / key outcome</w:t>
            </w:r>
            <w:r w:rsidRPr="00183E4D">
              <w:rPr>
                <w:snapToGrid w:val="0"/>
                <w:lang w:eastAsia="en-US"/>
              </w:rPr>
              <w:t>(s)</w:t>
            </w:r>
          </w:p>
        </w:tc>
      </w:tr>
      <w:tr w:rsidR="00170274" w:rsidRPr="002B7606" w14:paraId="0FCE561F" w14:textId="77777777" w:rsidTr="009B1C7A">
        <w:tc>
          <w:tcPr>
            <w:tcW w:w="681" w:type="pct"/>
          </w:tcPr>
          <w:p w14:paraId="4FB21113" w14:textId="77777777" w:rsidR="00170274" w:rsidRPr="002B7606" w:rsidRDefault="00170274" w:rsidP="00170274">
            <w:pPr>
              <w:pStyle w:val="Tabletext1"/>
              <w:spacing w:before="0" w:afterLines="40" w:after="96"/>
            </w:pPr>
            <w:r w:rsidRPr="002B7606">
              <w:t>Sonigo et al. (2016)</w:t>
            </w:r>
          </w:p>
        </w:tc>
        <w:tc>
          <w:tcPr>
            <w:tcW w:w="523" w:type="pct"/>
          </w:tcPr>
          <w:p w14:paraId="7D45EE80" w14:textId="77777777" w:rsidR="00170274" w:rsidRPr="002B7606" w:rsidRDefault="00170274" w:rsidP="00170274">
            <w:pPr>
              <w:pStyle w:val="Tabletext1"/>
              <w:spacing w:before="0" w:afterLines="40" w:after="96"/>
              <w:rPr>
                <w:snapToGrid w:val="0"/>
              </w:rPr>
            </w:pPr>
            <w:r>
              <w:rPr>
                <w:snapToGrid w:val="0"/>
              </w:rPr>
              <w:t>340</w:t>
            </w:r>
          </w:p>
        </w:tc>
        <w:tc>
          <w:tcPr>
            <w:tcW w:w="541" w:type="pct"/>
          </w:tcPr>
          <w:p w14:paraId="7EDB9437"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48D1FB97" w14:textId="77777777" w:rsidR="00170274" w:rsidRPr="002B7606" w:rsidRDefault="00170274" w:rsidP="00170274">
            <w:pPr>
              <w:pStyle w:val="Tabletext1"/>
              <w:spacing w:before="0" w:afterLines="40" w:after="96"/>
              <w:rPr>
                <w:snapToGrid w:val="0"/>
              </w:rPr>
            </w:pPr>
            <w:r w:rsidRPr="002B7606">
              <w:rPr>
                <w:snapToGrid w:val="0"/>
              </w:rPr>
              <w:t>Low</w:t>
            </w:r>
          </w:p>
        </w:tc>
        <w:tc>
          <w:tcPr>
            <w:tcW w:w="953" w:type="pct"/>
          </w:tcPr>
          <w:p w14:paraId="3AADA234" w14:textId="77777777" w:rsidR="00170274" w:rsidRPr="002B7606" w:rsidRDefault="00170274" w:rsidP="00170274">
            <w:pPr>
              <w:pStyle w:val="Tabletext1"/>
              <w:spacing w:before="0" w:afterLines="40" w:after="96"/>
              <w:rPr>
                <w:snapToGrid w:val="0"/>
              </w:rPr>
            </w:pPr>
            <w:r>
              <w:rPr>
                <w:snapToGrid w:val="0"/>
              </w:rPr>
              <w:t xml:space="preserve">Women breast cancer, </w:t>
            </w:r>
            <w:r>
              <w:t>haematological malignancies, other diseases</w:t>
            </w:r>
          </w:p>
        </w:tc>
        <w:tc>
          <w:tcPr>
            <w:tcW w:w="1748" w:type="pct"/>
          </w:tcPr>
          <w:p w14:paraId="32347045" w14:textId="77777777" w:rsidR="00170274" w:rsidRPr="00B7183E" w:rsidRDefault="00170274" w:rsidP="00170274">
            <w:pPr>
              <w:pStyle w:val="Tabletext1"/>
              <w:spacing w:before="0" w:afterLines="40" w:after="96"/>
              <w:rPr>
                <w:b/>
                <w:snapToGrid w:val="0"/>
              </w:rPr>
            </w:pPr>
            <w:r w:rsidRPr="00B7183E">
              <w:rPr>
                <w:b/>
                <w:snapToGrid w:val="0"/>
              </w:rPr>
              <w:t>Predicting ovarian response</w:t>
            </w:r>
          </w:p>
          <w:p w14:paraId="20C3D691" w14:textId="77777777" w:rsidR="00170274" w:rsidRDefault="00170274" w:rsidP="00170274">
            <w:pPr>
              <w:pStyle w:val="Tabletext1"/>
              <w:spacing w:before="0" w:afterLines="40" w:after="96"/>
            </w:pPr>
            <w:r w:rsidRPr="00C20A48">
              <w:t>Association between number of in vitro matured oocytes cryopreserved and AFC and serum AMH levels</w:t>
            </w:r>
          </w:p>
          <w:p w14:paraId="140B47CE" w14:textId="77777777" w:rsidR="00170274" w:rsidRPr="002B7606" w:rsidRDefault="00170274" w:rsidP="00170274">
            <w:pPr>
              <w:pStyle w:val="Tabletext1"/>
              <w:spacing w:before="0" w:afterLines="40" w:after="96"/>
              <w:rPr>
                <w:snapToGrid w:val="0"/>
              </w:rPr>
            </w:pPr>
            <w:r>
              <w:rPr>
                <w:snapToGrid w:val="0"/>
              </w:rPr>
              <w:t>Sensitivity and specificity</w:t>
            </w:r>
          </w:p>
        </w:tc>
      </w:tr>
      <w:tr w:rsidR="00170274" w:rsidRPr="002B7606" w14:paraId="4A8FE16C" w14:textId="77777777" w:rsidTr="009B1C7A">
        <w:tc>
          <w:tcPr>
            <w:tcW w:w="681" w:type="pct"/>
          </w:tcPr>
          <w:p w14:paraId="79CAA425" w14:textId="77777777" w:rsidR="00170274" w:rsidRPr="002B7606" w:rsidRDefault="00170274" w:rsidP="00170274">
            <w:pPr>
              <w:pStyle w:val="Tabletext1"/>
              <w:spacing w:before="0" w:afterLines="40" w:after="96"/>
            </w:pPr>
            <w:r w:rsidRPr="002B7606">
              <w:t>Dezellus et al. (2017)</w:t>
            </w:r>
          </w:p>
        </w:tc>
        <w:tc>
          <w:tcPr>
            <w:tcW w:w="523" w:type="pct"/>
          </w:tcPr>
          <w:p w14:paraId="6E082B2E" w14:textId="77777777" w:rsidR="00170274" w:rsidRPr="002B7606" w:rsidRDefault="00170274" w:rsidP="00170274">
            <w:pPr>
              <w:pStyle w:val="Tabletext1"/>
              <w:spacing w:before="0" w:afterLines="40" w:after="96"/>
              <w:rPr>
                <w:snapToGrid w:val="0"/>
              </w:rPr>
            </w:pPr>
            <w:r>
              <w:rPr>
                <w:snapToGrid w:val="0"/>
              </w:rPr>
              <w:t>249</w:t>
            </w:r>
          </w:p>
        </w:tc>
        <w:tc>
          <w:tcPr>
            <w:tcW w:w="541" w:type="pct"/>
          </w:tcPr>
          <w:p w14:paraId="4A6D7AC6"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650BC988" w14:textId="77777777" w:rsidR="00170274" w:rsidRPr="002B7606" w:rsidRDefault="00170274" w:rsidP="00170274">
            <w:pPr>
              <w:pStyle w:val="Tabletext1"/>
              <w:spacing w:before="0" w:afterLines="40" w:after="96"/>
              <w:rPr>
                <w:snapToGrid w:val="0"/>
              </w:rPr>
            </w:pPr>
            <w:r>
              <w:rPr>
                <w:snapToGrid w:val="0"/>
              </w:rPr>
              <w:t>Low</w:t>
            </w:r>
          </w:p>
        </w:tc>
        <w:tc>
          <w:tcPr>
            <w:tcW w:w="953" w:type="pct"/>
          </w:tcPr>
          <w:p w14:paraId="103F4AD0" w14:textId="77777777" w:rsidR="00170274" w:rsidRPr="002B7606" w:rsidRDefault="00170274" w:rsidP="00170274">
            <w:pPr>
              <w:pStyle w:val="Tabletext1"/>
              <w:spacing w:before="0" w:afterLines="40" w:after="96"/>
              <w:rPr>
                <w:snapToGrid w:val="0"/>
              </w:rPr>
            </w:pPr>
            <w:r w:rsidRPr="00800CD7">
              <w:t>W</w:t>
            </w:r>
            <w:r>
              <w:t xml:space="preserve">omen with </w:t>
            </w:r>
            <w:r w:rsidRPr="00800CD7">
              <w:t>breast cancer</w:t>
            </w:r>
          </w:p>
        </w:tc>
        <w:tc>
          <w:tcPr>
            <w:tcW w:w="1748" w:type="pct"/>
          </w:tcPr>
          <w:p w14:paraId="6725D052" w14:textId="77777777" w:rsidR="00170274" w:rsidRPr="00805E74" w:rsidRDefault="00170274" w:rsidP="00170274">
            <w:pPr>
              <w:pStyle w:val="Tabletext1"/>
              <w:spacing w:before="0" w:afterLines="40" w:after="96"/>
              <w:rPr>
                <w:b/>
              </w:rPr>
            </w:pPr>
            <w:r w:rsidRPr="00805E74">
              <w:rPr>
                <w:b/>
              </w:rPr>
              <w:t>Predicting ovarian function</w:t>
            </w:r>
          </w:p>
          <w:p w14:paraId="30B5D3EC" w14:textId="77777777" w:rsidR="00170274" w:rsidRPr="000A3041" w:rsidRDefault="00170274" w:rsidP="00170274">
            <w:pPr>
              <w:pStyle w:val="Tabletext1"/>
              <w:spacing w:before="0" w:afterLines="40" w:after="96"/>
            </w:pPr>
            <w:r>
              <w:t>Baseline serum hormone values, grouped by menstrual status at follow-up</w:t>
            </w:r>
          </w:p>
        </w:tc>
      </w:tr>
      <w:tr w:rsidR="00170274" w:rsidRPr="002B7606" w14:paraId="0236E332" w14:textId="77777777" w:rsidTr="009B1C7A">
        <w:tc>
          <w:tcPr>
            <w:tcW w:w="681" w:type="pct"/>
          </w:tcPr>
          <w:p w14:paraId="0CC7BA2A" w14:textId="77777777" w:rsidR="00170274" w:rsidRPr="002B7606" w:rsidRDefault="00170274" w:rsidP="00170274">
            <w:pPr>
              <w:pStyle w:val="Tabletext1"/>
              <w:spacing w:before="0" w:afterLines="40" w:after="96"/>
            </w:pPr>
            <w:r w:rsidRPr="002B7606">
              <w:t>Stochino-Loi et al. (2017)</w:t>
            </w:r>
          </w:p>
        </w:tc>
        <w:tc>
          <w:tcPr>
            <w:tcW w:w="523" w:type="pct"/>
          </w:tcPr>
          <w:p w14:paraId="653D8D23" w14:textId="77777777" w:rsidR="00170274" w:rsidRPr="002B7606" w:rsidRDefault="00170274" w:rsidP="00170274">
            <w:pPr>
              <w:pStyle w:val="Tabletext1"/>
              <w:spacing w:before="0" w:afterLines="40" w:after="96"/>
              <w:rPr>
                <w:snapToGrid w:val="0"/>
              </w:rPr>
            </w:pPr>
            <w:r>
              <w:rPr>
                <w:snapToGrid w:val="0"/>
              </w:rPr>
              <w:t>180</w:t>
            </w:r>
          </w:p>
        </w:tc>
        <w:tc>
          <w:tcPr>
            <w:tcW w:w="541" w:type="pct"/>
          </w:tcPr>
          <w:p w14:paraId="055C542E"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421621BB"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6618E58A" w14:textId="77777777" w:rsidR="00170274" w:rsidRPr="002B7606" w:rsidRDefault="00170274" w:rsidP="00170274">
            <w:pPr>
              <w:pStyle w:val="Tabletext1"/>
              <w:spacing w:before="0" w:afterLines="40" w:after="96"/>
              <w:rPr>
                <w:snapToGrid w:val="0"/>
              </w:rPr>
            </w:pPr>
            <w:r>
              <w:rPr>
                <w:snapToGrid w:val="0"/>
              </w:rPr>
              <w:t>Women with stage 3 and 4 endometriosis</w:t>
            </w:r>
          </w:p>
        </w:tc>
        <w:tc>
          <w:tcPr>
            <w:tcW w:w="1748" w:type="pct"/>
          </w:tcPr>
          <w:p w14:paraId="642ABA78" w14:textId="77777777" w:rsidR="00170274" w:rsidRPr="00805E74" w:rsidRDefault="00170274" w:rsidP="00170274">
            <w:pPr>
              <w:pStyle w:val="Tabletext1"/>
              <w:spacing w:before="0" w:afterLines="40" w:after="96"/>
              <w:rPr>
                <w:b/>
                <w:snapToGrid w:val="0"/>
              </w:rPr>
            </w:pPr>
            <w:r w:rsidRPr="00805E74">
              <w:rPr>
                <w:b/>
                <w:snapToGrid w:val="0"/>
              </w:rPr>
              <w:t>Predicting pregnancy</w:t>
            </w:r>
          </w:p>
          <w:p w14:paraId="5640778B" w14:textId="77777777" w:rsidR="00170274" w:rsidRPr="002B7606" w:rsidRDefault="00170274" w:rsidP="00170274">
            <w:pPr>
              <w:pStyle w:val="Tabletext1"/>
              <w:spacing w:before="0" w:afterLines="40" w:after="96"/>
              <w:rPr>
                <w:snapToGrid w:val="0"/>
              </w:rPr>
            </w:pPr>
            <w:r>
              <w:rPr>
                <w:snapToGrid w:val="0"/>
              </w:rPr>
              <w:t>Association of pre-surgery AMH with occurrence of pregnancy and pregnancy outcomes</w:t>
            </w:r>
          </w:p>
        </w:tc>
      </w:tr>
      <w:tr w:rsidR="00170274" w:rsidRPr="002B7606" w14:paraId="353AB45E" w14:textId="77777777" w:rsidTr="009B1C7A">
        <w:tc>
          <w:tcPr>
            <w:tcW w:w="681" w:type="pct"/>
          </w:tcPr>
          <w:p w14:paraId="0EB6A486" w14:textId="77777777" w:rsidR="00170274" w:rsidRPr="002B7606" w:rsidRDefault="00170274" w:rsidP="00170274">
            <w:pPr>
              <w:pStyle w:val="Tabletext1"/>
              <w:spacing w:before="0" w:afterLines="40" w:after="96"/>
            </w:pPr>
            <w:r w:rsidRPr="002B7606">
              <w:t>Hamy et al. (2016)</w:t>
            </w:r>
          </w:p>
        </w:tc>
        <w:tc>
          <w:tcPr>
            <w:tcW w:w="523" w:type="pct"/>
          </w:tcPr>
          <w:p w14:paraId="0FD2545E" w14:textId="77777777" w:rsidR="00170274" w:rsidRPr="002B7606" w:rsidRDefault="00170274" w:rsidP="00170274">
            <w:pPr>
              <w:pStyle w:val="Tabletext1"/>
              <w:spacing w:before="0" w:afterLines="40" w:after="96"/>
              <w:rPr>
                <w:snapToGrid w:val="0"/>
              </w:rPr>
            </w:pPr>
            <w:r>
              <w:rPr>
                <w:snapToGrid w:val="0"/>
              </w:rPr>
              <w:t>134</w:t>
            </w:r>
          </w:p>
        </w:tc>
        <w:tc>
          <w:tcPr>
            <w:tcW w:w="541" w:type="pct"/>
          </w:tcPr>
          <w:p w14:paraId="12FB60A9"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50B7E3F3" w14:textId="77777777" w:rsidR="00170274" w:rsidRPr="002B7606" w:rsidRDefault="00170274" w:rsidP="00170274">
            <w:pPr>
              <w:pStyle w:val="Tabletext1"/>
              <w:spacing w:before="0" w:afterLines="40" w:after="96"/>
              <w:rPr>
                <w:snapToGrid w:val="0"/>
              </w:rPr>
            </w:pPr>
            <w:r>
              <w:rPr>
                <w:snapToGrid w:val="0"/>
              </w:rPr>
              <w:t>Moderate</w:t>
            </w:r>
          </w:p>
        </w:tc>
        <w:tc>
          <w:tcPr>
            <w:tcW w:w="953" w:type="pct"/>
          </w:tcPr>
          <w:p w14:paraId="39B0AFBA" w14:textId="77777777" w:rsidR="00170274" w:rsidRPr="002B7606" w:rsidRDefault="00170274" w:rsidP="00170274">
            <w:pPr>
              <w:pStyle w:val="Tabletext1"/>
              <w:spacing w:before="0" w:afterLines="40" w:after="96"/>
              <w:rPr>
                <w:snapToGrid w:val="0"/>
              </w:rPr>
            </w:pPr>
            <w:r>
              <w:rPr>
                <w:snapToGrid w:val="0"/>
              </w:rPr>
              <w:t>Women with breast cancer</w:t>
            </w:r>
          </w:p>
        </w:tc>
        <w:tc>
          <w:tcPr>
            <w:tcW w:w="1748" w:type="pct"/>
          </w:tcPr>
          <w:p w14:paraId="4A52533A" w14:textId="77777777" w:rsidR="00170274" w:rsidRPr="00805E74" w:rsidRDefault="00170274" w:rsidP="00170274">
            <w:pPr>
              <w:pStyle w:val="Tabletext1"/>
              <w:spacing w:before="0" w:afterLines="40" w:after="96"/>
              <w:rPr>
                <w:b/>
              </w:rPr>
            </w:pPr>
            <w:r w:rsidRPr="00805E74">
              <w:rPr>
                <w:b/>
              </w:rPr>
              <w:t>Predicting pregnancy</w:t>
            </w:r>
          </w:p>
          <w:p w14:paraId="534FBE0C" w14:textId="77777777" w:rsidR="00170274" w:rsidRPr="002B7606" w:rsidRDefault="00170274" w:rsidP="00170274">
            <w:pPr>
              <w:pStyle w:val="Tabletext1"/>
              <w:spacing w:before="0" w:afterLines="40" w:after="96"/>
              <w:rPr>
                <w:snapToGrid w:val="0"/>
              </w:rPr>
            </w:pPr>
            <w:r>
              <w:t>Association of baseline AMH and end-of-chemotherapy AMH with occurrence of pregnancy</w:t>
            </w:r>
          </w:p>
        </w:tc>
      </w:tr>
      <w:tr w:rsidR="00170274" w:rsidRPr="002B7606" w14:paraId="41CB5A5A" w14:textId="77777777" w:rsidTr="009B1C7A">
        <w:tc>
          <w:tcPr>
            <w:tcW w:w="681" w:type="pct"/>
          </w:tcPr>
          <w:p w14:paraId="2826441B" w14:textId="77777777" w:rsidR="00170274" w:rsidRPr="002B7606" w:rsidRDefault="00170274" w:rsidP="00170274">
            <w:pPr>
              <w:pStyle w:val="Tabletext1"/>
              <w:spacing w:before="0" w:afterLines="40" w:after="96"/>
            </w:pPr>
            <w:r w:rsidRPr="002B7606">
              <w:t>Su et al. (2010)</w:t>
            </w:r>
          </w:p>
        </w:tc>
        <w:tc>
          <w:tcPr>
            <w:tcW w:w="523" w:type="pct"/>
          </w:tcPr>
          <w:p w14:paraId="5F0F7DFF" w14:textId="77777777" w:rsidR="00170274" w:rsidRPr="002B7606" w:rsidRDefault="00170274" w:rsidP="00170274">
            <w:pPr>
              <w:pStyle w:val="Tabletext1"/>
              <w:spacing w:before="0" w:afterLines="40" w:after="96"/>
              <w:rPr>
                <w:snapToGrid w:val="0"/>
              </w:rPr>
            </w:pPr>
            <w:r>
              <w:rPr>
                <w:snapToGrid w:val="0"/>
              </w:rPr>
              <w:t>127</w:t>
            </w:r>
          </w:p>
        </w:tc>
        <w:tc>
          <w:tcPr>
            <w:tcW w:w="541" w:type="pct"/>
          </w:tcPr>
          <w:p w14:paraId="706196B2"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6ADF1C8E" w14:textId="77777777" w:rsidR="00170274" w:rsidRPr="002B7606" w:rsidRDefault="00170274" w:rsidP="00170274">
            <w:pPr>
              <w:pStyle w:val="Tabletext1"/>
              <w:spacing w:before="0" w:afterLines="40" w:after="96"/>
              <w:rPr>
                <w:snapToGrid w:val="0"/>
              </w:rPr>
            </w:pPr>
            <w:r w:rsidRPr="002B7606">
              <w:rPr>
                <w:snapToGrid w:val="0"/>
              </w:rPr>
              <w:t>Low</w:t>
            </w:r>
          </w:p>
        </w:tc>
        <w:tc>
          <w:tcPr>
            <w:tcW w:w="953" w:type="pct"/>
          </w:tcPr>
          <w:p w14:paraId="0C575106" w14:textId="77777777" w:rsidR="00170274" w:rsidRPr="002B7606" w:rsidRDefault="00170274" w:rsidP="00170274">
            <w:pPr>
              <w:pStyle w:val="Tabletext1"/>
              <w:spacing w:before="0" w:afterLines="40" w:after="96"/>
              <w:rPr>
                <w:snapToGrid w:val="0"/>
              </w:rPr>
            </w:pPr>
            <w:r>
              <w:rPr>
                <w:snapToGrid w:val="0"/>
              </w:rPr>
              <w:t>Female breast cancer survivors</w:t>
            </w:r>
          </w:p>
        </w:tc>
        <w:tc>
          <w:tcPr>
            <w:tcW w:w="1748" w:type="pct"/>
          </w:tcPr>
          <w:p w14:paraId="0CCC1A24" w14:textId="77777777" w:rsidR="00170274" w:rsidRPr="00805E74" w:rsidRDefault="00170274" w:rsidP="00170274">
            <w:pPr>
              <w:pStyle w:val="Tabletext1"/>
              <w:spacing w:before="0" w:afterLines="40" w:after="96"/>
              <w:rPr>
                <w:b/>
              </w:rPr>
            </w:pPr>
            <w:r w:rsidRPr="00805E74">
              <w:rPr>
                <w:b/>
              </w:rPr>
              <w:t>Predicting ovarian function</w:t>
            </w:r>
          </w:p>
          <w:p w14:paraId="0D138B15" w14:textId="77777777" w:rsidR="00170274" w:rsidRPr="002B7606" w:rsidRDefault="00170274" w:rsidP="00170274">
            <w:pPr>
              <w:pStyle w:val="Tabletext1"/>
              <w:spacing w:before="0" w:afterLines="40" w:after="96"/>
              <w:rPr>
                <w:snapToGrid w:val="0"/>
              </w:rPr>
            </w:pPr>
            <w:r>
              <w:t>Median hormone values in patients with CRA vs hormone values in patients with no CRA on second follow-up</w:t>
            </w:r>
          </w:p>
        </w:tc>
      </w:tr>
      <w:tr w:rsidR="00170274" w:rsidRPr="002B7606" w14:paraId="1EE35820" w14:textId="77777777" w:rsidTr="009B1C7A">
        <w:tc>
          <w:tcPr>
            <w:tcW w:w="681" w:type="pct"/>
          </w:tcPr>
          <w:p w14:paraId="3156119A" w14:textId="77777777" w:rsidR="00170274" w:rsidRPr="002B7606" w:rsidRDefault="00170274" w:rsidP="00170274">
            <w:pPr>
              <w:pStyle w:val="Tabletext1"/>
              <w:spacing w:before="0" w:afterLines="40" w:after="96"/>
            </w:pPr>
            <w:r w:rsidRPr="002B7606">
              <w:t>Ruddy et al. (2014)</w:t>
            </w:r>
          </w:p>
        </w:tc>
        <w:tc>
          <w:tcPr>
            <w:tcW w:w="523" w:type="pct"/>
          </w:tcPr>
          <w:p w14:paraId="4DEE11CB" w14:textId="77777777" w:rsidR="00170274" w:rsidRPr="002B7606" w:rsidRDefault="00170274" w:rsidP="00170274">
            <w:pPr>
              <w:pStyle w:val="Tabletext1"/>
              <w:spacing w:before="0" w:afterLines="40" w:after="96"/>
              <w:rPr>
                <w:snapToGrid w:val="0"/>
              </w:rPr>
            </w:pPr>
            <w:r>
              <w:rPr>
                <w:snapToGrid w:val="0"/>
              </w:rPr>
              <w:t>124</w:t>
            </w:r>
          </w:p>
        </w:tc>
        <w:tc>
          <w:tcPr>
            <w:tcW w:w="541" w:type="pct"/>
          </w:tcPr>
          <w:p w14:paraId="412D7236" w14:textId="77777777" w:rsidR="00170274" w:rsidRPr="002B7606" w:rsidRDefault="00170274" w:rsidP="00170274">
            <w:pPr>
              <w:pStyle w:val="Tabletext1"/>
              <w:spacing w:before="0" w:afterLines="40" w:after="96"/>
              <w:rPr>
                <w:snapToGrid w:val="0"/>
              </w:rPr>
            </w:pPr>
            <w:r>
              <w:rPr>
                <w:snapToGrid w:val="0"/>
              </w:rPr>
              <w:t>II</w:t>
            </w:r>
          </w:p>
        </w:tc>
        <w:tc>
          <w:tcPr>
            <w:tcW w:w="556" w:type="pct"/>
          </w:tcPr>
          <w:p w14:paraId="078356D0"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54A63131" w14:textId="77777777" w:rsidR="00170274" w:rsidRPr="002B7606" w:rsidRDefault="00170274" w:rsidP="00170274">
            <w:pPr>
              <w:pStyle w:val="Tabletext1"/>
              <w:spacing w:before="0" w:afterLines="40" w:after="96"/>
              <w:rPr>
                <w:snapToGrid w:val="0"/>
              </w:rPr>
            </w:pPr>
            <w:r>
              <w:rPr>
                <w:snapToGrid w:val="0"/>
              </w:rPr>
              <w:t>Women with breast cancer</w:t>
            </w:r>
          </w:p>
        </w:tc>
        <w:tc>
          <w:tcPr>
            <w:tcW w:w="1748" w:type="pct"/>
          </w:tcPr>
          <w:p w14:paraId="06BA1785" w14:textId="77777777" w:rsidR="00170274" w:rsidRPr="00805E74" w:rsidRDefault="00170274" w:rsidP="00170274">
            <w:pPr>
              <w:pStyle w:val="Tabletext1"/>
              <w:spacing w:before="0" w:afterLines="40" w:after="96"/>
              <w:rPr>
                <w:b/>
              </w:rPr>
            </w:pPr>
            <w:r w:rsidRPr="00805E74">
              <w:rPr>
                <w:b/>
              </w:rPr>
              <w:t>Predicting ovarian function</w:t>
            </w:r>
          </w:p>
          <w:p w14:paraId="2C250051" w14:textId="77777777" w:rsidR="00170274" w:rsidRDefault="00170274" w:rsidP="00170274">
            <w:pPr>
              <w:pStyle w:val="Tabletext1"/>
              <w:spacing w:before="0" w:afterLines="40" w:after="96"/>
            </w:pPr>
            <w:r>
              <w:t>Baseline serum hormone values, grouped by menstrual status at follow-up</w:t>
            </w:r>
          </w:p>
          <w:p w14:paraId="2289E357" w14:textId="77777777" w:rsidR="00170274" w:rsidRPr="00C20A48" w:rsidRDefault="00170274" w:rsidP="00170274">
            <w:pPr>
              <w:pStyle w:val="Tabletext1"/>
              <w:spacing w:before="0" w:afterLines="40" w:after="96"/>
            </w:pPr>
            <w:r>
              <w:t>Multivariate analysis, predicting ovarian function</w:t>
            </w:r>
          </w:p>
        </w:tc>
      </w:tr>
      <w:tr w:rsidR="00170274" w:rsidRPr="002B7606" w14:paraId="039D6B9B" w14:textId="77777777" w:rsidTr="009B1C7A">
        <w:tc>
          <w:tcPr>
            <w:tcW w:w="681" w:type="pct"/>
          </w:tcPr>
          <w:p w14:paraId="12B87D19" w14:textId="77777777" w:rsidR="00170274" w:rsidRPr="002B7606" w:rsidRDefault="00170274" w:rsidP="00170274">
            <w:pPr>
              <w:pStyle w:val="Tabletext1"/>
              <w:spacing w:before="0" w:afterLines="40" w:after="96"/>
            </w:pPr>
            <w:r w:rsidRPr="002B7606">
              <w:t>Su et al. (2014)</w:t>
            </w:r>
          </w:p>
        </w:tc>
        <w:tc>
          <w:tcPr>
            <w:tcW w:w="523" w:type="pct"/>
          </w:tcPr>
          <w:p w14:paraId="4AA3E7C5" w14:textId="77777777" w:rsidR="00170274" w:rsidRPr="002B7606" w:rsidRDefault="00170274" w:rsidP="00170274">
            <w:pPr>
              <w:pStyle w:val="Tabletext1"/>
              <w:spacing w:before="0" w:afterLines="40" w:after="96"/>
              <w:rPr>
                <w:snapToGrid w:val="0"/>
              </w:rPr>
            </w:pPr>
            <w:r>
              <w:rPr>
                <w:snapToGrid w:val="0"/>
              </w:rPr>
              <w:t>109</w:t>
            </w:r>
          </w:p>
        </w:tc>
        <w:tc>
          <w:tcPr>
            <w:tcW w:w="541" w:type="pct"/>
          </w:tcPr>
          <w:p w14:paraId="0CFF598B" w14:textId="77777777" w:rsidR="00170274" w:rsidRPr="002B7606" w:rsidRDefault="00170274" w:rsidP="00170274">
            <w:pPr>
              <w:pStyle w:val="Tabletext1"/>
              <w:spacing w:before="0" w:afterLines="40" w:after="96"/>
              <w:rPr>
                <w:snapToGrid w:val="0"/>
              </w:rPr>
            </w:pPr>
            <w:r>
              <w:rPr>
                <w:snapToGrid w:val="0"/>
              </w:rPr>
              <w:t>II</w:t>
            </w:r>
          </w:p>
        </w:tc>
        <w:tc>
          <w:tcPr>
            <w:tcW w:w="556" w:type="pct"/>
          </w:tcPr>
          <w:p w14:paraId="3B1AEF54" w14:textId="77777777" w:rsidR="00170274" w:rsidRPr="002B7606" w:rsidRDefault="00170274" w:rsidP="00170274">
            <w:pPr>
              <w:pStyle w:val="Tabletext1"/>
              <w:spacing w:before="0" w:afterLines="40" w:after="96"/>
              <w:rPr>
                <w:snapToGrid w:val="0"/>
              </w:rPr>
            </w:pPr>
            <w:r w:rsidRPr="002B7606">
              <w:rPr>
                <w:snapToGrid w:val="0"/>
              </w:rPr>
              <w:t>Low</w:t>
            </w:r>
          </w:p>
        </w:tc>
        <w:tc>
          <w:tcPr>
            <w:tcW w:w="953" w:type="pct"/>
          </w:tcPr>
          <w:p w14:paraId="135C4E72" w14:textId="77777777" w:rsidR="00170274" w:rsidRPr="002B7606" w:rsidRDefault="00170274" w:rsidP="00170274">
            <w:pPr>
              <w:pStyle w:val="Tabletext1"/>
              <w:spacing w:before="0" w:afterLines="40" w:after="96"/>
              <w:rPr>
                <w:snapToGrid w:val="0"/>
              </w:rPr>
            </w:pPr>
            <w:r>
              <w:rPr>
                <w:snapToGrid w:val="0"/>
              </w:rPr>
              <w:t>Women with breast cancer</w:t>
            </w:r>
          </w:p>
        </w:tc>
        <w:tc>
          <w:tcPr>
            <w:tcW w:w="1748" w:type="pct"/>
          </w:tcPr>
          <w:p w14:paraId="573A3897" w14:textId="77777777" w:rsidR="00170274" w:rsidRPr="00B7183E" w:rsidRDefault="00170274" w:rsidP="00170274">
            <w:pPr>
              <w:pStyle w:val="Tabletext1"/>
              <w:spacing w:before="0" w:afterLines="40" w:after="96"/>
              <w:rPr>
                <w:b/>
              </w:rPr>
            </w:pPr>
            <w:r w:rsidRPr="00B7183E">
              <w:rPr>
                <w:b/>
              </w:rPr>
              <w:t>Predicting ovarian function</w:t>
            </w:r>
          </w:p>
          <w:p w14:paraId="6F99D623" w14:textId="77777777" w:rsidR="00170274" w:rsidRPr="002B13CF" w:rsidRDefault="00170274" w:rsidP="00170274">
            <w:pPr>
              <w:pStyle w:val="Tabletext1"/>
              <w:spacing w:before="0" w:afterLines="40" w:after="96"/>
            </w:pPr>
            <w:r>
              <w:t>Pre-chemotherapy levels of AMH, FSH, inhibin B and E2, and unadjusted HRs of return of ovarian function</w:t>
            </w:r>
          </w:p>
          <w:p w14:paraId="7BB90262" w14:textId="77777777" w:rsidR="00170274" w:rsidRPr="002B7606" w:rsidRDefault="00170274" w:rsidP="00170274">
            <w:pPr>
              <w:pStyle w:val="Tabletext1"/>
              <w:spacing w:before="0" w:afterLines="40" w:after="96"/>
              <w:rPr>
                <w:snapToGrid w:val="0"/>
              </w:rPr>
            </w:pPr>
            <w:r>
              <w:t>Multivariate analysis predicting ovarian function</w:t>
            </w:r>
          </w:p>
        </w:tc>
      </w:tr>
      <w:tr w:rsidR="00170274" w:rsidRPr="002B7606" w14:paraId="41F9C0F1" w14:textId="77777777" w:rsidTr="009B1C7A">
        <w:tc>
          <w:tcPr>
            <w:tcW w:w="681" w:type="pct"/>
          </w:tcPr>
          <w:p w14:paraId="4935D27B" w14:textId="77777777" w:rsidR="00170274" w:rsidRPr="002B7606" w:rsidRDefault="00170274" w:rsidP="00170274">
            <w:pPr>
              <w:pStyle w:val="Tabletext1"/>
              <w:spacing w:before="0" w:afterLines="40" w:after="96"/>
            </w:pPr>
            <w:r w:rsidRPr="002B7606">
              <w:t>Iwase et al. (2016)</w:t>
            </w:r>
          </w:p>
        </w:tc>
        <w:tc>
          <w:tcPr>
            <w:tcW w:w="523" w:type="pct"/>
          </w:tcPr>
          <w:p w14:paraId="30D882DD" w14:textId="77777777" w:rsidR="00170274" w:rsidRPr="002B7606" w:rsidRDefault="00170274" w:rsidP="00170274">
            <w:pPr>
              <w:pStyle w:val="Tabletext1"/>
              <w:spacing w:before="0" w:afterLines="40" w:after="96"/>
              <w:rPr>
                <w:snapToGrid w:val="0"/>
              </w:rPr>
            </w:pPr>
            <w:r>
              <w:rPr>
                <w:snapToGrid w:val="0"/>
              </w:rPr>
              <w:t>58</w:t>
            </w:r>
          </w:p>
        </w:tc>
        <w:tc>
          <w:tcPr>
            <w:tcW w:w="541" w:type="pct"/>
          </w:tcPr>
          <w:p w14:paraId="7D212B61"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7C8A12EF"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58054DD7" w14:textId="77777777" w:rsidR="00170274" w:rsidRPr="002B7606" w:rsidRDefault="00170274" w:rsidP="00170274">
            <w:pPr>
              <w:pStyle w:val="Tabletext1"/>
              <w:spacing w:before="0" w:afterLines="40" w:after="96"/>
              <w:rPr>
                <w:snapToGrid w:val="0"/>
              </w:rPr>
            </w:pPr>
            <w:r>
              <w:rPr>
                <w:snapToGrid w:val="0"/>
              </w:rPr>
              <w:t>Women with endometriosis</w:t>
            </w:r>
          </w:p>
        </w:tc>
        <w:tc>
          <w:tcPr>
            <w:tcW w:w="1748" w:type="pct"/>
          </w:tcPr>
          <w:p w14:paraId="5E88040D" w14:textId="77777777" w:rsidR="00170274" w:rsidRPr="00805E74" w:rsidRDefault="00170274" w:rsidP="00170274">
            <w:pPr>
              <w:pStyle w:val="Tabletext1"/>
              <w:spacing w:before="0" w:afterLines="40" w:after="96"/>
              <w:rPr>
                <w:b/>
              </w:rPr>
            </w:pPr>
            <w:r w:rsidRPr="00805E74">
              <w:rPr>
                <w:b/>
              </w:rPr>
              <w:t>Predicting pregnancy</w:t>
            </w:r>
          </w:p>
          <w:p w14:paraId="2310437C" w14:textId="77777777" w:rsidR="00170274" w:rsidRPr="002B7606" w:rsidRDefault="00170274" w:rsidP="00170274">
            <w:pPr>
              <w:pStyle w:val="Tabletext1"/>
              <w:spacing w:before="0" w:afterLines="40" w:after="96"/>
              <w:rPr>
                <w:snapToGrid w:val="0"/>
              </w:rPr>
            </w:pPr>
            <w:r>
              <w:t>Serum hormone values at baseline and follow-up, grouped by pregnancy status at follow-up</w:t>
            </w:r>
          </w:p>
        </w:tc>
      </w:tr>
      <w:tr w:rsidR="00170274" w:rsidRPr="002B7606" w14:paraId="2B76FB8A" w14:textId="77777777" w:rsidTr="009B1C7A">
        <w:tc>
          <w:tcPr>
            <w:tcW w:w="681" w:type="pct"/>
          </w:tcPr>
          <w:p w14:paraId="256BAFAD" w14:textId="77777777" w:rsidR="00170274" w:rsidRPr="002B7606" w:rsidRDefault="00170274" w:rsidP="00170274">
            <w:pPr>
              <w:pStyle w:val="Tabletext1"/>
              <w:spacing w:before="0" w:afterLines="40" w:after="96"/>
              <w:rPr>
                <w:snapToGrid w:val="0"/>
              </w:rPr>
            </w:pPr>
            <w:r w:rsidRPr="002B7606">
              <w:t>Anderson et al. (2013)</w:t>
            </w:r>
          </w:p>
        </w:tc>
        <w:tc>
          <w:tcPr>
            <w:tcW w:w="523" w:type="pct"/>
          </w:tcPr>
          <w:p w14:paraId="2F3F3652" w14:textId="77777777" w:rsidR="00170274" w:rsidRPr="002B7606" w:rsidRDefault="00170274" w:rsidP="00170274">
            <w:pPr>
              <w:pStyle w:val="Tabletext1"/>
              <w:spacing w:before="0" w:afterLines="40" w:after="96"/>
              <w:rPr>
                <w:snapToGrid w:val="0"/>
              </w:rPr>
            </w:pPr>
            <w:r>
              <w:rPr>
                <w:snapToGrid w:val="0"/>
              </w:rPr>
              <w:t>55</w:t>
            </w:r>
          </w:p>
        </w:tc>
        <w:tc>
          <w:tcPr>
            <w:tcW w:w="541" w:type="pct"/>
          </w:tcPr>
          <w:p w14:paraId="2713C3A7" w14:textId="77777777" w:rsidR="00170274" w:rsidRPr="002B7606" w:rsidRDefault="00170274" w:rsidP="00170274">
            <w:pPr>
              <w:pStyle w:val="Tabletext1"/>
              <w:spacing w:before="0" w:afterLines="40" w:after="96"/>
              <w:rPr>
                <w:snapToGrid w:val="0"/>
              </w:rPr>
            </w:pPr>
            <w:r>
              <w:rPr>
                <w:snapToGrid w:val="0"/>
              </w:rPr>
              <w:t>II</w:t>
            </w:r>
          </w:p>
        </w:tc>
        <w:tc>
          <w:tcPr>
            <w:tcW w:w="556" w:type="pct"/>
          </w:tcPr>
          <w:p w14:paraId="3C45ABAB" w14:textId="77777777" w:rsidR="00170274" w:rsidRPr="002B7606" w:rsidRDefault="00170274" w:rsidP="00170274">
            <w:pPr>
              <w:pStyle w:val="Tabletext1"/>
              <w:spacing w:before="0" w:afterLines="40" w:after="96"/>
              <w:rPr>
                <w:snapToGrid w:val="0"/>
              </w:rPr>
            </w:pPr>
            <w:r>
              <w:rPr>
                <w:snapToGrid w:val="0"/>
              </w:rPr>
              <w:t>Low</w:t>
            </w:r>
          </w:p>
        </w:tc>
        <w:tc>
          <w:tcPr>
            <w:tcW w:w="953" w:type="pct"/>
          </w:tcPr>
          <w:p w14:paraId="57D79C55" w14:textId="77777777" w:rsidR="00170274" w:rsidRPr="002B7606" w:rsidRDefault="00170274" w:rsidP="00170274">
            <w:pPr>
              <w:pStyle w:val="Tabletext1"/>
              <w:spacing w:before="0" w:afterLines="40" w:after="96"/>
              <w:rPr>
                <w:snapToGrid w:val="0"/>
              </w:rPr>
            </w:pPr>
            <w:r w:rsidRPr="00800CD7">
              <w:t>Women with early breast cancer</w:t>
            </w:r>
          </w:p>
        </w:tc>
        <w:tc>
          <w:tcPr>
            <w:tcW w:w="1748" w:type="pct"/>
          </w:tcPr>
          <w:p w14:paraId="05954139" w14:textId="77777777" w:rsidR="00170274" w:rsidRPr="00805E74" w:rsidRDefault="00170274" w:rsidP="00170274">
            <w:pPr>
              <w:pStyle w:val="Tabletext1"/>
              <w:spacing w:before="0" w:afterLines="40" w:after="96"/>
              <w:rPr>
                <w:b/>
              </w:rPr>
            </w:pPr>
            <w:r w:rsidRPr="00805E74">
              <w:rPr>
                <w:b/>
              </w:rPr>
              <w:t>Predicting ovarian function</w:t>
            </w:r>
          </w:p>
          <w:p w14:paraId="49F3E11A" w14:textId="77777777" w:rsidR="00170274" w:rsidRDefault="00170274" w:rsidP="00170274">
            <w:pPr>
              <w:pStyle w:val="Tabletext1"/>
              <w:spacing w:before="0" w:afterLines="40" w:after="96"/>
            </w:pPr>
            <w:r>
              <w:t>Baseline serum hormone values, grouped by menstrual status at follow-up</w:t>
            </w:r>
          </w:p>
          <w:p w14:paraId="2C0F8188" w14:textId="77777777" w:rsidR="00170274" w:rsidRDefault="00170274" w:rsidP="00170274">
            <w:pPr>
              <w:pStyle w:val="Tabletext1"/>
              <w:spacing w:before="0" w:afterLines="40" w:after="96"/>
            </w:pPr>
            <w:r>
              <w:t>Multivariate analysis predicting ovarian function</w:t>
            </w:r>
          </w:p>
          <w:p w14:paraId="69E90523" w14:textId="77777777" w:rsidR="00170274" w:rsidRPr="002B7606" w:rsidRDefault="00170274" w:rsidP="00170274">
            <w:pPr>
              <w:pStyle w:val="Tabletext1"/>
              <w:spacing w:before="0" w:afterLines="40" w:after="96"/>
              <w:rPr>
                <w:snapToGrid w:val="0"/>
              </w:rPr>
            </w:pPr>
            <w:r>
              <w:t>ROC curve</w:t>
            </w:r>
          </w:p>
        </w:tc>
      </w:tr>
      <w:tr w:rsidR="00170274" w:rsidRPr="002B7606" w14:paraId="781D0184" w14:textId="77777777" w:rsidTr="009B1C7A">
        <w:tc>
          <w:tcPr>
            <w:tcW w:w="681" w:type="pct"/>
          </w:tcPr>
          <w:p w14:paraId="0E9C9F39" w14:textId="77777777" w:rsidR="00170274" w:rsidRPr="002B7606" w:rsidRDefault="00170274" w:rsidP="00170274">
            <w:pPr>
              <w:pStyle w:val="Tabletext1"/>
              <w:spacing w:before="0" w:afterLines="40" w:after="96"/>
            </w:pPr>
            <w:r w:rsidRPr="002B7606">
              <w:t xml:space="preserve">D’avila et al. </w:t>
            </w:r>
            <w:r w:rsidRPr="002B7606">
              <w:lastRenderedPageBreak/>
              <w:t>(2015)</w:t>
            </w:r>
          </w:p>
        </w:tc>
        <w:tc>
          <w:tcPr>
            <w:tcW w:w="523" w:type="pct"/>
          </w:tcPr>
          <w:p w14:paraId="29950920" w14:textId="77777777" w:rsidR="00170274" w:rsidRPr="002B7606" w:rsidRDefault="00170274" w:rsidP="00170274">
            <w:pPr>
              <w:pStyle w:val="Tabletext1"/>
              <w:spacing w:before="0" w:afterLines="40" w:after="96"/>
              <w:rPr>
                <w:snapToGrid w:val="0"/>
              </w:rPr>
            </w:pPr>
            <w:r>
              <w:rPr>
                <w:snapToGrid w:val="0"/>
              </w:rPr>
              <w:lastRenderedPageBreak/>
              <w:t>47</w:t>
            </w:r>
          </w:p>
        </w:tc>
        <w:tc>
          <w:tcPr>
            <w:tcW w:w="541" w:type="pct"/>
          </w:tcPr>
          <w:p w14:paraId="558BEC09"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73EB062F" w14:textId="77777777" w:rsidR="00170274" w:rsidRPr="002B7606" w:rsidRDefault="00170274" w:rsidP="00170274">
            <w:pPr>
              <w:pStyle w:val="Tabletext1"/>
              <w:spacing w:before="0" w:afterLines="40" w:after="96"/>
              <w:rPr>
                <w:snapToGrid w:val="0"/>
              </w:rPr>
            </w:pPr>
            <w:r>
              <w:rPr>
                <w:snapToGrid w:val="0"/>
              </w:rPr>
              <w:t>Moderate</w:t>
            </w:r>
          </w:p>
        </w:tc>
        <w:tc>
          <w:tcPr>
            <w:tcW w:w="953" w:type="pct"/>
          </w:tcPr>
          <w:p w14:paraId="1A592F04" w14:textId="77777777" w:rsidR="00170274" w:rsidRPr="002B7606" w:rsidRDefault="00170274" w:rsidP="00170274">
            <w:pPr>
              <w:pStyle w:val="Tabletext1"/>
              <w:spacing w:before="0" w:afterLines="40" w:after="96"/>
              <w:rPr>
                <w:snapToGrid w:val="0"/>
              </w:rPr>
            </w:pPr>
            <w:r w:rsidRPr="00800CD7">
              <w:t>W</w:t>
            </w:r>
            <w:r>
              <w:t xml:space="preserve">omen with </w:t>
            </w:r>
            <w:r w:rsidRPr="00800CD7">
              <w:t xml:space="preserve">breast </w:t>
            </w:r>
            <w:r w:rsidRPr="00800CD7">
              <w:lastRenderedPageBreak/>
              <w:t>cancer</w:t>
            </w:r>
          </w:p>
        </w:tc>
        <w:tc>
          <w:tcPr>
            <w:tcW w:w="1748" w:type="pct"/>
          </w:tcPr>
          <w:p w14:paraId="6A6D5C54" w14:textId="77777777" w:rsidR="00170274" w:rsidRPr="00805E74" w:rsidRDefault="00170274" w:rsidP="00170274">
            <w:pPr>
              <w:pStyle w:val="Tabletext1"/>
              <w:spacing w:before="0" w:afterLines="40" w:after="96"/>
              <w:rPr>
                <w:b/>
              </w:rPr>
            </w:pPr>
            <w:r w:rsidRPr="00805E74">
              <w:rPr>
                <w:b/>
              </w:rPr>
              <w:lastRenderedPageBreak/>
              <w:t>Predicting ovarian function</w:t>
            </w:r>
          </w:p>
          <w:p w14:paraId="007C0558" w14:textId="77777777" w:rsidR="00170274" w:rsidRDefault="00170274" w:rsidP="00170274">
            <w:pPr>
              <w:pStyle w:val="Tabletext1"/>
              <w:spacing w:before="0" w:afterLines="40" w:after="96"/>
            </w:pPr>
            <w:r>
              <w:lastRenderedPageBreak/>
              <w:t>Baseline serum hormone values, grouped by menstrual status at follow-up</w:t>
            </w:r>
          </w:p>
          <w:p w14:paraId="30E5B9FE" w14:textId="77777777" w:rsidR="00170274" w:rsidRPr="002B7606" w:rsidRDefault="00170274" w:rsidP="00170274">
            <w:pPr>
              <w:pStyle w:val="Tabletext1"/>
              <w:spacing w:before="0" w:afterLines="40" w:after="96"/>
              <w:rPr>
                <w:snapToGrid w:val="0"/>
              </w:rPr>
            </w:pPr>
            <w:r>
              <w:rPr>
                <w:snapToGrid w:val="0"/>
              </w:rPr>
              <w:t>ROC curve</w:t>
            </w:r>
          </w:p>
        </w:tc>
      </w:tr>
      <w:tr w:rsidR="00170274" w:rsidRPr="002B7606" w14:paraId="3E9662C5" w14:textId="77777777" w:rsidTr="009B1C7A">
        <w:tc>
          <w:tcPr>
            <w:tcW w:w="681" w:type="pct"/>
          </w:tcPr>
          <w:p w14:paraId="0BD00BCC" w14:textId="77777777" w:rsidR="00170274" w:rsidRPr="002B7606" w:rsidRDefault="00170274" w:rsidP="00170274">
            <w:pPr>
              <w:pStyle w:val="Tabletext1"/>
              <w:spacing w:before="0" w:afterLines="40" w:after="96"/>
            </w:pPr>
            <w:r w:rsidRPr="002B7606">
              <w:lastRenderedPageBreak/>
              <w:t>Chai et al. (2014)</w:t>
            </w:r>
          </w:p>
        </w:tc>
        <w:tc>
          <w:tcPr>
            <w:tcW w:w="523" w:type="pct"/>
          </w:tcPr>
          <w:p w14:paraId="47613D18" w14:textId="77777777" w:rsidR="00170274" w:rsidRPr="002B7606" w:rsidRDefault="00170274" w:rsidP="00170274">
            <w:pPr>
              <w:pStyle w:val="Tabletext1"/>
              <w:spacing w:before="0" w:afterLines="40" w:after="96"/>
              <w:rPr>
                <w:snapToGrid w:val="0"/>
              </w:rPr>
            </w:pPr>
            <w:r>
              <w:rPr>
                <w:snapToGrid w:val="0"/>
              </w:rPr>
              <w:t>42</w:t>
            </w:r>
          </w:p>
        </w:tc>
        <w:tc>
          <w:tcPr>
            <w:tcW w:w="541" w:type="pct"/>
          </w:tcPr>
          <w:p w14:paraId="78718D18"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373EC795" w14:textId="77777777" w:rsidR="00170274" w:rsidRPr="002B7606" w:rsidRDefault="00170274" w:rsidP="00170274">
            <w:pPr>
              <w:pStyle w:val="Tabletext1"/>
              <w:spacing w:before="0" w:afterLines="40" w:after="96"/>
              <w:rPr>
                <w:snapToGrid w:val="0"/>
              </w:rPr>
            </w:pPr>
            <w:r>
              <w:rPr>
                <w:snapToGrid w:val="0"/>
              </w:rPr>
              <w:t>Low</w:t>
            </w:r>
          </w:p>
        </w:tc>
        <w:tc>
          <w:tcPr>
            <w:tcW w:w="953" w:type="pct"/>
          </w:tcPr>
          <w:p w14:paraId="7E7B6E53" w14:textId="77777777" w:rsidR="00170274" w:rsidRPr="002B7606" w:rsidRDefault="00170274" w:rsidP="00170274">
            <w:pPr>
              <w:pStyle w:val="Tabletext1"/>
              <w:spacing w:before="0" w:afterLines="40" w:after="96"/>
              <w:rPr>
                <w:snapToGrid w:val="0"/>
              </w:rPr>
            </w:pPr>
            <w:r w:rsidRPr="00800CD7">
              <w:t>Women with early breast cancer</w:t>
            </w:r>
          </w:p>
        </w:tc>
        <w:tc>
          <w:tcPr>
            <w:tcW w:w="1748" w:type="pct"/>
          </w:tcPr>
          <w:p w14:paraId="60446621" w14:textId="77777777" w:rsidR="00170274" w:rsidRPr="00805E74" w:rsidRDefault="00170274" w:rsidP="00170274">
            <w:pPr>
              <w:pStyle w:val="Tabletext1"/>
              <w:spacing w:before="0" w:afterLines="40" w:after="96"/>
              <w:rPr>
                <w:b/>
                <w:snapToGrid w:val="0"/>
              </w:rPr>
            </w:pPr>
            <w:r w:rsidRPr="00805E74">
              <w:rPr>
                <w:b/>
                <w:snapToGrid w:val="0"/>
              </w:rPr>
              <w:t>Predicting ovarian function</w:t>
            </w:r>
          </w:p>
          <w:p w14:paraId="3B0EE31E" w14:textId="77777777" w:rsidR="00170274" w:rsidRDefault="00170274" w:rsidP="00170274">
            <w:pPr>
              <w:pStyle w:val="Tabletext1"/>
              <w:spacing w:before="0" w:afterLines="40" w:after="96"/>
              <w:rPr>
                <w:snapToGrid w:val="0"/>
              </w:rPr>
            </w:pPr>
            <w:r>
              <w:rPr>
                <w:snapToGrid w:val="0"/>
              </w:rPr>
              <w:t>Sensitivity and specificity</w:t>
            </w:r>
          </w:p>
          <w:p w14:paraId="452BDBA7" w14:textId="77777777" w:rsidR="00170274" w:rsidRPr="002B7606" w:rsidRDefault="00170274" w:rsidP="00170274">
            <w:pPr>
              <w:pStyle w:val="Tabletext1"/>
              <w:spacing w:before="0" w:afterLines="40" w:after="96"/>
              <w:rPr>
                <w:snapToGrid w:val="0"/>
              </w:rPr>
            </w:pPr>
            <w:r>
              <w:rPr>
                <w:snapToGrid w:val="0"/>
              </w:rPr>
              <w:t>ROC curve</w:t>
            </w:r>
          </w:p>
        </w:tc>
      </w:tr>
      <w:tr w:rsidR="00170274" w:rsidRPr="002B7606" w14:paraId="0D3E0705" w14:textId="77777777" w:rsidTr="009B1C7A">
        <w:tc>
          <w:tcPr>
            <w:tcW w:w="681" w:type="pct"/>
          </w:tcPr>
          <w:p w14:paraId="2A57F5E3" w14:textId="77777777" w:rsidR="00170274" w:rsidRPr="002B7606" w:rsidRDefault="00170274" w:rsidP="00170274">
            <w:pPr>
              <w:pStyle w:val="Tabletext1"/>
              <w:spacing w:before="0" w:afterLines="40" w:after="96"/>
            </w:pPr>
            <w:r w:rsidRPr="002B7606">
              <w:t>Lee et al. (2011)</w:t>
            </w:r>
          </w:p>
        </w:tc>
        <w:tc>
          <w:tcPr>
            <w:tcW w:w="523" w:type="pct"/>
          </w:tcPr>
          <w:p w14:paraId="0B80C289" w14:textId="77777777" w:rsidR="00170274" w:rsidRPr="002B7606" w:rsidRDefault="00170274" w:rsidP="00170274">
            <w:pPr>
              <w:pStyle w:val="Tabletext1"/>
              <w:spacing w:before="0" w:afterLines="40" w:after="96"/>
              <w:rPr>
                <w:snapToGrid w:val="0"/>
              </w:rPr>
            </w:pPr>
            <w:r>
              <w:rPr>
                <w:snapToGrid w:val="0"/>
              </w:rPr>
              <w:t>41</w:t>
            </w:r>
          </w:p>
        </w:tc>
        <w:tc>
          <w:tcPr>
            <w:tcW w:w="541" w:type="pct"/>
          </w:tcPr>
          <w:p w14:paraId="65B3B6AB"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3A73A11A" w14:textId="77777777" w:rsidR="00170274" w:rsidRPr="002B7606" w:rsidRDefault="00170274" w:rsidP="00170274">
            <w:pPr>
              <w:pStyle w:val="Tabletext1"/>
              <w:spacing w:before="0" w:afterLines="40" w:after="96"/>
              <w:rPr>
                <w:snapToGrid w:val="0"/>
              </w:rPr>
            </w:pPr>
            <w:r w:rsidRPr="002B7606">
              <w:rPr>
                <w:snapToGrid w:val="0"/>
              </w:rPr>
              <w:t>Low</w:t>
            </w:r>
          </w:p>
        </w:tc>
        <w:tc>
          <w:tcPr>
            <w:tcW w:w="953" w:type="pct"/>
          </w:tcPr>
          <w:p w14:paraId="00F83A44" w14:textId="77777777" w:rsidR="00170274" w:rsidRPr="002B7606" w:rsidRDefault="00170274" w:rsidP="00170274">
            <w:pPr>
              <w:pStyle w:val="Tabletext1"/>
              <w:spacing w:before="0" w:afterLines="40" w:after="96"/>
              <w:rPr>
                <w:snapToGrid w:val="0"/>
              </w:rPr>
            </w:pPr>
            <w:r>
              <w:rPr>
                <w:snapToGrid w:val="0"/>
              </w:rPr>
              <w:t>Women with breast cancer</w:t>
            </w:r>
          </w:p>
        </w:tc>
        <w:tc>
          <w:tcPr>
            <w:tcW w:w="1748" w:type="pct"/>
          </w:tcPr>
          <w:p w14:paraId="4DDFF1AF" w14:textId="77777777" w:rsidR="00170274" w:rsidRPr="00805E74" w:rsidRDefault="00170274" w:rsidP="00170274">
            <w:pPr>
              <w:pStyle w:val="Tabletext1"/>
              <w:spacing w:before="0" w:afterLines="40" w:after="96"/>
              <w:rPr>
                <w:b/>
                <w:snapToGrid w:val="0"/>
              </w:rPr>
            </w:pPr>
            <w:r w:rsidRPr="00805E74">
              <w:rPr>
                <w:b/>
                <w:snapToGrid w:val="0"/>
              </w:rPr>
              <w:t>Predicting ovarian response</w:t>
            </w:r>
          </w:p>
          <w:p w14:paraId="23479C25" w14:textId="77777777" w:rsidR="00170274" w:rsidRPr="002B7606" w:rsidRDefault="00170274" w:rsidP="00170274">
            <w:pPr>
              <w:pStyle w:val="Tabletext1"/>
              <w:spacing w:before="0" w:afterLines="40" w:after="96"/>
              <w:rPr>
                <w:snapToGrid w:val="0"/>
              </w:rPr>
            </w:pPr>
            <w:r>
              <w:rPr>
                <w:snapToGrid w:val="0"/>
              </w:rPr>
              <w:t>Multivariate regression analysis</w:t>
            </w:r>
          </w:p>
        </w:tc>
      </w:tr>
      <w:tr w:rsidR="00170274" w:rsidRPr="002B7606" w14:paraId="5797C88C" w14:textId="77777777" w:rsidTr="009B1C7A">
        <w:tc>
          <w:tcPr>
            <w:tcW w:w="681" w:type="pct"/>
          </w:tcPr>
          <w:p w14:paraId="1F9FFA8C" w14:textId="77777777" w:rsidR="00170274" w:rsidRPr="002B7606" w:rsidRDefault="00170274" w:rsidP="00170274">
            <w:pPr>
              <w:pStyle w:val="Tabletext1"/>
              <w:spacing w:before="0" w:afterLines="40" w:after="96"/>
            </w:pPr>
            <w:r w:rsidRPr="002B7606">
              <w:t>Manno et al. (2016)</w:t>
            </w:r>
          </w:p>
        </w:tc>
        <w:tc>
          <w:tcPr>
            <w:tcW w:w="523" w:type="pct"/>
          </w:tcPr>
          <w:p w14:paraId="575B9B62" w14:textId="77777777" w:rsidR="00170274" w:rsidRPr="002B7606" w:rsidRDefault="00170274" w:rsidP="00170274">
            <w:pPr>
              <w:pStyle w:val="Tabletext1"/>
              <w:spacing w:before="0" w:afterLines="40" w:after="96"/>
              <w:rPr>
                <w:snapToGrid w:val="0"/>
              </w:rPr>
            </w:pPr>
            <w:r>
              <w:rPr>
                <w:snapToGrid w:val="0"/>
              </w:rPr>
              <w:t>38</w:t>
            </w:r>
          </w:p>
        </w:tc>
        <w:tc>
          <w:tcPr>
            <w:tcW w:w="541" w:type="pct"/>
          </w:tcPr>
          <w:p w14:paraId="7064E63A"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69E120ED"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7CB906A0" w14:textId="77777777" w:rsidR="00170274" w:rsidRPr="002B7606" w:rsidRDefault="00170274" w:rsidP="00170274">
            <w:pPr>
              <w:pStyle w:val="Tabletext1"/>
              <w:spacing w:before="0" w:afterLines="40" w:after="96"/>
              <w:rPr>
                <w:snapToGrid w:val="0"/>
              </w:rPr>
            </w:pPr>
            <w:r>
              <w:rPr>
                <w:snapToGrid w:val="0"/>
              </w:rPr>
              <w:t xml:space="preserve">Women with </w:t>
            </w:r>
            <w:r w:rsidRPr="00F52D5A">
              <w:t>breast cancer, HL, NHL, or other types of cancer</w:t>
            </w:r>
          </w:p>
        </w:tc>
        <w:tc>
          <w:tcPr>
            <w:tcW w:w="1748" w:type="pct"/>
          </w:tcPr>
          <w:p w14:paraId="614022DB" w14:textId="77777777" w:rsidR="00170274" w:rsidRDefault="00170274" w:rsidP="00170274">
            <w:pPr>
              <w:pStyle w:val="Tabletext1"/>
              <w:spacing w:before="0" w:afterLines="40" w:after="96"/>
              <w:rPr>
                <w:b/>
                <w:snapToGrid w:val="0"/>
              </w:rPr>
            </w:pPr>
            <w:r w:rsidRPr="00805E74">
              <w:rPr>
                <w:b/>
                <w:snapToGrid w:val="0"/>
              </w:rPr>
              <w:t>Predicting ovarian response</w:t>
            </w:r>
          </w:p>
          <w:p w14:paraId="748619C6" w14:textId="77777777" w:rsidR="00170274" w:rsidRPr="002B7606" w:rsidRDefault="00170274" w:rsidP="00170274">
            <w:pPr>
              <w:pStyle w:val="Tabletext1"/>
              <w:spacing w:before="0" w:afterLines="40" w:after="96"/>
              <w:rPr>
                <w:snapToGrid w:val="0"/>
              </w:rPr>
            </w:pPr>
            <w:r>
              <w:rPr>
                <w:snapToGrid w:val="0"/>
              </w:rPr>
              <w:t>C</w:t>
            </w:r>
            <w:r w:rsidRPr="0035537A">
              <w:rPr>
                <w:snapToGrid w:val="0"/>
              </w:rPr>
              <w:t>orrelation</w:t>
            </w:r>
            <w:r>
              <w:rPr>
                <w:snapToGrid w:val="0"/>
              </w:rPr>
              <w:t xml:space="preserve"> of hormone levels with oocytes retrieved</w:t>
            </w:r>
          </w:p>
        </w:tc>
      </w:tr>
      <w:tr w:rsidR="00170274" w:rsidRPr="002B7606" w14:paraId="651AA873" w14:textId="77777777" w:rsidTr="009B1C7A">
        <w:tc>
          <w:tcPr>
            <w:tcW w:w="681" w:type="pct"/>
          </w:tcPr>
          <w:p w14:paraId="74F59A5E" w14:textId="77777777" w:rsidR="00170274" w:rsidRPr="002B7606" w:rsidRDefault="00170274" w:rsidP="00170274">
            <w:pPr>
              <w:pStyle w:val="Tabletext1"/>
              <w:spacing w:before="0" w:afterLines="40" w:after="96"/>
            </w:pPr>
            <w:r w:rsidRPr="002B7606">
              <w:t>Ozaki et al. (2016)</w:t>
            </w:r>
          </w:p>
        </w:tc>
        <w:tc>
          <w:tcPr>
            <w:tcW w:w="523" w:type="pct"/>
          </w:tcPr>
          <w:p w14:paraId="0D2FFD7D" w14:textId="77777777" w:rsidR="00170274" w:rsidRPr="002B7606" w:rsidRDefault="00170274" w:rsidP="00170274">
            <w:pPr>
              <w:pStyle w:val="Tabletext1"/>
              <w:spacing w:before="0" w:afterLines="40" w:after="96"/>
              <w:rPr>
                <w:snapToGrid w:val="0"/>
              </w:rPr>
            </w:pPr>
            <w:r>
              <w:rPr>
                <w:snapToGrid w:val="0"/>
              </w:rPr>
              <w:t>35</w:t>
            </w:r>
          </w:p>
        </w:tc>
        <w:tc>
          <w:tcPr>
            <w:tcW w:w="541" w:type="pct"/>
          </w:tcPr>
          <w:p w14:paraId="051C6946"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2DFF5322"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37251BBD" w14:textId="77777777" w:rsidR="00170274" w:rsidRPr="002B7606" w:rsidRDefault="00170274" w:rsidP="00170274">
            <w:pPr>
              <w:pStyle w:val="Tabletext1"/>
              <w:spacing w:before="0" w:afterLines="40" w:after="96"/>
              <w:rPr>
                <w:snapToGrid w:val="0"/>
              </w:rPr>
            </w:pPr>
            <w:r>
              <w:rPr>
                <w:snapToGrid w:val="0"/>
              </w:rPr>
              <w:t>Women with endometriosis</w:t>
            </w:r>
          </w:p>
        </w:tc>
        <w:tc>
          <w:tcPr>
            <w:tcW w:w="1748" w:type="pct"/>
          </w:tcPr>
          <w:p w14:paraId="25A5FA14" w14:textId="77777777" w:rsidR="00170274" w:rsidRPr="00805E74" w:rsidRDefault="00170274" w:rsidP="00170274">
            <w:pPr>
              <w:pStyle w:val="Tabletext1"/>
              <w:spacing w:before="0" w:afterLines="40" w:after="96"/>
              <w:rPr>
                <w:b/>
                <w:snapToGrid w:val="0"/>
              </w:rPr>
            </w:pPr>
            <w:r w:rsidRPr="00805E74">
              <w:rPr>
                <w:b/>
                <w:snapToGrid w:val="0"/>
              </w:rPr>
              <w:t>Predicting pregnancy</w:t>
            </w:r>
          </w:p>
          <w:p w14:paraId="6B7791A0" w14:textId="77777777" w:rsidR="00170274" w:rsidRPr="002B7606" w:rsidRDefault="00170274" w:rsidP="00170274">
            <w:pPr>
              <w:pStyle w:val="Tabletext1"/>
              <w:spacing w:before="0" w:afterLines="40" w:after="96"/>
              <w:rPr>
                <w:snapToGrid w:val="0"/>
              </w:rPr>
            </w:pPr>
            <w:r>
              <w:rPr>
                <w:snapToGrid w:val="0"/>
              </w:rPr>
              <w:t>Association of post-surgery AMH with occurrence of spontaneous pregnancy</w:t>
            </w:r>
          </w:p>
        </w:tc>
      </w:tr>
      <w:tr w:rsidR="00170274" w:rsidRPr="002B7606" w14:paraId="5CC1B111" w14:textId="77777777" w:rsidTr="009B1C7A">
        <w:tc>
          <w:tcPr>
            <w:tcW w:w="681" w:type="pct"/>
          </w:tcPr>
          <w:p w14:paraId="4ABD3166" w14:textId="77777777" w:rsidR="00170274" w:rsidRPr="002B7606" w:rsidRDefault="00170274" w:rsidP="00170274">
            <w:pPr>
              <w:pStyle w:val="Tabletext1"/>
              <w:spacing w:before="0" w:afterLines="40" w:after="96"/>
            </w:pPr>
            <w:r w:rsidRPr="002B7606">
              <w:t>Lind et al. (2016)</w:t>
            </w:r>
          </w:p>
        </w:tc>
        <w:tc>
          <w:tcPr>
            <w:tcW w:w="523" w:type="pct"/>
          </w:tcPr>
          <w:p w14:paraId="571CE5ED" w14:textId="77777777" w:rsidR="00170274" w:rsidRPr="002B7606" w:rsidRDefault="00170274" w:rsidP="00170274">
            <w:pPr>
              <w:pStyle w:val="Tabletext1"/>
              <w:spacing w:before="0" w:afterLines="40" w:after="96"/>
              <w:rPr>
                <w:snapToGrid w:val="0"/>
              </w:rPr>
            </w:pPr>
            <w:r>
              <w:rPr>
                <w:snapToGrid w:val="0"/>
              </w:rPr>
              <w:t>34</w:t>
            </w:r>
          </w:p>
        </w:tc>
        <w:tc>
          <w:tcPr>
            <w:tcW w:w="541" w:type="pct"/>
          </w:tcPr>
          <w:p w14:paraId="0AADA711"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42EEF537"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6442281A" w14:textId="77777777" w:rsidR="00170274" w:rsidRPr="002B7606" w:rsidRDefault="00170274" w:rsidP="00170274">
            <w:pPr>
              <w:pStyle w:val="Tabletext1"/>
              <w:spacing w:before="0" w:afterLines="40" w:after="96"/>
              <w:rPr>
                <w:snapToGrid w:val="0"/>
              </w:rPr>
            </w:pPr>
            <w:r>
              <w:rPr>
                <w:snapToGrid w:val="0"/>
              </w:rPr>
              <w:t>Women with benign ovarian cysts</w:t>
            </w:r>
          </w:p>
        </w:tc>
        <w:tc>
          <w:tcPr>
            <w:tcW w:w="1748" w:type="pct"/>
          </w:tcPr>
          <w:p w14:paraId="59096794" w14:textId="77777777" w:rsidR="00170274" w:rsidRPr="00805E74" w:rsidRDefault="00170274" w:rsidP="00170274">
            <w:pPr>
              <w:pStyle w:val="Tabletext1"/>
              <w:spacing w:before="0" w:afterLines="40" w:after="96"/>
              <w:rPr>
                <w:b/>
                <w:snapToGrid w:val="0"/>
              </w:rPr>
            </w:pPr>
            <w:r w:rsidRPr="00805E74">
              <w:rPr>
                <w:b/>
                <w:snapToGrid w:val="0"/>
              </w:rPr>
              <w:t>Predicting pregnancy</w:t>
            </w:r>
          </w:p>
          <w:p w14:paraId="58D77573" w14:textId="77777777" w:rsidR="00170274" w:rsidRPr="002B7606" w:rsidRDefault="00170274" w:rsidP="00170274">
            <w:pPr>
              <w:pStyle w:val="Tabletext1"/>
              <w:spacing w:before="0" w:afterLines="40" w:after="96"/>
              <w:rPr>
                <w:snapToGrid w:val="0"/>
              </w:rPr>
            </w:pPr>
            <w:r>
              <w:rPr>
                <w:snapToGrid w:val="0"/>
              </w:rPr>
              <w:t>Association of post-surgery AMH with occurrence of pregnancy and live birth</w:t>
            </w:r>
          </w:p>
        </w:tc>
      </w:tr>
      <w:tr w:rsidR="00170274" w:rsidRPr="002B7606" w14:paraId="179FC6D0" w14:textId="77777777" w:rsidTr="009B1C7A">
        <w:tc>
          <w:tcPr>
            <w:tcW w:w="681" w:type="pct"/>
          </w:tcPr>
          <w:p w14:paraId="0DB2AF6C" w14:textId="77777777" w:rsidR="00170274" w:rsidRPr="002B7606" w:rsidRDefault="00170274" w:rsidP="00170274">
            <w:pPr>
              <w:pStyle w:val="Tabletext1"/>
              <w:spacing w:before="0" w:afterLines="40" w:after="96"/>
              <w:rPr>
                <w:snapToGrid w:val="0"/>
              </w:rPr>
            </w:pPr>
            <w:r w:rsidRPr="002B7606">
              <w:t>Anderson &amp; Cameron (2011)</w:t>
            </w:r>
          </w:p>
        </w:tc>
        <w:tc>
          <w:tcPr>
            <w:tcW w:w="523" w:type="pct"/>
          </w:tcPr>
          <w:p w14:paraId="1B007856" w14:textId="77777777" w:rsidR="00170274" w:rsidRPr="002B7606" w:rsidRDefault="00170274" w:rsidP="00170274">
            <w:pPr>
              <w:pStyle w:val="Tabletext1"/>
              <w:spacing w:before="0" w:afterLines="40" w:after="96"/>
              <w:rPr>
                <w:snapToGrid w:val="0"/>
              </w:rPr>
            </w:pPr>
            <w:r>
              <w:rPr>
                <w:snapToGrid w:val="0"/>
              </w:rPr>
              <w:t>33</w:t>
            </w:r>
          </w:p>
        </w:tc>
        <w:tc>
          <w:tcPr>
            <w:tcW w:w="541" w:type="pct"/>
          </w:tcPr>
          <w:p w14:paraId="7C153442" w14:textId="77777777" w:rsidR="00170274" w:rsidRPr="002B7606" w:rsidRDefault="00170274" w:rsidP="00170274">
            <w:pPr>
              <w:pStyle w:val="Tabletext1"/>
              <w:spacing w:before="0" w:afterLines="40" w:after="96"/>
              <w:rPr>
                <w:snapToGrid w:val="0"/>
              </w:rPr>
            </w:pPr>
            <w:r>
              <w:rPr>
                <w:snapToGrid w:val="0"/>
              </w:rPr>
              <w:t>II</w:t>
            </w:r>
          </w:p>
        </w:tc>
        <w:tc>
          <w:tcPr>
            <w:tcW w:w="556" w:type="pct"/>
          </w:tcPr>
          <w:p w14:paraId="5482D0F2" w14:textId="77777777" w:rsidR="00170274" w:rsidRPr="002B7606" w:rsidRDefault="00170274" w:rsidP="00170274">
            <w:pPr>
              <w:pStyle w:val="Tabletext1"/>
              <w:spacing w:before="0" w:afterLines="40" w:after="96"/>
              <w:rPr>
                <w:snapToGrid w:val="0"/>
              </w:rPr>
            </w:pPr>
            <w:r>
              <w:rPr>
                <w:snapToGrid w:val="0"/>
              </w:rPr>
              <w:t>Low</w:t>
            </w:r>
          </w:p>
        </w:tc>
        <w:tc>
          <w:tcPr>
            <w:tcW w:w="953" w:type="pct"/>
          </w:tcPr>
          <w:p w14:paraId="3996AF41" w14:textId="77777777" w:rsidR="00170274" w:rsidRPr="002B7606" w:rsidRDefault="00170274" w:rsidP="00170274">
            <w:pPr>
              <w:pStyle w:val="Tabletext1"/>
              <w:spacing w:before="0" w:afterLines="40" w:after="96"/>
              <w:rPr>
                <w:snapToGrid w:val="0"/>
              </w:rPr>
            </w:pPr>
            <w:r w:rsidRPr="00800CD7">
              <w:t>Women with early breast cancer</w:t>
            </w:r>
          </w:p>
        </w:tc>
        <w:tc>
          <w:tcPr>
            <w:tcW w:w="1748" w:type="pct"/>
          </w:tcPr>
          <w:p w14:paraId="64CE1432" w14:textId="77777777" w:rsidR="00170274" w:rsidRPr="00B77DCE" w:rsidRDefault="00170274" w:rsidP="00170274">
            <w:pPr>
              <w:pStyle w:val="Tabletext1"/>
              <w:spacing w:before="0" w:afterLines="40" w:after="96"/>
              <w:rPr>
                <w:b/>
              </w:rPr>
            </w:pPr>
            <w:r w:rsidRPr="00805E74">
              <w:rPr>
                <w:b/>
              </w:rPr>
              <w:t>Predicting ovarian function</w:t>
            </w:r>
          </w:p>
          <w:p w14:paraId="50E9BC39" w14:textId="77777777" w:rsidR="00170274" w:rsidRDefault="00170274" w:rsidP="00170274">
            <w:pPr>
              <w:pStyle w:val="Tabletext1"/>
              <w:spacing w:before="0" w:afterLines="40" w:after="96"/>
            </w:pPr>
            <w:r>
              <w:t>Baseline median serum hormone values, grouped by menstrual status at follow-up</w:t>
            </w:r>
          </w:p>
          <w:p w14:paraId="31E6AC6D" w14:textId="77777777" w:rsidR="00170274" w:rsidRDefault="00170274" w:rsidP="00170274">
            <w:pPr>
              <w:pStyle w:val="Tabletext1"/>
              <w:spacing w:before="0" w:afterLines="40" w:after="96"/>
            </w:pPr>
            <w:r>
              <w:t>Multivariate analysis</w:t>
            </w:r>
          </w:p>
          <w:p w14:paraId="7971A3A4" w14:textId="77777777" w:rsidR="00170274" w:rsidRPr="002B7606" w:rsidRDefault="00170274" w:rsidP="00170274">
            <w:pPr>
              <w:pStyle w:val="Tabletext1"/>
              <w:spacing w:before="0" w:afterLines="40" w:after="96"/>
              <w:rPr>
                <w:snapToGrid w:val="0"/>
              </w:rPr>
            </w:pPr>
            <w:r>
              <w:t>ROC curve</w:t>
            </w:r>
          </w:p>
        </w:tc>
      </w:tr>
      <w:tr w:rsidR="00170274" w:rsidRPr="002B7606" w14:paraId="5F0DD2C4" w14:textId="77777777" w:rsidTr="009B1C7A">
        <w:tc>
          <w:tcPr>
            <w:tcW w:w="681" w:type="pct"/>
          </w:tcPr>
          <w:p w14:paraId="679AD355" w14:textId="77777777" w:rsidR="00170274" w:rsidRPr="002B7606" w:rsidRDefault="00170274" w:rsidP="00170274">
            <w:pPr>
              <w:pStyle w:val="Tabletext1"/>
              <w:spacing w:before="0" w:afterLines="40" w:after="96"/>
            </w:pPr>
            <w:r w:rsidRPr="002B7606">
              <w:t>Henry et al. (2014)</w:t>
            </w:r>
          </w:p>
        </w:tc>
        <w:tc>
          <w:tcPr>
            <w:tcW w:w="523" w:type="pct"/>
          </w:tcPr>
          <w:p w14:paraId="39AA3F71" w14:textId="77777777" w:rsidR="00170274" w:rsidRPr="002B7606" w:rsidRDefault="00170274" w:rsidP="00170274">
            <w:pPr>
              <w:pStyle w:val="Tabletext1"/>
              <w:spacing w:before="0" w:afterLines="40" w:after="96"/>
              <w:rPr>
                <w:snapToGrid w:val="0"/>
              </w:rPr>
            </w:pPr>
            <w:r>
              <w:rPr>
                <w:snapToGrid w:val="0"/>
              </w:rPr>
              <w:t>27</w:t>
            </w:r>
          </w:p>
        </w:tc>
        <w:tc>
          <w:tcPr>
            <w:tcW w:w="541" w:type="pct"/>
          </w:tcPr>
          <w:p w14:paraId="5350AA8A" w14:textId="77777777" w:rsidR="00170274" w:rsidRPr="002B7606" w:rsidRDefault="00170274" w:rsidP="00170274">
            <w:pPr>
              <w:pStyle w:val="Tabletext1"/>
              <w:spacing w:before="0" w:afterLines="40" w:after="96"/>
              <w:rPr>
                <w:snapToGrid w:val="0"/>
              </w:rPr>
            </w:pPr>
            <w:r>
              <w:rPr>
                <w:snapToGrid w:val="0"/>
              </w:rPr>
              <w:t>II</w:t>
            </w:r>
          </w:p>
        </w:tc>
        <w:tc>
          <w:tcPr>
            <w:tcW w:w="556" w:type="pct"/>
          </w:tcPr>
          <w:p w14:paraId="58AB5DD4" w14:textId="77777777" w:rsidR="00170274" w:rsidRPr="002B7606" w:rsidRDefault="00170274" w:rsidP="00170274">
            <w:pPr>
              <w:pStyle w:val="Tabletext1"/>
              <w:spacing w:before="0" w:afterLines="40" w:after="96"/>
              <w:rPr>
                <w:snapToGrid w:val="0"/>
              </w:rPr>
            </w:pPr>
            <w:r w:rsidRPr="002B7606">
              <w:rPr>
                <w:snapToGrid w:val="0"/>
              </w:rPr>
              <w:t>Low</w:t>
            </w:r>
          </w:p>
        </w:tc>
        <w:tc>
          <w:tcPr>
            <w:tcW w:w="953" w:type="pct"/>
          </w:tcPr>
          <w:p w14:paraId="413B64DC" w14:textId="77777777" w:rsidR="00170274" w:rsidRPr="002B7606" w:rsidRDefault="00170274" w:rsidP="00170274">
            <w:pPr>
              <w:pStyle w:val="Tabletext1"/>
              <w:spacing w:before="0" w:afterLines="40" w:after="96"/>
              <w:rPr>
                <w:snapToGrid w:val="0"/>
              </w:rPr>
            </w:pPr>
            <w:r>
              <w:rPr>
                <w:snapToGrid w:val="0"/>
              </w:rPr>
              <w:t>Women with breast cancer</w:t>
            </w:r>
          </w:p>
        </w:tc>
        <w:tc>
          <w:tcPr>
            <w:tcW w:w="1748" w:type="pct"/>
          </w:tcPr>
          <w:p w14:paraId="1E991368" w14:textId="77777777" w:rsidR="00170274" w:rsidRPr="00805E74" w:rsidRDefault="00170274" w:rsidP="00170274">
            <w:pPr>
              <w:pStyle w:val="Tabletext1"/>
              <w:spacing w:before="0" w:afterLines="40" w:after="96"/>
              <w:rPr>
                <w:b/>
              </w:rPr>
            </w:pPr>
            <w:r w:rsidRPr="00805E74">
              <w:rPr>
                <w:b/>
              </w:rPr>
              <w:t>Predicting ovarian function</w:t>
            </w:r>
          </w:p>
          <w:p w14:paraId="718A3B32" w14:textId="77777777" w:rsidR="00170274" w:rsidRPr="00F94B57" w:rsidRDefault="00170274" w:rsidP="00170274">
            <w:pPr>
              <w:pStyle w:val="Tabletext1"/>
              <w:spacing w:before="0" w:afterLines="40" w:after="96"/>
            </w:pPr>
            <w:r>
              <w:t>Multivariate analysis, predicting ovarian function</w:t>
            </w:r>
          </w:p>
        </w:tc>
      </w:tr>
      <w:tr w:rsidR="00170274" w:rsidRPr="002B7606" w14:paraId="14EFB251" w14:textId="77777777" w:rsidTr="009B1C7A">
        <w:tc>
          <w:tcPr>
            <w:tcW w:w="681" w:type="pct"/>
          </w:tcPr>
          <w:p w14:paraId="305B8EBB" w14:textId="77777777" w:rsidR="00170274" w:rsidRPr="002B7606" w:rsidRDefault="00170274" w:rsidP="00170274">
            <w:pPr>
              <w:pStyle w:val="Tabletext1"/>
              <w:spacing w:before="0" w:afterLines="40" w:after="96"/>
            </w:pPr>
            <w:r w:rsidRPr="002B7606">
              <w:t>Takae et al. (2015)</w:t>
            </w:r>
          </w:p>
        </w:tc>
        <w:tc>
          <w:tcPr>
            <w:tcW w:w="523" w:type="pct"/>
          </w:tcPr>
          <w:p w14:paraId="437F7A7E" w14:textId="77777777" w:rsidR="00170274" w:rsidRPr="002B7606" w:rsidRDefault="00170274" w:rsidP="00170274">
            <w:pPr>
              <w:pStyle w:val="Tabletext1"/>
              <w:spacing w:before="0" w:afterLines="40" w:after="96"/>
              <w:rPr>
                <w:snapToGrid w:val="0"/>
              </w:rPr>
            </w:pPr>
            <w:r>
              <w:rPr>
                <w:snapToGrid w:val="0"/>
              </w:rPr>
              <w:t>27</w:t>
            </w:r>
          </w:p>
        </w:tc>
        <w:tc>
          <w:tcPr>
            <w:tcW w:w="541" w:type="pct"/>
          </w:tcPr>
          <w:p w14:paraId="0C8B1675"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4EE94272"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65A6F53D" w14:textId="77777777" w:rsidR="00170274" w:rsidRPr="001C7334" w:rsidRDefault="00170274" w:rsidP="00170274">
            <w:pPr>
              <w:pStyle w:val="Tabletext1"/>
              <w:spacing w:before="0" w:afterLines="40" w:after="96"/>
              <w:rPr>
                <w:snapToGrid w:val="0"/>
              </w:rPr>
            </w:pPr>
            <w:r w:rsidRPr="001C7334">
              <w:rPr>
                <w:snapToGrid w:val="0"/>
              </w:rPr>
              <w:t>Women with breast cancer</w:t>
            </w:r>
          </w:p>
        </w:tc>
        <w:tc>
          <w:tcPr>
            <w:tcW w:w="1748" w:type="pct"/>
          </w:tcPr>
          <w:p w14:paraId="511B1F98" w14:textId="77777777" w:rsidR="00170274" w:rsidRPr="001C7334" w:rsidRDefault="00170274" w:rsidP="00170274">
            <w:pPr>
              <w:pStyle w:val="Tabletext1"/>
              <w:spacing w:before="0" w:afterLines="40" w:after="96"/>
              <w:rPr>
                <w:b/>
                <w:snapToGrid w:val="0"/>
              </w:rPr>
            </w:pPr>
            <w:r w:rsidRPr="001C7334">
              <w:rPr>
                <w:b/>
                <w:snapToGrid w:val="0"/>
              </w:rPr>
              <w:t>Predicting ovarian response</w:t>
            </w:r>
          </w:p>
          <w:p w14:paraId="1897DC6B" w14:textId="77777777" w:rsidR="00170274" w:rsidRPr="001C7334" w:rsidRDefault="00170274" w:rsidP="00170274">
            <w:pPr>
              <w:pStyle w:val="Tabletext1"/>
              <w:spacing w:before="0" w:afterLines="40" w:after="96"/>
              <w:rPr>
                <w:snapToGrid w:val="0"/>
              </w:rPr>
            </w:pPr>
            <w:r>
              <w:rPr>
                <w:snapToGrid w:val="0"/>
              </w:rPr>
              <w:t>C</w:t>
            </w:r>
            <w:r w:rsidRPr="001C7334">
              <w:rPr>
                <w:snapToGrid w:val="0"/>
              </w:rPr>
              <w:t>orrelation of hormon</w:t>
            </w:r>
            <w:r>
              <w:rPr>
                <w:snapToGrid w:val="0"/>
              </w:rPr>
              <w:t>e levels with oocytes retrieved</w:t>
            </w:r>
          </w:p>
        </w:tc>
      </w:tr>
      <w:tr w:rsidR="00170274" w:rsidRPr="00183E4D" w14:paraId="45031F82" w14:textId="77777777" w:rsidTr="009B1C7A">
        <w:tc>
          <w:tcPr>
            <w:tcW w:w="681" w:type="pct"/>
          </w:tcPr>
          <w:p w14:paraId="4A987ECE" w14:textId="77777777" w:rsidR="00170274" w:rsidRPr="002B7606" w:rsidRDefault="00170274" w:rsidP="00170274">
            <w:pPr>
              <w:pStyle w:val="Tabletext1"/>
              <w:spacing w:before="0" w:afterLines="40" w:after="96"/>
            </w:pPr>
            <w:r w:rsidRPr="002B7606">
              <w:t>Yu et al. (2010)</w:t>
            </w:r>
          </w:p>
        </w:tc>
        <w:tc>
          <w:tcPr>
            <w:tcW w:w="523" w:type="pct"/>
          </w:tcPr>
          <w:p w14:paraId="57457336" w14:textId="77777777" w:rsidR="00170274" w:rsidRPr="002B7606" w:rsidRDefault="00170274" w:rsidP="00170274">
            <w:pPr>
              <w:pStyle w:val="Tabletext1"/>
              <w:spacing w:before="0" w:afterLines="40" w:after="96"/>
              <w:rPr>
                <w:snapToGrid w:val="0"/>
              </w:rPr>
            </w:pPr>
            <w:r>
              <w:rPr>
                <w:snapToGrid w:val="0"/>
              </w:rPr>
              <w:t>26</w:t>
            </w:r>
          </w:p>
        </w:tc>
        <w:tc>
          <w:tcPr>
            <w:tcW w:w="541" w:type="pct"/>
          </w:tcPr>
          <w:p w14:paraId="1E61B84F"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25E87270"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617AEDF4" w14:textId="77777777" w:rsidR="00170274" w:rsidRPr="002B7606" w:rsidRDefault="00170274" w:rsidP="00170274">
            <w:pPr>
              <w:pStyle w:val="Tabletext1"/>
              <w:spacing w:before="0" w:afterLines="40" w:after="96"/>
              <w:rPr>
                <w:snapToGrid w:val="0"/>
              </w:rPr>
            </w:pPr>
            <w:r>
              <w:rPr>
                <w:snapToGrid w:val="0"/>
              </w:rPr>
              <w:t>Women with early breast cancer</w:t>
            </w:r>
          </w:p>
        </w:tc>
        <w:tc>
          <w:tcPr>
            <w:tcW w:w="1748" w:type="pct"/>
          </w:tcPr>
          <w:p w14:paraId="44079D7B" w14:textId="77777777" w:rsidR="00170274" w:rsidRPr="00805E74" w:rsidRDefault="00170274" w:rsidP="00170274">
            <w:pPr>
              <w:pStyle w:val="Tabletext1"/>
              <w:spacing w:before="0" w:afterLines="40" w:after="96"/>
              <w:rPr>
                <w:b/>
              </w:rPr>
            </w:pPr>
            <w:r w:rsidRPr="00805E74">
              <w:rPr>
                <w:b/>
              </w:rPr>
              <w:t>Predicting ovarian function</w:t>
            </w:r>
          </w:p>
          <w:p w14:paraId="73314A7A" w14:textId="77777777" w:rsidR="00170274" w:rsidRPr="004C1D21" w:rsidRDefault="00170274" w:rsidP="00170274">
            <w:pPr>
              <w:pStyle w:val="Tabletext1"/>
              <w:spacing w:before="0" w:afterLines="40" w:after="96"/>
            </w:pPr>
            <w:r>
              <w:t>Baseline serum hormone values, grouped by menstrual status at follow-up</w:t>
            </w:r>
          </w:p>
        </w:tc>
      </w:tr>
      <w:tr w:rsidR="00170274" w:rsidRPr="002B7606" w14:paraId="062D5E2A" w14:textId="77777777" w:rsidTr="009B1C7A">
        <w:tc>
          <w:tcPr>
            <w:tcW w:w="681" w:type="pct"/>
          </w:tcPr>
          <w:p w14:paraId="23DC9B5D" w14:textId="77777777" w:rsidR="00170274" w:rsidRPr="002B7606" w:rsidRDefault="00170274" w:rsidP="00170274">
            <w:pPr>
              <w:pStyle w:val="Tabletext1"/>
              <w:spacing w:before="0" w:afterLines="40" w:after="96"/>
              <w:rPr>
                <w:snapToGrid w:val="0"/>
              </w:rPr>
            </w:pPr>
            <w:r w:rsidRPr="002B7606">
              <w:t>Anders et al. (2008)</w:t>
            </w:r>
          </w:p>
        </w:tc>
        <w:tc>
          <w:tcPr>
            <w:tcW w:w="523" w:type="pct"/>
          </w:tcPr>
          <w:p w14:paraId="61411028" w14:textId="77777777" w:rsidR="00170274" w:rsidRPr="002B7606" w:rsidRDefault="00170274" w:rsidP="00170274">
            <w:pPr>
              <w:pStyle w:val="Tabletext1"/>
              <w:spacing w:before="0" w:afterLines="40" w:after="96"/>
              <w:rPr>
                <w:snapToGrid w:val="0"/>
              </w:rPr>
            </w:pPr>
            <w:r w:rsidRPr="002B7606">
              <w:rPr>
                <w:snapToGrid w:val="0"/>
              </w:rPr>
              <w:t>22</w:t>
            </w:r>
          </w:p>
        </w:tc>
        <w:tc>
          <w:tcPr>
            <w:tcW w:w="541" w:type="pct"/>
          </w:tcPr>
          <w:p w14:paraId="1815B26A"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136A44DB" w14:textId="77777777" w:rsidR="00170274" w:rsidRPr="002B7606" w:rsidRDefault="00170274" w:rsidP="00170274">
            <w:pPr>
              <w:pStyle w:val="Tabletext1"/>
              <w:spacing w:before="0" w:afterLines="40" w:after="96"/>
              <w:rPr>
                <w:snapToGrid w:val="0"/>
              </w:rPr>
            </w:pPr>
            <w:r>
              <w:rPr>
                <w:snapToGrid w:val="0"/>
              </w:rPr>
              <w:t>Moderate</w:t>
            </w:r>
          </w:p>
        </w:tc>
        <w:tc>
          <w:tcPr>
            <w:tcW w:w="953" w:type="pct"/>
          </w:tcPr>
          <w:p w14:paraId="6EE04FCF" w14:textId="77777777" w:rsidR="00170274" w:rsidRPr="002B7606" w:rsidRDefault="00170274" w:rsidP="00170274">
            <w:pPr>
              <w:pStyle w:val="Tabletext1"/>
              <w:spacing w:before="0" w:afterLines="40" w:after="96"/>
              <w:rPr>
                <w:snapToGrid w:val="0"/>
              </w:rPr>
            </w:pPr>
            <w:r w:rsidRPr="00800CD7">
              <w:t>Women with early breast cancer</w:t>
            </w:r>
          </w:p>
        </w:tc>
        <w:tc>
          <w:tcPr>
            <w:tcW w:w="1748" w:type="pct"/>
          </w:tcPr>
          <w:p w14:paraId="2E62B8A1" w14:textId="77777777" w:rsidR="00170274" w:rsidRPr="00B7183E" w:rsidRDefault="00170274" w:rsidP="00170274">
            <w:pPr>
              <w:pStyle w:val="Tabletext1"/>
              <w:spacing w:before="0" w:afterLines="40" w:after="96"/>
              <w:rPr>
                <w:b/>
              </w:rPr>
            </w:pPr>
            <w:r w:rsidRPr="00B7183E">
              <w:rPr>
                <w:b/>
              </w:rPr>
              <w:t>Predicting ovarian function</w:t>
            </w:r>
          </w:p>
          <w:p w14:paraId="1C51B8DB" w14:textId="77777777" w:rsidR="00170274" w:rsidRPr="00DD4131" w:rsidRDefault="00170274" w:rsidP="00170274">
            <w:pPr>
              <w:pStyle w:val="Tabletext1"/>
              <w:spacing w:before="0" w:afterLines="40" w:after="96"/>
            </w:pPr>
            <w:r>
              <w:t>Baseline median serum hormone values, grouped by menstrual status at follow-up</w:t>
            </w:r>
          </w:p>
        </w:tc>
      </w:tr>
      <w:tr w:rsidR="00170274" w:rsidRPr="002B7606" w14:paraId="73A4560D" w14:textId="77777777" w:rsidTr="009B1C7A">
        <w:tc>
          <w:tcPr>
            <w:tcW w:w="681" w:type="pct"/>
          </w:tcPr>
          <w:p w14:paraId="15821201" w14:textId="77777777" w:rsidR="00170274" w:rsidRPr="002B7606" w:rsidRDefault="00170274" w:rsidP="00170274">
            <w:pPr>
              <w:pStyle w:val="Tabletext1"/>
              <w:spacing w:before="0" w:afterLines="40" w:after="96"/>
            </w:pPr>
            <w:r w:rsidRPr="002B7606">
              <w:t>Pup et al. (2014)</w:t>
            </w:r>
          </w:p>
        </w:tc>
        <w:tc>
          <w:tcPr>
            <w:tcW w:w="523" w:type="pct"/>
          </w:tcPr>
          <w:p w14:paraId="39F9724D" w14:textId="77777777" w:rsidR="00170274" w:rsidRPr="002B7606" w:rsidRDefault="00170274" w:rsidP="00170274">
            <w:pPr>
              <w:pStyle w:val="Tabletext1"/>
              <w:spacing w:before="0" w:afterLines="40" w:after="96"/>
              <w:rPr>
                <w:snapToGrid w:val="0"/>
              </w:rPr>
            </w:pPr>
            <w:r>
              <w:rPr>
                <w:snapToGrid w:val="0"/>
              </w:rPr>
              <w:t>12</w:t>
            </w:r>
          </w:p>
        </w:tc>
        <w:tc>
          <w:tcPr>
            <w:tcW w:w="541" w:type="pct"/>
          </w:tcPr>
          <w:p w14:paraId="31A2C7D2" w14:textId="77777777" w:rsidR="00170274" w:rsidRPr="002B7606" w:rsidRDefault="00170274" w:rsidP="00170274">
            <w:pPr>
              <w:pStyle w:val="Tabletext1"/>
              <w:spacing w:before="0" w:afterLines="40" w:after="96"/>
              <w:rPr>
                <w:snapToGrid w:val="0"/>
              </w:rPr>
            </w:pPr>
            <w:r>
              <w:rPr>
                <w:snapToGrid w:val="0"/>
              </w:rPr>
              <w:t>IV</w:t>
            </w:r>
          </w:p>
        </w:tc>
        <w:tc>
          <w:tcPr>
            <w:tcW w:w="556" w:type="pct"/>
          </w:tcPr>
          <w:p w14:paraId="4CD88094" w14:textId="77777777" w:rsidR="00170274" w:rsidRPr="002B7606" w:rsidRDefault="00170274" w:rsidP="00170274">
            <w:pPr>
              <w:pStyle w:val="Tabletext1"/>
              <w:spacing w:before="0" w:afterLines="40" w:after="96"/>
              <w:rPr>
                <w:snapToGrid w:val="0"/>
              </w:rPr>
            </w:pPr>
            <w:r w:rsidRPr="002B7606">
              <w:rPr>
                <w:snapToGrid w:val="0"/>
              </w:rPr>
              <w:t>Moderate</w:t>
            </w:r>
          </w:p>
        </w:tc>
        <w:tc>
          <w:tcPr>
            <w:tcW w:w="953" w:type="pct"/>
          </w:tcPr>
          <w:p w14:paraId="28C99DEF" w14:textId="77777777" w:rsidR="00170274" w:rsidRPr="002B7606" w:rsidRDefault="00170274" w:rsidP="00170274">
            <w:pPr>
              <w:pStyle w:val="Tabletext1"/>
              <w:spacing w:before="0" w:afterLines="40" w:after="96"/>
              <w:rPr>
                <w:snapToGrid w:val="0"/>
              </w:rPr>
            </w:pPr>
            <w:r>
              <w:rPr>
                <w:snapToGrid w:val="0"/>
              </w:rPr>
              <w:t>Women with lymphoma undergoing HSCT</w:t>
            </w:r>
          </w:p>
        </w:tc>
        <w:tc>
          <w:tcPr>
            <w:tcW w:w="1748" w:type="pct"/>
          </w:tcPr>
          <w:p w14:paraId="59BCB071" w14:textId="77777777" w:rsidR="00170274" w:rsidRPr="00805E74" w:rsidRDefault="00170274" w:rsidP="00170274">
            <w:pPr>
              <w:pStyle w:val="Tabletext1"/>
              <w:spacing w:before="0" w:afterLines="40" w:after="96"/>
              <w:rPr>
                <w:b/>
                <w:snapToGrid w:val="0"/>
              </w:rPr>
            </w:pPr>
            <w:r w:rsidRPr="00805E74">
              <w:rPr>
                <w:b/>
                <w:snapToGrid w:val="0"/>
              </w:rPr>
              <w:t>Predicting pregnancy</w:t>
            </w:r>
          </w:p>
          <w:p w14:paraId="36C9B7FE" w14:textId="77777777" w:rsidR="00170274" w:rsidRPr="002B7606" w:rsidRDefault="00170274" w:rsidP="00170274">
            <w:pPr>
              <w:pStyle w:val="Tabletext1"/>
              <w:spacing w:before="0" w:afterLines="40" w:after="96"/>
              <w:rPr>
                <w:snapToGrid w:val="0"/>
              </w:rPr>
            </w:pPr>
            <w:r>
              <w:rPr>
                <w:snapToGrid w:val="0"/>
              </w:rPr>
              <w:t>Association of pre-treatment AMH with occurrence of pregnancy</w:t>
            </w:r>
          </w:p>
        </w:tc>
      </w:tr>
    </w:tbl>
    <w:p w14:paraId="02861535" w14:textId="2A7A6D3C" w:rsidR="00170274" w:rsidRDefault="00170274" w:rsidP="00170274">
      <w:pPr>
        <w:widowControl w:val="0"/>
        <w:spacing w:after="0" w:line="240" w:lineRule="auto"/>
        <w:jc w:val="both"/>
        <w:rPr>
          <w:rStyle w:val="TablenotesChar0"/>
        </w:rPr>
      </w:pPr>
      <w:r>
        <w:rPr>
          <w:rStyle w:val="TablenotesChar0"/>
        </w:rPr>
        <w:t>AFC = antral follicle count; AMH = anti-Mϋllerian hormone; CRA=chemotherapy-related amenorrhea; E2 = estradiol; FSH = follicle</w:t>
      </w:r>
      <w:r w:rsidR="00DE6DD5">
        <w:rPr>
          <w:rStyle w:val="TablenotesChar0"/>
        </w:rPr>
        <w:t>-</w:t>
      </w:r>
      <w:r>
        <w:rPr>
          <w:rStyle w:val="TablenotesChar0"/>
        </w:rPr>
        <w:t>stimulating hormone; HL = Hodgkin’s lymphoma; HR = hazard ratio; NHL = non-Hodgkin’s lymphoma; HSCT = haematopoietic stem cell transplant; ROC = receiver operator characteristic</w:t>
      </w:r>
    </w:p>
    <w:p w14:paraId="6CE835B1" w14:textId="77777777" w:rsidR="00170274" w:rsidRDefault="00170274" w:rsidP="00170274">
      <w:pPr>
        <w:widowControl w:val="0"/>
        <w:spacing w:after="0" w:line="240" w:lineRule="auto"/>
        <w:jc w:val="both"/>
        <w:rPr>
          <w:rStyle w:val="TablenotesChar0"/>
        </w:rPr>
      </w:pPr>
      <w:r>
        <w:rPr>
          <w:rStyle w:val="TablenotesChar0"/>
        </w:rPr>
        <w:t>I = systematic review of level II studies;</w:t>
      </w:r>
    </w:p>
    <w:p w14:paraId="2360C449" w14:textId="0B2C1F45" w:rsidR="00170274" w:rsidRDefault="00170274" w:rsidP="00170274">
      <w:pPr>
        <w:widowControl w:val="0"/>
        <w:spacing w:after="0" w:line="240" w:lineRule="auto"/>
        <w:jc w:val="both"/>
        <w:rPr>
          <w:rStyle w:val="TablenotesChar0"/>
        </w:rPr>
      </w:pPr>
      <w:r>
        <w:rPr>
          <w:rStyle w:val="TablenotesChar0"/>
        </w:rPr>
        <w:t>II</w:t>
      </w:r>
      <w:r w:rsidR="009C25E2">
        <w:rPr>
          <w:rStyle w:val="TablenotesChar0"/>
        </w:rPr>
        <w:t xml:space="preserve"> </w:t>
      </w:r>
      <w:r>
        <w:rPr>
          <w:rStyle w:val="TablenotesChar0"/>
        </w:rPr>
        <w:t>= a prospective cohort study</w:t>
      </w:r>
    </w:p>
    <w:p w14:paraId="5256EE2C" w14:textId="77777777" w:rsidR="00170274" w:rsidRDefault="00170274" w:rsidP="00170274">
      <w:pPr>
        <w:widowControl w:val="0"/>
        <w:spacing w:after="0" w:line="240" w:lineRule="auto"/>
        <w:jc w:val="both"/>
        <w:rPr>
          <w:rStyle w:val="TablenotesChar0"/>
        </w:rPr>
      </w:pPr>
      <w:r>
        <w:rPr>
          <w:rStyle w:val="TablenotesChar0"/>
        </w:rPr>
        <w:t>III-1 = all or none</w:t>
      </w:r>
    </w:p>
    <w:p w14:paraId="6BFBFD07" w14:textId="57018C14" w:rsidR="00170274" w:rsidRDefault="00170274" w:rsidP="00170274">
      <w:pPr>
        <w:widowControl w:val="0"/>
        <w:spacing w:after="0" w:line="240" w:lineRule="auto"/>
        <w:jc w:val="both"/>
        <w:rPr>
          <w:rStyle w:val="TablenotesChar0"/>
        </w:rPr>
      </w:pPr>
      <w:r>
        <w:rPr>
          <w:rStyle w:val="TablenotesChar0"/>
        </w:rPr>
        <w:t xml:space="preserve">III-2 = analysis of prognostic factors </w:t>
      </w:r>
      <w:r w:rsidR="00415491">
        <w:rPr>
          <w:rStyle w:val="TablenotesChar0"/>
        </w:rPr>
        <w:t>among</w:t>
      </w:r>
      <w:r>
        <w:rPr>
          <w:rStyle w:val="TablenotesChar0"/>
        </w:rPr>
        <w:t xml:space="preserve"> persons in a single arm of a randomised controlled trial</w:t>
      </w:r>
    </w:p>
    <w:p w14:paraId="3D26D6BA" w14:textId="77777777" w:rsidR="00170274" w:rsidRDefault="00170274" w:rsidP="00170274">
      <w:pPr>
        <w:widowControl w:val="0"/>
        <w:spacing w:after="0" w:line="240" w:lineRule="auto"/>
        <w:jc w:val="both"/>
        <w:rPr>
          <w:rStyle w:val="TablenotesChar0"/>
        </w:rPr>
      </w:pPr>
      <w:r>
        <w:rPr>
          <w:rStyle w:val="TablenotesChar0"/>
        </w:rPr>
        <w:t>III-3 = a retrospective cohort study</w:t>
      </w:r>
    </w:p>
    <w:p w14:paraId="160867AD" w14:textId="77777777" w:rsidR="00170274" w:rsidRDefault="00170274" w:rsidP="00170274">
      <w:pPr>
        <w:widowControl w:val="0"/>
        <w:spacing w:after="120" w:line="240" w:lineRule="auto"/>
        <w:jc w:val="both"/>
        <w:rPr>
          <w:rStyle w:val="TablenotesChar0"/>
        </w:rPr>
      </w:pPr>
      <w:r>
        <w:rPr>
          <w:rStyle w:val="TablenotesChar0"/>
        </w:rPr>
        <w:t>IV = case series, or cohort study of persons at different stages of disease</w:t>
      </w:r>
    </w:p>
    <w:p w14:paraId="1EBE49DF" w14:textId="544E0EB4" w:rsidR="009B1C7A" w:rsidRPr="009B1C7A" w:rsidRDefault="007242B9" w:rsidP="009B1C7A">
      <w:pPr>
        <w:jc w:val="both"/>
      </w:pPr>
      <w:r>
        <w:lastRenderedPageBreak/>
        <w:t xml:space="preserve">Because evidence </w:t>
      </w:r>
      <w:r w:rsidR="005C222E">
        <w:t>for the incremental value of AMH</w:t>
      </w:r>
      <w:r>
        <w:t xml:space="preserve"> </w:t>
      </w:r>
      <w:r w:rsidR="005C222E">
        <w:t>as an addition to standard testing to predict</w:t>
      </w:r>
      <w:r>
        <w:t xml:space="preserve"> ovarian function is lacking in most studies, it was deemed inappropriate to </w:t>
      </w:r>
      <w:r w:rsidR="005C222E">
        <w:t>assign these studies a</w:t>
      </w:r>
      <w:r>
        <w:t xml:space="preserve"> level II </w:t>
      </w:r>
      <w:r w:rsidR="005C222E">
        <w:t>grading as per</w:t>
      </w:r>
      <w:r>
        <w:t xml:space="preserve"> </w:t>
      </w:r>
      <w:r w:rsidR="005C222E">
        <w:t xml:space="preserve">the </w:t>
      </w:r>
      <w:r>
        <w:t xml:space="preserve">NHMRC prognostic </w:t>
      </w:r>
      <w:r w:rsidR="005C222E">
        <w:t>levels of evidence</w:t>
      </w:r>
      <w:r>
        <w:t xml:space="preserve">. </w:t>
      </w:r>
      <w:r w:rsidR="007B7545">
        <w:t>Instead, these studies were graded as</w:t>
      </w:r>
      <w:r w:rsidR="005C222E">
        <w:t xml:space="preserve"> </w:t>
      </w:r>
      <w:r>
        <w:t>level IV</w:t>
      </w:r>
      <w:r w:rsidR="007B7545">
        <w:t xml:space="preserve">, </w:t>
      </w:r>
      <w:r w:rsidR="005C222E">
        <w:t>given</w:t>
      </w:r>
      <w:r>
        <w:t xml:space="preserve"> the</w:t>
      </w:r>
      <w:r w:rsidR="007B7545">
        <w:t>ir</w:t>
      </w:r>
      <w:r>
        <w:t xml:space="preserve"> incremental prognostic value could not be determined.</w:t>
      </w:r>
      <w:bookmarkStart w:id="298" w:name="_Ref499712464"/>
      <w:bookmarkStart w:id="299" w:name="_Toc502833057"/>
      <w:r w:rsidR="009B1C7A">
        <w:br w:type="page"/>
      </w:r>
    </w:p>
    <w:p w14:paraId="42E1173E" w14:textId="6D102091" w:rsidR="00170274" w:rsidRPr="00183E4D" w:rsidRDefault="00170274" w:rsidP="00170274">
      <w:pPr>
        <w:pStyle w:val="Caption"/>
        <w:ind w:left="1134" w:hanging="1134"/>
        <w:jc w:val="both"/>
        <w:rPr>
          <w:snapToGrid w:val="0"/>
          <w:lang w:eastAsia="en-US"/>
        </w:rPr>
      </w:pPr>
      <w:r w:rsidRPr="002B7606">
        <w:lastRenderedPageBreak/>
        <w:t xml:space="preserve">Table </w:t>
      </w:r>
      <w:r w:rsidR="00AC4BE5">
        <w:fldChar w:fldCharType="begin"/>
      </w:r>
      <w:r w:rsidR="00AC4BE5">
        <w:instrText xml:space="preserve"> SEQ Table \* ARABIC </w:instrText>
      </w:r>
      <w:r w:rsidR="00AC4BE5">
        <w:fldChar w:fldCharType="separate"/>
      </w:r>
      <w:r w:rsidR="00AC4BE5">
        <w:rPr>
          <w:noProof/>
        </w:rPr>
        <w:t>39</w:t>
      </w:r>
      <w:r w:rsidR="00AC4BE5">
        <w:rPr>
          <w:noProof/>
        </w:rPr>
        <w:fldChar w:fldCharType="end"/>
      </w:r>
      <w:bookmarkEnd w:id="298"/>
      <w:r w:rsidRPr="002B7606">
        <w:tab/>
      </w:r>
      <w:r w:rsidRPr="002B7606">
        <w:rPr>
          <w:snapToGrid w:val="0"/>
          <w:lang w:eastAsia="en-US"/>
        </w:rPr>
        <w:t xml:space="preserve">Key features of the included evidence </w:t>
      </w:r>
      <w:r>
        <w:rPr>
          <w:snapToGrid w:val="0"/>
          <w:lang w:eastAsia="en-US"/>
        </w:rPr>
        <w:t xml:space="preserve">on clinical validity </w:t>
      </w:r>
      <w:r w:rsidRPr="002B7606">
        <w:rPr>
          <w:snapToGrid w:val="0"/>
          <w:lang w:eastAsia="en-US"/>
        </w:rPr>
        <w:t>of AMH testing</w:t>
      </w:r>
      <w:r>
        <w:rPr>
          <w:snapToGrid w:val="0"/>
          <w:lang w:eastAsia="en-US"/>
        </w:rPr>
        <w:t>, ordered by study size</w:t>
      </w:r>
      <w:bookmarkEnd w:id="299"/>
    </w:p>
    <w:tbl>
      <w:tblPr>
        <w:tblStyle w:val="TableGrid1"/>
        <w:tblW w:w="5000" w:type="pct"/>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861"/>
        <w:gridCol w:w="997"/>
        <w:gridCol w:w="978"/>
        <w:gridCol w:w="1143"/>
        <w:gridCol w:w="2448"/>
        <w:gridCol w:w="1815"/>
      </w:tblGrid>
      <w:tr w:rsidR="00170274" w:rsidRPr="00183E4D" w14:paraId="338368EB" w14:textId="77777777" w:rsidTr="009B1C7A">
        <w:trPr>
          <w:cnfStyle w:val="100000000000" w:firstRow="1" w:lastRow="0" w:firstColumn="0" w:lastColumn="0" w:oddVBand="0" w:evenVBand="0" w:oddHBand="0" w:evenHBand="0" w:firstRowFirstColumn="0" w:firstRowLastColumn="0" w:lastRowFirstColumn="0" w:lastRowLastColumn="0"/>
          <w:tblHeader/>
        </w:trPr>
        <w:tc>
          <w:tcPr>
            <w:tcW w:w="1018" w:type="pct"/>
          </w:tcPr>
          <w:p w14:paraId="50458F2C" w14:textId="77777777" w:rsidR="00170274" w:rsidRPr="00B7183E" w:rsidRDefault="00170274" w:rsidP="006464EF">
            <w:pPr>
              <w:pStyle w:val="TableText0"/>
              <w:rPr>
                <w:b/>
              </w:rPr>
            </w:pPr>
            <w:r w:rsidRPr="00B7183E">
              <w:rPr>
                <w:b/>
              </w:rPr>
              <w:t>Trial/study</w:t>
            </w:r>
          </w:p>
        </w:tc>
        <w:tc>
          <w:tcPr>
            <w:tcW w:w="551" w:type="pct"/>
          </w:tcPr>
          <w:p w14:paraId="1792692C" w14:textId="77777777" w:rsidR="00170274" w:rsidRPr="00B7183E" w:rsidRDefault="00170274" w:rsidP="006464EF">
            <w:pPr>
              <w:pStyle w:val="TableText0"/>
              <w:rPr>
                <w:b/>
              </w:rPr>
            </w:pPr>
            <w:r w:rsidRPr="00B7183E">
              <w:rPr>
                <w:b/>
              </w:rPr>
              <w:t>N</w:t>
            </w:r>
          </w:p>
        </w:tc>
        <w:tc>
          <w:tcPr>
            <w:tcW w:w="473" w:type="pct"/>
          </w:tcPr>
          <w:p w14:paraId="66D97CD2" w14:textId="77777777" w:rsidR="00170274" w:rsidRPr="00B7183E" w:rsidRDefault="00170274" w:rsidP="006464EF">
            <w:pPr>
              <w:pStyle w:val="TableText0"/>
              <w:rPr>
                <w:b/>
              </w:rPr>
            </w:pPr>
            <w:r w:rsidRPr="00B7183E">
              <w:rPr>
                <w:b/>
              </w:rPr>
              <w:t>Level of evidence</w:t>
            </w:r>
            <w:r w:rsidRPr="00B532A4">
              <w:rPr>
                <w:b/>
                <w:vertAlign w:val="superscript"/>
              </w:rPr>
              <w:t>a</w:t>
            </w:r>
          </w:p>
        </w:tc>
        <w:tc>
          <w:tcPr>
            <w:tcW w:w="629" w:type="pct"/>
          </w:tcPr>
          <w:p w14:paraId="40967B33" w14:textId="77777777" w:rsidR="00170274" w:rsidRPr="00B7183E" w:rsidRDefault="00170274" w:rsidP="006464EF">
            <w:pPr>
              <w:pStyle w:val="TableText0"/>
              <w:rPr>
                <w:b/>
              </w:rPr>
            </w:pPr>
            <w:r w:rsidRPr="00B7183E">
              <w:rPr>
                <w:b/>
              </w:rPr>
              <w:t>Risk of bias</w:t>
            </w:r>
          </w:p>
        </w:tc>
        <w:tc>
          <w:tcPr>
            <w:tcW w:w="1335" w:type="pct"/>
          </w:tcPr>
          <w:p w14:paraId="6801377B" w14:textId="77777777" w:rsidR="00170274" w:rsidRPr="00B7183E" w:rsidRDefault="00170274" w:rsidP="006464EF">
            <w:pPr>
              <w:pStyle w:val="TableText0"/>
              <w:rPr>
                <w:b/>
              </w:rPr>
            </w:pPr>
            <w:r w:rsidRPr="00B7183E">
              <w:rPr>
                <w:b/>
              </w:rPr>
              <w:t>Patient population</w:t>
            </w:r>
          </w:p>
        </w:tc>
        <w:tc>
          <w:tcPr>
            <w:tcW w:w="993" w:type="pct"/>
          </w:tcPr>
          <w:p w14:paraId="11BA4F5D" w14:textId="77777777" w:rsidR="00170274" w:rsidRPr="00B7183E" w:rsidRDefault="00170274" w:rsidP="006464EF">
            <w:pPr>
              <w:pStyle w:val="TableText0"/>
              <w:rPr>
                <w:b/>
              </w:rPr>
            </w:pPr>
            <w:r w:rsidRPr="00B7183E">
              <w:rPr>
                <w:b/>
              </w:rPr>
              <w:t>Analysis / key outcome(s)</w:t>
            </w:r>
          </w:p>
        </w:tc>
      </w:tr>
      <w:tr w:rsidR="00170274" w:rsidRPr="00183E4D" w14:paraId="7A141FC0" w14:textId="77777777" w:rsidTr="009B1C7A">
        <w:tc>
          <w:tcPr>
            <w:tcW w:w="1018" w:type="pct"/>
          </w:tcPr>
          <w:p w14:paraId="535CD9CF" w14:textId="77777777" w:rsidR="00170274" w:rsidRPr="00B7183E" w:rsidRDefault="00170274" w:rsidP="006464EF">
            <w:pPr>
              <w:pStyle w:val="TableText0"/>
            </w:pPr>
            <w:r w:rsidRPr="00B7183E">
              <w:t>Su et al. (2011)</w:t>
            </w:r>
          </w:p>
        </w:tc>
        <w:tc>
          <w:tcPr>
            <w:tcW w:w="551" w:type="pct"/>
          </w:tcPr>
          <w:p w14:paraId="2C1CBD42" w14:textId="77777777" w:rsidR="00170274" w:rsidRPr="00B7183E" w:rsidRDefault="00170274" w:rsidP="006464EF">
            <w:pPr>
              <w:pStyle w:val="TableText0"/>
            </w:pPr>
            <w:r w:rsidRPr="00B7183E">
              <w:t>109</w:t>
            </w:r>
          </w:p>
        </w:tc>
        <w:tc>
          <w:tcPr>
            <w:tcW w:w="473" w:type="pct"/>
          </w:tcPr>
          <w:p w14:paraId="65954565" w14:textId="77777777" w:rsidR="00170274" w:rsidRPr="00B7183E" w:rsidRDefault="00170274" w:rsidP="006464EF">
            <w:pPr>
              <w:pStyle w:val="TableText0"/>
            </w:pPr>
            <w:r w:rsidRPr="00B7183E">
              <w:t>III-2</w:t>
            </w:r>
          </w:p>
        </w:tc>
        <w:tc>
          <w:tcPr>
            <w:tcW w:w="629" w:type="pct"/>
          </w:tcPr>
          <w:p w14:paraId="2A942B47" w14:textId="77777777" w:rsidR="00170274" w:rsidRPr="00B7183E" w:rsidRDefault="00170274" w:rsidP="006464EF">
            <w:pPr>
              <w:pStyle w:val="TableText0"/>
            </w:pPr>
            <w:r w:rsidRPr="00B7183E">
              <w:t>Low</w:t>
            </w:r>
          </w:p>
        </w:tc>
        <w:tc>
          <w:tcPr>
            <w:tcW w:w="1335" w:type="pct"/>
          </w:tcPr>
          <w:p w14:paraId="114D18BD" w14:textId="77777777" w:rsidR="00170274" w:rsidRPr="00B7183E" w:rsidRDefault="00170274" w:rsidP="006464EF">
            <w:pPr>
              <w:pStyle w:val="TableText0"/>
            </w:pPr>
            <w:r w:rsidRPr="00B7183E">
              <w:t>Women with breast cancer</w:t>
            </w:r>
          </w:p>
        </w:tc>
        <w:tc>
          <w:tcPr>
            <w:tcW w:w="993" w:type="pct"/>
          </w:tcPr>
          <w:p w14:paraId="55BACB3F" w14:textId="77777777" w:rsidR="00170274" w:rsidRPr="00B7183E" w:rsidRDefault="00170274" w:rsidP="006464EF">
            <w:pPr>
              <w:pStyle w:val="TableText0"/>
            </w:pPr>
            <w:r w:rsidRPr="00B7183E">
              <w:t>Sensitivity, specificity, LR+, LR-</w:t>
            </w:r>
          </w:p>
        </w:tc>
      </w:tr>
      <w:tr w:rsidR="00170274" w:rsidRPr="00AC6ED7" w14:paraId="6E39AE4C" w14:textId="77777777" w:rsidTr="009B1C7A">
        <w:tc>
          <w:tcPr>
            <w:tcW w:w="1018" w:type="pct"/>
          </w:tcPr>
          <w:p w14:paraId="71131038" w14:textId="77777777" w:rsidR="00170274" w:rsidRPr="00B7183E" w:rsidRDefault="00170274" w:rsidP="006464EF">
            <w:pPr>
              <w:pStyle w:val="TableText0"/>
            </w:pPr>
            <w:r w:rsidRPr="00B7183E">
              <w:t>Jantke et al. (2012)</w:t>
            </w:r>
          </w:p>
        </w:tc>
        <w:tc>
          <w:tcPr>
            <w:tcW w:w="551" w:type="pct"/>
          </w:tcPr>
          <w:p w14:paraId="03621DC6" w14:textId="77777777" w:rsidR="00170274" w:rsidRPr="00B7183E" w:rsidRDefault="00170274" w:rsidP="006464EF">
            <w:pPr>
              <w:pStyle w:val="TableText0"/>
            </w:pPr>
            <w:r w:rsidRPr="00B7183E">
              <w:t>86</w:t>
            </w:r>
          </w:p>
        </w:tc>
        <w:tc>
          <w:tcPr>
            <w:tcW w:w="473" w:type="pct"/>
          </w:tcPr>
          <w:p w14:paraId="661CD7EB" w14:textId="77777777" w:rsidR="00170274" w:rsidRPr="00B7183E" w:rsidRDefault="00170274" w:rsidP="006464EF">
            <w:pPr>
              <w:pStyle w:val="TableText0"/>
            </w:pPr>
            <w:r w:rsidRPr="00B7183E">
              <w:t>III-2</w:t>
            </w:r>
          </w:p>
        </w:tc>
        <w:tc>
          <w:tcPr>
            <w:tcW w:w="629" w:type="pct"/>
          </w:tcPr>
          <w:p w14:paraId="7B944BE7" w14:textId="77777777" w:rsidR="00170274" w:rsidRPr="00B7183E" w:rsidRDefault="00170274" w:rsidP="006464EF">
            <w:pPr>
              <w:pStyle w:val="TableText0"/>
            </w:pPr>
            <w:r w:rsidRPr="00B7183E">
              <w:t>Medium</w:t>
            </w:r>
          </w:p>
        </w:tc>
        <w:tc>
          <w:tcPr>
            <w:tcW w:w="1335" w:type="pct"/>
          </w:tcPr>
          <w:p w14:paraId="0330CE97" w14:textId="77777777" w:rsidR="00170274" w:rsidRPr="00B7183E" w:rsidRDefault="00170274" w:rsidP="006464EF">
            <w:pPr>
              <w:pStyle w:val="TableText0"/>
            </w:pPr>
            <w:r w:rsidRPr="00B7183E">
              <w:t xml:space="preserve">Childhood cancer survivors (leukaemia, Hodgkin’s, non-Hodgkin’s, lymphoma) </w:t>
            </w:r>
          </w:p>
        </w:tc>
        <w:tc>
          <w:tcPr>
            <w:tcW w:w="993" w:type="pct"/>
          </w:tcPr>
          <w:p w14:paraId="0272191A" w14:textId="77777777" w:rsidR="00170274" w:rsidRPr="00B7183E" w:rsidRDefault="00170274" w:rsidP="006464EF">
            <w:pPr>
              <w:pStyle w:val="TableText0"/>
            </w:pPr>
            <w:r w:rsidRPr="00B7183E">
              <w:t>Sensitivity, specificity, LR+, LR-</w:t>
            </w:r>
          </w:p>
        </w:tc>
      </w:tr>
      <w:tr w:rsidR="00170274" w:rsidRPr="00C3646B" w14:paraId="58256C54" w14:textId="77777777" w:rsidTr="009B1C7A">
        <w:tc>
          <w:tcPr>
            <w:tcW w:w="1018" w:type="pct"/>
          </w:tcPr>
          <w:p w14:paraId="35E07EC2" w14:textId="77777777" w:rsidR="00170274" w:rsidRPr="00B7183E" w:rsidRDefault="00170274" w:rsidP="006464EF">
            <w:pPr>
              <w:pStyle w:val="TableText0"/>
            </w:pPr>
            <w:r w:rsidRPr="00B7183E">
              <w:t>D’avila et al. (2015)</w:t>
            </w:r>
          </w:p>
        </w:tc>
        <w:tc>
          <w:tcPr>
            <w:tcW w:w="551" w:type="pct"/>
          </w:tcPr>
          <w:p w14:paraId="006BB312" w14:textId="77777777" w:rsidR="00170274" w:rsidRPr="00B7183E" w:rsidRDefault="00170274" w:rsidP="006464EF">
            <w:pPr>
              <w:pStyle w:val="TableText0"/>
            </w:pPr>
            <w:r w:rsidRPr="00B7183E">
              <w:t>47</w:t>
            </w:r>
          </w:p>
        </w:tc>
        <w:tc>
          <w:tcPr>
            <w:tcW w:w="473" w:type="pct"/>
          </w:tcPr>
          <w:p w14:paraId="3EC15DCE" w14:textId="77777777" w:rsidR="00170274" w:rsidRPr="00B7183E" w:rsidRDefault="00170274" w:rsidP="006464EF">
            <w:pPr>
              <w:pStyle w:val="TableText0"/>
            </w:pPr>
            <w:r w:rsidRPr="00B7183E">
              <w:t>III-2</w:t>
            </w:r>
          </w:p>
        </w:tc>
        <w:tc>
          <w:tcPr>
            <w:tcW w:w="629" w:type="pct"/>
          </w:tcPr>
          <w:p w14:paraId="1B387E62" w14:textId="77777777" w:rsidR="00170274" w:rsidRPr="00B7183E" w:rsidRDefault="00170274" w:rsidP="006464EF">
            <w:pPr>
              <w:pStyle w:val="TableText0"/>
            </w:pPr>
            <w:r w:rsidRPr="00B7183E">
              <w:t>Low</w:t>
            </w:r>
          </w:p>
        </w:tc>
        <w:tc>
          <w:tcPr>
            <w:tcW w:w="1335" w:type="pct"/>
          </w:tcPr>
          <w:p w14:paraId="61552CAC" w14:textId="77777777" w:rsidR="00170274" w:rsidRPr="00B7183E" w:rsidRDefault="00170274" w:rsidP="006464EF">
            <w:pPr>
              <w:pStyle w:val="TableText0"/>
            </w:pPr>
            <w:r w:rsidRPr="00B7183E">
              <w:t>Women with breast cancer</w:t>
            </w:r>
          </w:p>
        </w:tc>
        <w:tc>
          <w:tcPr>
            <w:tcW w:w="993" w:type="pct"/>
          </w:tcPr>
          <w:p w14:paraId="1B9FAFBB" w14:textId="77777777" w:rsidR="00170274" w:rsidRPr="00B7183E" w:rsidRDefault="00170274" w:rsidP="006464EF">
            <w:pPr>
              <w:pStyle w:val="TableText0"/>
            </w:pPr>
            <w:r w:rsidRPr="00B7183E">
              <w:t>Sensitivity, specificity, LR+, LR-</w:t>
            </w:r>
          </w:p>
        </w:tc>
      </w:tr>
      <w:tr w:rsidR="00170274" w:rsidRPr="001C7334" w14:paraId="05299A57" w14:textId="77777777" w:rsidTr="009B1C7A">
        <w:tc>
          <w:tcPr>
            <w:tcW w:w="1018" w:type="pct"/>
          </w:tcPr>
          <w:p w14:paraId="2EB9B2BA" w14:textId="77777777" w:rsidR="00170274" w:rsidRPr="00B7183E" w:rsidRDefault="00170274" w:rsidP="006464EF">
            <w:pPr>
              <w:pStyle w:val="TableText0"/>
            </w:pPr>
            <w:r w:rsidRPr="00B7183E">
              <w:t>Chai et al. (2014)</w:t>
            </w:r>
          </w:p>
        </w:tc>
        <w:tc>
          <w:tcPr>
            <w:tcW w:w="551" w:type="pct"/>
          </w:tcPr>
          <w:p w14:paraId="250A45BD" w14:textId="77777777" w:rsidR="00170274" w:rsidRPr="00B7183E" w:rsidRDefault="00170274" w:rsidP="006464EF">
            <w:pPr>
              <w:pStyle w:val="TableText0"/>
            </w:pPr>
            <w:r w:rsidRPr="00B7183E">
              <w:t>42</w:t>
            </w:r>
          </w:p>
        </w:tc>
        <w:tc>
          <w:tcPr>
            <w:tcW w:w="473" w:type="pct"/>
          </w:tcPr>
          <w:p w14:paraId="16223808" w14:textId="77777777" w:rsidR="00170274" w:rsidRPr="00B7183E" w:rsidRDefault="00170274" w:rsidP="006464EF">
            <w:pPr>
              <w:pStyle w:val="TableText0"/>
            </w:pPr>
            <w:r w:rsidRPr="00B7183E">
              <w:t>III-2</w:t>
            </w:r>
          </w:p>
        </w:tc>
        <w:tc>
          <w:tcPr>
            <w:tcW w:w="629" w:type="pct"/>
          </w:tcPr>
          <w:p w14:paraId="39CC529D" w14:textId="77777777" w:rsidR="00170274" w:rsidRPr="00B7183E" w:rsidRDefault="00170274" w:rsidP="006464EF">
            <w:pPr>
              <w:pStyle w:val="TableText0"/>
            </w:pPr>
            <w:r w:rsidRPr="00B7183E">
              <w:t>Low</w:t>
            </w:r>
          </w:p>
        </w:tc>
        <w:tc>
          <w:tcPr>
            <w:tcW w:w="1335" w:type="pct"/>
          </w:tcPr>
          <w:p w14:paraId="6E8A245A" w14:textId="77777777" w:rsidR="00170274" w:rsidRPr="00B7183E" w:rsidRDefault="00170274" w:rsidP="006464EF">
            <w:pPr>
              <w:pStyle w:val="TableText0"/>
            </w:pPr>
            <w:r w:rsidRPr="00B7183E">
              <w:t>Women with early breast cancer</w:t>
            </w:r>
          </w:p>
        </w:tc>
        <w:tc>
          <w:tcPr>
            <w:tcW w:w="993" w:type="pct"/>
          </w:tcPr>
          <w:p w14:paraId="44A1904C" w14:textId="77777777" w:rsidR="00170274" w:rsidRPr="00B7183E" w:rsidRDefault="00170274" w:rsidP="006464EF">
            <w:pPr>
              <w:pStyle w:val="TableText0"/>
            </w:pPr>
            <w:r w:rsidRPr="00B7183E">
              <w:t>Sensitivity, specificity, LR+, LR-</w:t>
            </w:r>
          </w:p>
        </w:tc>
      </w:tr>
      <w:tr w:rsidR="00170274" w:rsidRPr="00AC6ED7" w14:paraId="2C07739D" w14:textId="77777777" w:rsidTr="009B1C7A">
        <w:tc>
          <w:tcPr>
            <w:tcW w:w="1018" w:type="pct"/>
          </w:tcPr>
          <w:p w14:paraId="2812B035" w14:textId="77777777" w:rsidR="00170274" w:rsidRPr="00B7183E" w:rsidRDefault="00170274" w:rsidP="006464EF">
            <w:pPr>
              <w:pStyle w:val="TableText0"/>
            </w:pPr>
            <w:r w:rsidRPr="00B7183E">
              <w:t>Decanter et al. (2014)</w:t>
            </w:r>
          </w:p>
        </w:tc>
        <w:tc>
          <w:tcPr>
            <w:tcW w:w="551" w:type="pct"/>
          </w:tcPr>
          <w:p w14:paraId="6FFEA85C" w14:textId="77777777" w:rsidR="00170274" w:rsidRPr="00B7183E" w:rsidRDefault="00170274" w:rsidP="006464EF">
            <w:pPr>
              <w:pStyle w:val="TableText0"/>
            </w:pPr>
            <w:r w:rsidRPr="00B7183E">
              <w:t>30</w:t>
            </w:r>
          </w:p>
        </w:tc>
        <w:tc>
          <w:tcPr>
            <w:tcW w:w="473" w:type="pct"/>
          </w:tcPr>
          <w:p w14:paraId="178DB9BA" w14:textId="77777777" w:rsidR="00170274" w:rsidRPr="00B7183E" w:rsidRDefault="00170274" w:rsidP="006464EF">
            <w:pPr>
              <w:pStyle w:val="TableText0"/>
            </w:pPr>
            <w:r w:rsidRPr="00B7183E">
              <w:t>III-2</w:t>
            </w:r>
          </w:p>
        </w:tc>
        <w:tc>
          <w:tcPr>
            <w:tcW w:w="629" w:type="pct"/>
          </w:tcPr>
          <w:p w14:paraId="331AC20E" w14:textId="77777777" w:rsidR="00170274" w:rsidRPr="00B7183E" w:rsidRDefault="00170274" w:rsidP="006464EF">
            <w:pPr>
              <w:pStyle w:val="TableText0"/>
            </w:pPr>
            <w:r w:rsidRPr="00B7183E">
              <w:t>Low</w:t>
            </w:r>
          </w:p>
        </w:tc>
        <w:tc>
          <w:tcPr>
            <w:tcW w:w="1335" w:type="pct"/>
          </w:tcPr>
          <w:p w14:paraId="24935061" w14:textId="77777777" w:rsidR="00170274" w:rsidRPr="00B7183E" w:rsidRDefault="00170274" w:rsidP="006464EF">
            <w:pPr>
              <w:pStyle w:val="TableText0"/>
            </w:pPr>
            <w:r w:rsidRPr="00B7183E">
              <w:t>Women with early breast cancer or lymphoma</w:t>
            </w:r>
          </w:p>
        </w:tc>
        <w:tc>
          <w:tcPr>
            <w:tcW w:w="993" w:type="pct"/>
          </w:tcPr>
          <w:p w14:paraId="427F630B" w14:textId="77777777" w:rsidR="00170274" w:rsidRPr="00B7183E" w:rsidRDefault="00170274" w:rsidP="006464EF">
            <w:pPr>
              <w:pStyle w:val="TableText0"/>
            </w:pPr>
            <w:r w:rsidRPr="00B7183E">
              <w:t>Sensitivity, specificity, LR+, LR-</w:t>
            </w:r>
          </w:p>
        </w:tc>
      </w:tr>
      <w:tr w:rsidR="00170274" w:rsidRPr="00AC6ED7" w14:paraId="5996EB44" w14:textId="77777777" w:rsidTr="009B1C7A">
        <w:tc>
          <w:tcPr>
            <w:tcW w:w="1018" w:type="pct"/>
          </w:tcPr>
          <w:p w14:paraId="34EB26FA" w14:textId="77777777" w:rsidR="00170274" w:rsidRPr="00B7183E" w:rsidRDefault="00170274" w:rsidP="006464EF">
            <w:pPr>
              <w:pStyle w:val="TableText0"/>
            </w:pPr>
            <w:r w:rsidRPr="00B7183E">
              <w:t>Henry et al. (2014)</w:t>
            </w:r>
          </w:p>
        </w:tc>
        <w:tc>
          <w:tcPr>
            <w:tcW w:w="551" w:type="pct"/>
          </w:tcPr>
          <w:p w14:paraId="3C430F99" w14:textId="77777777" w:rsidR="00170274" w:rsidRPr="00B7183E" w:rsidRDefault="00170274" w:rsidP="006464EF">
            <w:pPr>
              <w:pStyle w:val="TableText0"/>
            </w:pPr>
            <w:r w:rsidRPr="00B7183E">
              <w:t>27</w:t>
            </w:r>
          </w:p>
        </w:tc>
        <w:tc>
          <w:tcPr>
            <w:tcW w:w="473" w:type="pct"/>
          </w:tcPr>
          <w:p w14:paraId="73BA450F" w14:textId="77777777" w:rsidR="00170274" w:rsidRPr="00B7183E" w:rsidRDefault="00170274" w:rsidP="006464EF">
            <w:pPr>
              <w:pStyle w:val="TableText0"/>
            </w:pPr>
            <w:r w:rsidRPr="00B7183E">
              <w:t>III-2</w:t>
            </w:r>
          </w:p>
        </w:tc>
        <w:tc>
          <w:tcPr>
            <w:tcW w:w="629" w:type="pct"/>
          </w:tcPr>
          <w:p w14:paraId="4BF8408B" w14:textId="77777777" w:rsidR="00170274" w:rsidRPr="00B7183E" w:rsidRDefault="00170274" w:rsidP="006464EF">
            <w:pPr>
              <w:pStyle w:val="TableText0"/>
            </w:pPr>
            <w:r w:rsidRPr="00B7183E">
              <w:t>Low</w:t>
            </w:r>
          </w:p>
        </w:tc>
        <w:tc>
          <w:tcPr>
            <w:tcW w:w="1335" w:type="pct"/>
          </w:tcPr>
          <w:p w14:paraId="0DD0E426" w14:textId="77777777" w:rsidR="00170274" w:rsidRPr="00B7183E" w:rsidRDefault="00170274" w:rsidP="006464EF">
            <w:pPr>
              <w:pStyle w:val="TableText0"/>
            </w:pPr>
            <w:r w:rsidRPr="00B7183E">
              <w:t>Women with breast cancer</w:t>
            </w:r>
          </w:p>
        </w:tc>
        <w:tc>
          <w:tcPr>
            <w:tcW w:w="993" w:type="pct"/>
          </w:tcPr>
          <w:p w14:paraId="21CD3C81" w14:textId="77777777" w:rsidR="00170274" w:rsidRPr="00B7183E" w:rsidRDefault="00170274" w:rsidP="006464EF">
            <w:pPr>
              <w:pStyle w:val="TableText0"/>
            </w:pPr>
            <w:r w:rsidRPr="00B7183E">
              <w:t>Sensitivity, specificity, LR+, LR-</w:t>
            </w:r>
          </w:p>
        </w:tc>
      </w:tr>
      <w:tr w:rsidR="00170274" w:rsidRPr="001C7334" w14:paraId="06F22E50" w14:textId="77777777" w:rsidTr="009B1C7A">
        <w:tc>
          <w:tcPr>
            <w:tcW w:w="1018" w:type="pct"/>
          </w:tcPr>
          <w:p w14:paraId="0DCC77B5" w14:textId="77777777" w:rsidR="00170274" w:rsidRPr="00B7183E" w:rsidRDefault="00170274" w:rsidP="006464EF">
            <w:pPr>
              <w:pStyle w:val="TableText0"/>
            </w:pPr>
            <w:r w:rsidRPr="00B7183E">
              <w:t>Anders et al. (2008)</w:t>
            </w:r>
          </w:p>
        </w:tc>
        <w:tc>
          <w:tcPr>
            <w:tcW w:w="551" w:type="pct"/>
          </w:tcPr>
          <w:p w14:paraId="781912B9" w14:textId="77777777" w:rsidR="00170274" w:rsidRPr="00B7183E" w:rsidRDefault="00170274" w:rsidP="006464EF">
            <w:pPr>
              <w:pStyle w:val="TableText0"/>
            </w:pPr>
            <w:r w:rsidRPr="00B7183E">
              <w:t>22</w:t>
            </w:r>
          </w:p>
        </w:tc>
        <w:tc>
          <w:tcPr>
            <w:tcW w:w="473" w:type="pct"/>
          </w:tcPr>
          <w:p w14:paraId="74F03758" w14:textId="77777777" w:rsidR="00170274" w:rsidRPr="00B7183E" w:rsidRDefault="00170274" w:rsidP="006464EF">
            <w:pPr>
              <w:pStyle w:val="TableText0"/>
            </w:pPr>
            <w:r w:rsidRPr="00B7183E">
              <w:t>III-2</w:t>
            </w:r>
          </w:p>
        </w:tc>
        <w:tc>
          <w:tcPr>
            <w:tcW w:w="629" w:type="pct"/>
          </w:tcPr>
          <w:p w14:paraId="3E8819CA" w14:textId="77777777" w:rsidR="00170274" w:rsidRPr="00B7183E" w:rsidRDefault="00170274" w:rsidP="006464EF">
            <w:pPr>
              <w:pStyle w:val="TableText0"/>
            </w:pPr>
            <w:r w:rsidRPr="00B7183E">
              <w:t>Low</w:t>
            </w:r>
          </w:p>
        </w:tc>
        <w:tc>
          <w:tcPr>
            <w:tcW w:w="1335" w:type="pct"/>
          </w:tcPr>
          <w:p w14:paraId="065226BD" w14:textId="77777777" w:rsidR="00170274" w:rsidRPr="00B7183E" w:rsidRDefault="00170274" w:rsidP="006464EF">
            <w:pPr>
              <w:pStyle w:val="TableText0"/>
            </w:pPr>
            <w:r w:rsidRPr="00B7183E">
              <w:t>Women with early breast cancer</w:t>
            </w:r>
          </w:p>
        </w:tc>
        <w:tc>
          <w:tcPr>
            <w:tcW w:w="993" w:type="pct"/>
          </w:tcPr>
          <w:p w14:paraId="18A4D7A9" w14:textId="77777777" w:rsidR="00170274" w:rsidRPr="00B7183E" w:rsidRDefault="00170274" w:rsidP="006464EF">
            <w:pPr>
              <w:pStyle w:val="TableText0"/>
            </w:pPr>
            <w:r w:rsidRPr="00B7183E">
              <w:t>Sensitivity, specificity, LR+, LR-</w:t>
            </w:r>
          </w:p>
        </w:tc>
      </w:tr>
    </w:tbl>
    <w:p w14:paraId="13E76438" w14:textId="1AE0C8E4" w:rsidR="00170274" w:rsidRDefault="00170274" w:rsidP="00170274">
      <w:pPr>
        <w:widowControl w:val="0"/>
        <w:spacing w:after="0" w:line="240" w:lineRule="auto"/>
        <w:jc w:val="both"/>
        <w:rPr>
          <w:rStyle w:val="TablenotesChar0"/>
        </w:rPr>
      </w:pPr>
      <w:r>
        <w:rPr>
          <w:rStyle w:val="TablenotesChar0"/>
        </w:rPr>
        <w:t>LR+ = positive likelihood ratio; LR- = negative likelihood ratio</w:t>
      </w:r>
    </w:p>
    <w:p w14:paraId="2EFC71D1" w14:textId="77777777" w:rsidR="00170274" w:rsidRPr="009F1C6E" w:rsidRDefault="00170274" w:rsidP="00170274">
      <w:pPr>
        <w:widowControl w:val="0"/>
        <w:spacing w:after="120" w:line="240" w:lineRule="auto"/>
        <w:jc w:val="both"/>
        <w:rPr>
          <w:rStyle w:val="TablenotesChar0"/>
        </w:rPr>
      </w:pPr>
      <w:r>
        <w:rPr>
          <w:rStyle w:val="TablenotesChar0"/>
          <w:vertAlign w:val="superscript"/>
        </w:rPr>
        <w:t xml:space="preserve">a </w:t>
      </w:r>
      <w:r>
        <w:rPr>
          <w:rStyle w:val="TablenotesChar0"/>
        </w:rPr>
        <w:t>Diagnostic accuracy levels of evidence, as per NHMRC hierarchy of evidence</w:t>
      </w:r>
    </w:p>
    <w:p w14:paraId="2F5B6D29" w14:textId="17CB0A3E" w:rsidR="0055629E" w:rsidRPr="00183E4D" w:rsidRDefault="0055629E" w:rsidP="007C7765">
      <w:pPr>
        <w:pStyle w:val="Heading2"/>
        <w:numPr>
          <w:ilvl w:val="1"/>
          <w:numId w:val="18"/>
        </w:numPr>
        <w:jc w:val="both"/>
      </w:pPr>
      <w:bookmarkStart w:id="300" w:name="_Toc502832953"/>
      <w:r w:rsidRPr="00183E4D">
        <w:t xml:space="preserve">Outcome </w:t>
      </w:r>
      <w:r w:rsidR="00DC5CE5">
        <w:t>m</w:t>
      </w:r>
      <w:r w:rsidRPr="00183E4D">
        <w:t xml:space="preserve">easures and </w:t>
      </w:r>
      <w:r w:rsidR="00DC5CE5">
        <w:t>a</w:t>
      </w:r>
      <w:r w:rsidRPr="00183E4D">
        <w:t>nalysis</w:t>
      </w:r>
      <w:bookmarkEnd w:id="300"/>
    </w:p>
    <w:p w14:paraId="6177908A" w14:textId="7F45F476" w:rsidR="0055629E" w:rsidRPr="00183E4D" w:rsidRDefault="00FC0D53" w:rsidP="007C7765">
      <w:pPr>
        <w:jc w:val="both"/>
      </w:pPr>
      <w:r>
        <w:t xml:space="preserve">The </w:t>
      </w:r>
      <w:r w:rsidR="0055629E" w:rsidRPr="004E5FC9">
        <w:t>outcomes measured in the included studies, along with the</w:t>
      </w:r>
      <w:r w:rsidR="0055629E" w:rsidRPr="00183E4D">
        <w:t xml:space="preserve"> statistical meth</w:t>
      </w:r>
      <w:r>
        <w:t>ods used to analyse the results are provided in Appendix C.</w:t>
      </w:r>
      <w:r w:rsidR="00924B48" w:rsidRPr="00924B48">
        <w:t xml:space="preserve"> </w:t>
      </w:r>
      <w:r w:rsidR="00924B48" w:rsidRPr="00B44AF2">
        <w:t xml:space="preserve">To assess the accuracy of the proposed test, studies were only included if they provided data that could be extracted into a classic </w:t>
      </w:r>
      <w:r w:rsidR="00924B48" w:rsidRPr="008308DE">
        <w:t>2 × 2</w:t>
      </w:r>
      <w:r w:rsidR="00924B48" w:rsidRPr="00B44AF2">
        <w:t xml:space="preserve"> table</w:t>
      </w:r>
      <w:r w:rsidR="00924B48">
        <w:t xml:space="preserve"> (</w:t>
      </w:r>
      <w:r w:rsidR="00924B48">
        <w:rPr>
          <w:highlight w:val="yellow"/>
        </w:rPr>
        <w:fldChar w:fldCharType="begin"/>
      </w:r>
      <w:r w:rsidR="00924B48">
        <w:instrText xml:space="preserve"> REF _Ref501464362 \h </w:instrText>
      </w:r>
      <w:r w:rsidR="00924B48">
        <w:rPr>
          <w:highlight w:val="yellow"/>
        </w:rPr>
      </w:r>
      <w:r w:rsidR="00924B48">
        <w:rPr>
          <w:highlight w:val="yellow"/>
        </w:rPr>
        <w:fldChar w:fldCharType="separate"/>
      </w:r>
      <w:r w:rsidR="00AC4BE5" w:rsidRPr="005613FD">
        <w:t xml:space="preserve">Table </w:t>
      </w:r>
      <w:r w:rsidR="00AC4BE5">
        <w:rPr>
          <w:noProof/>
        </w:rPr>
        <w:t>40</w:t>
      </w:r>
      <w:r w:rsidR="00924B48">
        <w:rPr>
          <w:highlight w:val="yellow"/>
        </w:rPr>
        <w:fldChar w:fldCharType="end"/>
      </w:r>
      <w:r w:rsidR="00924B48">
        <w:t>)</w:t>
      </w:r>
      <w:r w:rsidR="00924B48" w:rsidRPr="00B44AF2">
        <w:t xml:space="preserve">, in which the results of the index </w:t>
      </w:r>
      <w:r w:rsidR="00924B48">
        <w:t xml:space="preserve">test </w:t>
      </w:r>
      <w:r w:rsidR="00924B48" w:rsidRPr="00B44AF2">
        <w:t>were cross-classified against the results of the reference</w:t>
      </w:r>
      <w:r w:rsidR="00924B48">
        <w:t xml:space="preserve"> standard</w:t>
      </w:r>
      <w:r w:rsidR="00924B48">
        <w:rPr>
          <w:rStyle w:val="FootnoteReference"/>
        </w:rPr>
        <w:footnoteReference w:id="4"/>
      </w:r>
      <w:r w:rsidR="00924B48" w:rsidRPr="00901DD6">
        <w:t xml:space="preserve"> </w:t>
      </w:r>
      <w:r w:rsidR="00924B48">
        <w:t>using</w:t>
      </w:r>
      <w:r w:rsidR="00924B48" w:rsidRPr="00901DD6">
        <w:t xml:space="preserve"> Bayes</w:t>
      </w:r>
      <w:r w:rsidR="00924B48">
        <w:t>’</w:t>
      </w:r>
      <w:r w:rsidR="00924B48" w:rsidRPr="00901DD6">
        <w:t xml:space="preserve"> Theorem</w:t>
      </w:r>
      <w:r w:rsidR="00924B48">
        <w:t>.</w:t>
      </w:r>
    </w:p>
    <w:p w14:paraId="6052585F" w14:textId="77777777" w:rsidR="00170274" w:rsidRPr="005613FD" w:rsidRDefault="00170274" w:rsidP="00170274">
      <w:pPr>
        <w:pStyle w:val="TableHeading"/>
        <w:jc w:val="both"/>
      </w:pPr>
      <w:bookmarkStart w:id="301" w:name="_Ref501464362"/>
      <w:bookmarkStart w:id="302" w:name="_Toc502833058"/>
      <w:r w:rsidRPr="005613FD">
        <w:t xml:space="preserve">Table </w:t>
      </w:r>
      <w:r w:rsidR="00AC4BE5">
        <w:fldChar w:fldCharType="begin"/>
      </w:r>
      <w:r w:rsidR="00AC4BE5">
        <w:instrText xml:space="preserve"> SEQ Table \* ARABIC </w:instrText>
      </w:r>
      <w:r w:rsidR="00AC4BE5">
        <w:fldChar w:fldCharType="separate"/>
      </w:r>
      <w:r w:rsidR="00AC4BE5">
        <w:rPr>
          <w:noProof/>
        </w:rPr>
        <w:t>40</w:t>
      </w:r>
      <w:r w:rsidR="00AC4BE5">
        <w:rPr>
          <w:noProof/>
        </w:rPr>
        <w:fldChar w:fldCharType="end"/>
      </w:r>
      <w:bookmarkEnd w:id="301"/>
      <w:r>
        <w:rPr>
          <w:noProof/>
        </w:rPr>
        <w:tab/>
      </w:r>
      <w:r>
        <w:t>Analytical validity</w:t>
      </w:r>
      <w:r w:rsidRPr="005613FD">
        <w:t xml:space="preserve"> data extraction</w:t>
      </w:r>
      <w:bookmarkEnd w:id="302"/>
    </w:p>
    <w:tbl>
      <w:tblPr>
        <w:tblStyle w:val="TableGrid1"/>
        <w:tblW w:w="9039" w:type="dxa"/>
        <w:tblLayout w:type="fixed"/>
        <w:tblLook w:val="0000" w:firstRow="0" w:lastRow="0" w:firstColumn="0" w:lastColumn="0" w:noHBand="0" w:noVBand="0"/>
        <w:tblDescription w:val="Analytical validity data extraction table"/>
      </w:tblPr>
      <w:tblGrid>
        <w:gridCol w:w="1526"/>
        <w:gridCol w:w="1134"/>
        <w:gridCol w:w="2268"/>
        <w:gridCol w:w="1984"/>
        <w:gridCol w:w="2127"/>
      </w:tblGrid>
      <w:tr w:rsidR="00170274" w:rsidRPr="00637462" w14:paraId="0CCFE10A" w14:textId="77777777" w:rsidTr="009B1C7A">
        <w:trPr>
          <w:trHeight w:val="177"/>
          <w:tblHeader/>
        </w:trPr>
        <w:tc>
          <w:tcPr>
            <w:tcW w:w="1526" w:type="dxa"/>
          </w:tcPr>
          <w:p w14:paraId="521524E7" w14:textId="77777777" w:rsidR="00170274" w:rsidRPr="00637462" w:rsidRDefault="00170274" w:rsidP="006464EF">
            <w:pPr>
              <w:pStyle w:val="TableText"/>
              <w:spacing w:line="240" w:lineRule="auto"/>
              <w:jc w:val="both"/>
              <w:rPr>
                <w:color w:val="FFFFFF" w:themeColor="background1"/>
                <w:sz w:val="20"/>
                <w:szCs w:val="20"/>
              </w:rPr>
            </w:pPr>
            <w:r w:rsidRPr="00637462">
              <w:rPr>
                <w:color w:val="FFFFFF" w:themeColor="background1"/>
                <w:sz w:val="20"/>
                <w:szCs w:val="20"/>
              </w:rPr>
              <w:t>-</w:t>
            </w:r>
          </w:p>
        </w:tc>
        <w:tc>
          <w:tcPr>
            <w:tcW w:w="1134" w:type="dxa"/>
          </w:tcPr>
          <w:p w14:paraId="10359D71" w14:textId="77777777" w:rsidR="00170274" w:rsidRPr="00637462" w:rsidRDefault="00170274" w:rsidP="006464EF">
            <w:pPr>
              <w:pStyle w:val="TableText"/>
              <w:spacing w:line="240" w:lineRule="auto"/>
              <w:jc w:val="both"/>
              <w:rPr>
                <w:color w:val="FFFFFF" w:themeColor="background1"/>
                <w:sz w:val="20"/>
                <w:szCs w:val="20"/>
              </w:rPr>
            </w:pPr>
            <w:r w:rsidRPr="00637462">
              <w:rPr>
                <w:color w:val="FFFFFF" w:themeColor="background1"/>
                <w:sz w:val="20"/>
                <w:szCs w:val="20"/>
              </w:rPr>
              <w:t>-</w:t>
            </w:r>
          </w:p>
        </w:tc>
        <w:tc>
          <w:tcPr>
            <w:tcW w:w="2268" w:type="dxa"/>
          </w:tcPr>
          <w:p w14:paraId="73E5C4A0" w14:textId="77777777" w:rsidR="00170274" w:rsidRPr="00637462" w:rsidRDefault="00170274" w:rsidP="006464EF">
            <w:pPr>
              <w:pStyle w:val="TableText"/>
              <w:spacing w:before="120" w:line="240" w:lineRule="auto"/>
              <w:jc w:val="both"/>
              <w:rPr>
                <w:b/>
                <w:sz w:val="20"/>
                <w:szCs w:val="20"/>
              </w:rPr>
            </w:pPr>
            <w:r w:rsidRPr="00637462">
              <w:rPr>
                <w:b/>
                <w:sz w:val="20"/>
                <w:szCs w:val="20"/>
              </w:rPr>
              <w:t>Reference standard</w:t>
            </w:r>
          </w:p>
        </w:tc>
        <w:tc>
          <w:tcPr>
            <w:tcW w:w="1984" w:type="dxa"/>
          </w:tcPr>
          <w:p w14:paraId="50B52064" w14:textId="77777777" w:rsidR="00170274" w:rsidRPr="00637462" w:rsidRDefault="00170274" w:rsidP="006464EF">
            <w:pPr>
              <w:pStyle w:val="TableText"/>
              <w:spacing w:line="240" w:lineRule="auto"/>
              <w:jc w:val="both"/>
              <w:rPr>
                <w:b/>
                <w:color w:val="FFFFFF" w:themeColor="background1"/>
                <w:sz w:val="20"/>
                <w:szCs w:val="20"/>
              </w:rPr>
            </w:pPr>
          </w:p>
        </w:tc>
        <w:tc>
          <w:tcPr>
            <w:tcW w:w="2127" w:type="dxa"/>
          </w:tcPr>
          <w:p w14:paraId="4FA87651" w14:textId="77777777" w:rsidR="00170274" w:rsidRPr="00637462" w:rsidRDefault="00170274" w:rsidP="006464EF">
            <w:pPr>
              <w:pStyle w:val="TableText"/>
              <w:spacing w:line="240" w:lineRule="auto"/>
              <w:jc w:val="both"/>
              <w:rPr>
                <w:color w:val="FFFFFF" w:themeColor="background1"/>
                <w:sz w:val="20"/>
                <w:szCs w:val="20"/>
              </w:rPr>
            </w:pPr>
            <w:r w:rsidRPr="00637462">
              <w:rPr>
                <w:color w:val="FFFFFF" w:themeColor="background1"/>
                <w:sz w:val="20"/>
                <w:szCs w:val="20"/>
              </w:rPr>
              <w:t>-</w:t>
            </w:r>
          </w:p>
        </w:tc>
      </w:tr>
      <w:tr w:rsidR="00170274" w:rsidRPr="00637462" w14:paraId="5C1EE7AB" w14:textId="77777777" w:rsidTr="009B1C7A">
        <w:trPr>
          <w:trHeight w:val="310"/>
        </w:trPr>
        <w:tc>
          <w:tcPr>
            <w:tcW w:w="1526" w:type="dxa"/>
          </w:tcPr>
          <w:p w14:paraId="1DF8E76B" w14:textId="77777777" w:rsidR="00170274" w:rsidRPr="00637462" w:rsidRDefault="00170274" w:rsidP="006464EF">
            <w:pPr>
              <w:pStyle w:val="TableText"/>
              <w:spacing w:line="240" w:lineRule="auto"/>
              <w:jc w:val="both"/>
              <w:rPr>
                <w:color w:val="FFFFFF" w:themeColor="background1"/>
                <w:sz w:val="20"/>
                <w:szCs w:val="20"/>
              </w:rPr>
            </w:pPr>
            <w:r w:rsidRPr="00637462">
              <w:rPr>
                <w:color w:val="FFFFFF" w:themeColor="background1"/>
                <w:sz w:val="20"/>
                <w:szCs w:val="20"/>
              </w:rPr>
              <w:t>-</w:t>
            </w:r>
          </w:p>
        </w:tc>
        <w:tc>
          <w:tcPr>
            <w:tcW w:w="1134" w:type="dxa"/>
          </w:tcPr>
          <w:p w14:paraId="70D2C2D8" w14:textId="77777777" w:rsidR="00170274" w:rsidRPr="00637462" w:rsidRDefault="00170274" w:rsidP="006464EF">
            <w:pPr>
              <w:pStyle w:val="TableText"/>
              <w:spacing w:line="240" w:lineRule="auto"/>
              <w:jc w:val="both"/>
              <w:rPr>
                <w:color w:val="FFFFFF" w:themeColor="background1"/>
                <w:sz w:val="20"/>
                <w:szCs w:val="20"/>
              </w:rPr>
            </w:pPr>
            <w:r w:rsidRPr="00637462">
              <w:rPr>
                <w:color w:val="FFFFFF" w:themeColor="background1"/>
                <w:sz w:val="20"/>
                <w:szCs w:val="20"/>
              </w:rPr>
              <w:t>-</w:t>
            </w:r>
          </w:p>
        </w:tc>
        <w:tc>
          <w:tcPr>
            <w:tcW w:w="2268" w:type="dxa"/>
          </w:tcPr>
          <w:p w14:paraId="6089C38A" w14:textId="77777777" w:rsidR="00170274" w:rsidRPr="00637462" w:rsidRDefault="00170274" w:rsidP="006464EF">
            <w:pPr>
              <w:pStyle w:val="TableText"/>
              <w:spacing w:line="240" w:lineRule="auto"/>
              <w:ind w:left="113"/>
              <w:jc w:val="both"/>
              <w:rPr>
                <w:sz w:val="20"/>
                <w:szCs w:val="20"/>
              </w:rPr>
            </w:pPr>
            <w:r w:rsidRPr="00637462">
              <w:rPr>
                <w:i/>
                <w:sz w:val="20"/>
                <w:szCs w:val="20"/>
              </w:rPr>
              <w:t>Disease +</w:t>
            </w:r>
          </w:p>
        </w:tc>
        <w:tc>
          <w:tcPr>
            <w:tcW w:w="1984" w:type="dxa"/>
          </w:tcPr>
          <w:p w14:paraId="201F74B4" w14:textId="77777777" w:rsidR="00170274" w:rsidRPr="00637462" w:rsidRDefault="00170274" w:rsidP="006464EF">
            <w:pPr>
              <w:pStyle w:val="TableText"/>
              <w:spacing w:line="240" w:lineRule="auto"/>
              <w:ind w:left="113"/>
              <w:jc w:val="both"/>
              <w:rPr>
                <w:sz w:val="20"/>
                <w:szCs w:val="20"/>
              </w:rPr>
            </w:pPr>
            <w:r>
              <w:rPr>
                <w:i/>
                <w:sz w:val="20"/>
                <w:szCs w:val="20"/>
              </w:rPr>
              <w:t>Disease -</w:t>
            </w:r>
          </w:p>
        </w:tc>
        <w:tc>
          <w:tcPr>
            <w:tcW w:w="2127" w:type="dxa"/>
          </w:tcPr>
          <w:p w14:paraId="71CCE29F" w14:textId="77777777" w:rsidR="00170274" w:rsidRPr="00637462" w:rsidRDefault="00170274" w:rsidP="006464EF">
            <w:pPr>
              <w:pStyle w:val="TableText"/>
              <w:spacing w:line="240" w:lineRule="auto"/>
              <w:jc w:val="both"/>
              <w:rPr>
                <w:color w:val="FFFFFF" w:themeColor="background1"/>
                <w:sz w:val="20"/>
                <w:szCs w:val="20"/>
              </w:rPr>
            </w:pPr>
            <w:r w:rsidRPr="00637462">
              <w:rPr>
                <w:color w:val="FFFFFF" w:themeColor="background1"/>
                <w:sz w:val="20"/>
                <w:szCs w:val="20"/>
              </w:rPr>
              <w:t>-</w:t>
            </w:r>
          </w:p>
        </w:tc>
      </w:tr>
      <w:tr w:rsidR="00170274" w:rsidRPr="00637462" w14:paraId="271B2B4D" w14:textId="77777777" w:rsidTr="009B1C7A">
        <w:trPr>
          <w:trHeight w:val="449"/>
        </w:trPr>
        <w:tc>
          <w:tcPr>
            <w:tcW w:w="1526" w:type="dxa"/>
          </w:tcPr>
          <w:p w14:paraId="28AA7958" w14:textId="77777777" w:rsidR="00170274" w:rsidRPr="00637462" w:rsidRDefault="00170274" w:rsidP="006464EF">
            <w:pPr>
              <w:pStyle w:val="TableText"/>
              <w:jc w:val="both"/>
              <w:rPr>
                <w:b/>
                <w:sz w:val="20"/>
                <w:szCs w:val="20"/>
              </w:rPr>
            </w:pPr>
            <w:r w:rsidRPr="00637462">
              <w:rPr>
                <w:b/>
                <w:sz w:val="20"/>
                <w:szCs w:val="20"/>
              </w:rPr>
              <w:t xml:space="preserve">Index test </w:t>
            </w:r>
          </w:p>
        </w:tc>
        <w:tc>
          <w:tcPr>
            <w:tcW w:w="1134" w:type="dxa"/>
          </w:tcPr>
          <w:p w14:paraId="2EFDDFDD" w14:textId="77777777" w:rsidR="00170274" w:rsidRPr="00637462" w:rsidRDefault="00170274" w:rsidP="006464EF">
            <w:pPr>
              <w:pStyle w:val="TableText"/>
              <w:jc w:val="both"/>
              <w:rPr>
                <w:sz w:val="20"/>
                <w:szCs w:val="20"/>
              </w:rPr>
            </w:pPr>
            <w:r>
              <w:rPr>
                <w:i/>
                <w:sz w:val="20"/>
                <w:szCs w:val="20"/>
              </w:rPr>
              <w:t>Test +</w:t>
            </w:r>
          </w:p>
        </w:tc>
        <w:tc>
          <w:tcPr>
            <w:tcW w:w="2268" w:type="dxa"/>
          </w:tcPr>
          <w:p w14:paraId="5C81F248" w14:textId="77777777" w:rsidR="00170274" w:rsidRPr="00637462" w:rsidRDefault="00170274" w:rsidP="006464EF">
            <w:pPr>
              <w:pStyle w:val="TableText"/>
              <w:ind w:left="113"/>
              <w:jc w:val="both"/>
              <w:rPr>
                <w:sz w:val="20"/>
                <w:szCs w:val="20"/>
              </w:rPr>
            </w:pPr>
            <w:r w:rsidRPr="00637462">
              <w:rPr>
                <w:sz w:val="20"/>
                <w:szCs w:val="20"/>
              </w:rPr>
              <w:t>true positive</w:t>
            </w:r>
          </w:p>
        </w:tc>
        <w:tc>
          <w:tcPr>
            <w:tcW w:w="1984" w:type="dxa"/>
          </w:tcPr>
          <w:p w14:paraId="00389B90" w14:textId="77777777" w:rsidR="00170274" w:rsidRPr="00637462" w:rsidRDefault="00170274" w:rsidP="006464EF">
            <w:pPr>
              <w:pStyle w:val="TableText"/>
              <w:ind w:left="113"/>
              <w:jc w:val="both"/>
              <w:rPr>
                <w:sz w:val="20"/>
                <w:szCs w:val="20"/>
              </w:rPr>
            </w:pPr>
            <w:r w:rsidRPr="00637462">
              <w:rPr>
                <w:sz w:val="20"/>
                <w:szCs w:val="20"/>
              </w:rPr>
              <w:t>false positive</w:t>
            </w:r>
          </w:p>
        </w:tc>
        <w:tc>
          <w:tcPr>
            <w:tcW w:w="2127" w:type="dxa"/>
          </w:tcPr>
          <w:p w14:paraId="16B489E7" w14:textId="77777777" w:rsidR="00170274" w:rsidRPr="00637462" w:rsidRDefault="00170274" w:rsidP="006464EF">
            <w:pPr>
              <w:pStyle w:val="TableText"/>
              <w:jc w:val="both"/>
              <w:rPr>
                <w:sz w:val="20"/>
                <w:szCs w:val="20"/>
              </w:rPr>
            </w:pPr>
            <w:r w:rsidRPr="00637462">
              <w:rPr>
                <w:sz w:val="20"/>
                <w:szCs w:val="20"/>
              </w:rPr>
              <w:t>Total test positive</w:t>
            </w:r>
          </w:p>
        </w:tc>
      </w:tr>
      <w:tr w:rsidR="00170274" w:rsidRPr="00637462" w14:paraId="7E01865A" w14:textId="77777777" w:rsidTr="009B1C7A">
        <w:trPr>
          <w:trHeight w:val="426"/>
        </w:trPr>
        <w:tc>
          <w:tcPr>
            <w:tcW w:w="1526" w:type="dxa"/>
          </w:tcPr>
          <w:p w14:paraId="5858FCA6" w14:textId="77777777" w:rsidR="00170274" w:rsidRPr="00637462" w:rsidRDefault="00170274" w:rsidP="006464EF">
            <w:pPr>
              <w:pStyle w:val="TableText0"/>
              <w:jc w:val="both"/>
              <w:rPr>
                <w:color w:val="FFFFFF" w:themeColor="background1"/>
                <w:szCs w:val="20"/>
              </w:rPr>
            </w:pPr>
            <w:r w:rsidRPr="00637462">
              <w:rPr>
                <w:szCs w:val="20"/>
              </w:rPr>
              <w:t xml:space="preserve">Or comparator </w:t>
            </w:r>
          </w:p>
        </w:tc>
        <w:tc>
          <w:tcPr>
            <w:tcW w:w="1134" w:type="dxa"/>
          </w:tcPr>
          <w:p w14:paraId="68E149E3" w14:textId="77777777" w:rsidR="00170274" w:rsidRPr="00637462" w:rsidRDefault="00170274" w:rsidP="006464EF">
            <w:pPr>
              <w:pStyle w:val="TableText"/>
              <w:jc w:val="both"/>
              <w:rPr>
                <w:sz w:val="20"/>
                <w:szCs w:val="20"/>
              </w:rPr>
            </w:pPr>
            <w:r>
              <w:rPr>
                <w:i/>
                <w:sz w:val="20"/>
                <w:szCs w:val="20"/>
              </w:rPr>
              <w:t>Test -</w:t>
            </w:r>
          </w:p>
        </w:tc>
        <w:tc>
          <w:tcPr>
            <w:tcW w:w="2268" w:type="dxa"/>
          </w:tcPr>
          <w:p w14:paraId="25DC84A6" w14:textId="77777777" w:rsidR="00170274" w:rsidRPr="00637462" w:rsidRDefault="00170274" w:rsidP="006464EF">
            <w:pPr>
              <w:pStyle w:val="TableText"/>
              <w:ind w:left="113"/>
              <w:jc w:val="both"/>
              <w:rPr>
                <w:sz w:val="20"/>
                <w:szCs w:val="20"/>
              </w:rPr>
            </w:pPr>
            <w:r w:rsidRPr="00637462">
              <w:rPr>
                <w:sz w:val="20"/>
                <w:szCs w:val="20"/>
              </w:rPr>
              <w:t>false negative</w:t>
            </w:r>
          </w:p>
        </w:tc>
        <w:tc>
          <w:tcPr>
            <w:tcW w:w="1984" w:type="dxa"/>
          </w:tcPr>
          <w:p w14:paraId="17D99F76" w14:textId="77777777" w:rsidR="00170274" w:rsidRPr="00637462" w:rsidRDefault="00170274" w:rsidP="006464EF">
            <w:pPr>
              <w:pStyle w:val="TableText"/>
              <w:ind w:left="113"/>
              <w:jc w:val="both"/>
              <w:rPr>
                <w:sz w:val="20"/>
                <w:szCs w:val="20"/>
              </w:rPr>
            </w:pPr>
            <w:r w:rsidRPr="00637462">
              <w:rPr>
                <w:sz w:val="20"/>
                <w:szCs w:val="20"/>
              </w:rPr>
              <w:t>true negative</w:t>
            </w:r>
          </w:p>
        </w:tc>
        <w:tc>
          <w:tcPr>
            <w:tcW w:w="2127" w:type="dxa"/>
          </w:tcPr>
          <w:p w14:paraId="12C72C77" w14:textId="77777777" w:rsidR="00170274" w:rsidRPr="00637462" w:rsidRDefault="00170274" w:rsidP="006464EF">
            <w:pPr>
              <w:pStyle w:val="TableText"/>
              <w:jc w:val="both"/>
              <w:rPr>
                <w:sz w:val="20"/>
                <w:szCs w:val="20"/>
              </w:rPr>
            </w:pPr>
            <w:r w:rsidRPr="00637462">
              <w:rPr>
                <w:sz w:val="20"/>
                <w:szCs w:val="20"/>
              </w:rPr>
              <w:t>Total test negative</w:t>
            </w:r>
          </w:p>
        </w:tc>
      </w:tr>
      <w:tr w:rsidR="00170274" w:rsidRPr="00637462" w14:paraId="779D9151" w14:textId="77777777" w:rsidTr="009B1C7A">
        <w:trPr>
          <w:trHeight w:val="149"/>
        </w:trPr>
        <w:tc>
          <w:tcPr>
            <w:tcW w:w="1526" w:type="dxa"/>
          </w:tcPr>
          <w:p w14:paraId="1B8C2295" w14:textId="77777777" w:rsidR="00170274" w:rsidRPr="00637462" w:rsidRDefault="00170274" w:rsidP="006464EF">
            <w:pPr>
              <w:pStyle w:val="TableText0"/>
              <w:jc w:val="both"/>
              <w:rPr>
                <w:color w:val="FFFFFF" w:themeColor="background1"/>
                <w:szCs w:val="20"/>
              </w:rPr>
            </w:pPr>
            <w:r w:rsidRPr="00637462">
              <w:rPr>
                <w:color w:val="FFFFFF" w:themeColor="background1"/>
                <w:szCs w:val="20"/>
              </w:rPr>
              <w:t>-</w:t>
            </w:r>
          </w:p>
        </w:tc>
        <w:tc>
          <w:tcPr>
            <w:tcW w:w="1134" w:type="dxa"/>
          </w:tcPr>
          <w:p w14:paraId="6A177994" w14:textId="77777777" w:rsidR="00170274" w:rsidRPr="00637462" w:rsidRDefault="00170274" w:rsidP="006464EF">
            <w:pPr>
              <w:pStyle w:val="TableText"/>
              <w:jc w:val="both"/>
              <w:rPr>
                <w:color w:val="FFFFFF" w:themeColor="background1"/>
                <w:sz w:val="20"/>
                <w:szCs w:val="20"/>
              </w:rPr>
            </w:pPr>
            <w:r w:rsidRPr="00637462">
              <w:rPr>
                <w:color w:val="FFFFFF" w:themeColor="background1"/>
                <w:sz w:val="20"/>
                <w:szCs w:val="20"/>
              </w:rPr>
              <w:t>-</w:t>
            </w:r>
          </w:p>
        </w:tc>
        <w:tc>
          <w:tcPr>
            <w:tcW w:w="2268" w:type="dxa"/>
          </w:tcPr>
          <w:p w14:paraId="21A01F99" w14:textId="77777777" w:rsidR="00170274" w:rsidRPr="00637462" w:rsidRDefault="00170274" w:rsidP="006464EF">
            <w:pPr>
              <w:pStyle w:val="TableText"/>
              <w:ind w:left="113"/>
              <w:jc w:val="both"/>
              <w:rPr>
                <w:sz w:val="20"/>
                <w:szCs w:val="20"/>
                <w:highlight w:val="yellow"/>
              </w:rPr>
            </w:pPr>
            <w:r w:rsidRPr="00637462">
              <w:rPr>
                <w:sz w:val="20"/>
                <w:szCs w:val="20"/>
              </w:rPr>
              <w:t xml:space="preserve">Total with </w:t>
            </w:r>
            <w:r>
              <w:rPr>
                <w:sz w:val="20"/>
                <w:szCs w:val="20"/>
              </w:rPr>
              <w:t>disease</w:t>
            </w:r>
          </w:p>
        </w:tc>
        <w:tc>
          <w:tcPr>
            <w:tcW w:w="1984" w:type="dxa"/>
          </w:tcPr>
          <w:p w14:paraId="16E8FB97" w14:textId="77777777" w:rsidR="00170274" w:rsidRPr="00637462" w:rsidRDefault="00170274" w:rsidP="006464EF">
            <w:pPr>
              <w:pStyle w:val="TableText"/>
              <w:ind w:left="113"/>
              <w:jc w:val="both"/>
              <w:rPr>
                <w:sz w:val="20"/>
                <w:szCs w:val="20"/>
                <w:highlight w:val="yellow"/>
              </w:rPr>
            </w:pPr>
            <w:r w:rsidRPr="00637462">
              <w:rPr>
                <w:sz w:val="20"/>
                <w:szCs w:val="20"/>
              </w:rPr>
              <w:t xml:space="preserve">Total without </w:t>
            </w:r>
            <w:r>
              <w:rPr>
                <w:sz w:val="20"/>
                <w:szCs w:val="20"/>
              </w:rPr>
              <w:t>disease</w:t>
            </w:r>
          </w:p>
        </w:tc>
        <w:tc>
          <w:tcPr>
            <w:tcW w:w="2127" w:type="dxa"/>
          </w:tcPr>
          <w:p w14:paraId="03087C84" w14:textId="77777777" w:rsidR="00170274" w:rsidRPr="00637462" w:rsidRDefault="00170274" w:rsidP="006464EF">
            <w:pPr>
              <w:pStyle w:val="TableText"/>
              <w:jc w:val="both"/>
              <w:rPr>
                <w:color w:val="FFFFFF" w:themeColor="background1"/>
                <w:sz w:val="20"/>
                <w:szCs w:val="20"/>
              </w:rPr>
            </w:pPr>
            <w:r w:rsidRPr="00637462">
              <w:rPr>
                <w:color w:val="FFFFFF" w:themeColor="background1"/>
                <w:sz w:val="20"/>
                <w:szCs w:val="20"/>
              </w:rPr>
              <w:t>-</w:t>
            </w:r>
          </w:p>
        </w:tc>
      </w:tr>
    </w:tbl>
    <w:p w14:paraId="44523159" w14:textId="03248AA8" w:rsidR="001976B8" w:rsidRPr="004102C6" w:rsidRDefault="001976B8" w:rsidP="00170274">
      <w:pPr>
        <w:spacing w:before="120"/>
        <w:jc w:val="both"/>
      </w:pPr>
      <w:r>
        <w:t>The p</w:t>
      </w:r>
      <w:r w:rsidRPr="004102C6">
        <w:t xml:space="preserve">ositive likelihood ratio (LR+) is the probability </w:t>
      </w:r>
      <w:r w:rsidR="00887341">
        <w:t>of</w:t>
      </w:r>
      <w:r w:rsidRPr="004102C6">
        <w:t xml:space="preserve"> a person who has the disease</w:t>
      </w:r>
      <w:r w:rsidR="00887341">
        <w:t>, in this case ovarian failure</w:t>
      </w:r>
      <w:r>
        <w:t>,</w:t>
      </w:r>
      <w:r w:rsidRPr="004102C6">
        <w:t xml:space="preserve"> testing positive divided by the probability of a person who does not have the disease testing positive</w:t>
      </w:r>
      <w:r w:rsidR="00887341">
        <w:t xml:space="preserve">. The </w:t>
      </w:r>
      <w:r w:rsidR="00887341" w:rsidRPr="004102C6">
        <w:t>LR+</w:t>
      </w:r>
      <w:r>
        <w:t xml:space="preserve"> </w:t>
      </w:r>
      <w:r w:rsidR="00887341">
        <w:t>is</w:t>
      </w:r>
      <w:r>
        <w:t xml:space="preserve"> calculated as follows:</w:t>
      </w:r>
    </w:p>
    <w:p w14:paraId="203C0F4E" w14:textId="1196F71C" w:rsidR="001976B8" w:rsidRPr="004102C6" w:rsidRDefault="001976B8" w:rsidP="007C7765">
      <w:pPr>
        <w:jc w:val="both"/>
        <w:rPr>
          <w:rFonts w:ascii="Arial Narrow" w:hAnsi="Arial Narrow"/>
        </w:rPr>
      </w:pPr>
      <w:r w:rsidRPr="004102C6">
        <w:rPr>
          <w:rFonts w:ascii="Arial Narrow" w:hAnsi="Arial Narrow"/>
        </w:rPr>
        <w:lastRenderedPageBreak/>
        <w:t xml:space="preserve">LR+ = TP rate / FP rate = a / (a + c)] / </w:t>
      </w:r>
      <w:r w:rsidR="00EB382C">
        <w:rPr>
          <w:rFonts w:ascii="Arial Narrow" w:hAnsi="Arial Narrow"/>
        </w:rPr>
        <w:t xml:space="preserve">[b / (b + d) = sensitivity / (1 - </w:t>
      </w:r>
      <w:r w:rsidRPr="004102C6">
        <w:rPr>
          <w:rFonts w:ascii="Arial Narrow" w:hAnsi="Arial Narrow"/>
        </w:rPr>
        <w:t>specificity)</w:t>
      </w:r>
    </w:p>
    <w:p w14:paraId="3B23F35C" w14:textId="4BDCEDA0" w:rsidR="001976B8" w:rsidRPr="004102C6" w:rsidRDefault="001976B8" w:rsidP="007C7765">
      <w:pPr>
        <w:jc w:val="both"/>
      </w:pPr>
      <w:r>
        <w:t>The n</w:t>
      </w:r>
      <w:r w:rsidRPr="004102C6">
        <w:t>egative likelihood ratio (LR-) is the probability of a person who has the disease</w:t>
      </w:r>
      <w:r w:rsidR="00887341">
        <w:t>, in this case ovarian failure</w:t>
      </w:r>
      <w:r>
        <w:t>,</w:t>
      </w:r>
      <w:r w:rsidRPr="004102C6">
        <w:t xml:space="preserve"> testing negative divided by the probability of a person who does not have the disease testing negative</w:t>
      </w:r>
      <w:r w:rsidR="00887341">
        <w:t xml:space="preserve">. The LR- is </w:t>
      </w:r>
      <w:r w:rsidRPr="004102C6">
        <w:t>calculated as follows:</w:t>
      </w:r>
    </w:p>
    <w:p w14:paraId="6D3BE9F5" w14:textId="2BB781D1" w:rsidR="001976B8" w:rsidRPr="004102C6" w:rsidRDefault="001976B8" w:rsidP="007C7765">
      <w:pPr>
        <w:jc w:val="both"/>
        <w:rPr>
          <w:rFonts w:ascii="Arial Narrow" w:hAnsi="Arial Narrow"/>
        </w:rPr>
      </w:pPr>
      <w:r w:rsidRPr="004102C6">
        <w:rPr>
          <w:rFonts w:ascii="Arial Narrow" w:hAnsi="Arial Narrow"/>
        </w:rPr>
        <w:t>LR- = FN rate / TN rate = c</w:t>
      </w:r>
      <w:r w:rsidR="00EB382C">
        <w:rPr>
          <w:rFonts w:ascii="Arial Narrow" w:hAnsi="Arial Narrow"/>
        </w:rPr>
        <w:t xml:space="preserve"> / (a + c)] / [d / (b + d) = (1 - </w:t>
      </w:r>
      <w:r w:rsidRPr="004102C6">
        <w:rPr>
          <w:rFonts w:ascii="Arial Narrow" w:hAnsi="Arial Narrow"/>
        </w:rPr>
        <w:t>sensitivity) / specificity</w:t>
      </w:r>
    </w:p>
    <w:p w14:paraId="5BB18FCC" w14:textId="0FE40E35" w:rsidR="007518CF" w:rsidRDefault="00887341" w:rsidP="007C7765">
      <w:pPr>
        <w:jc w:val="both"/>
      </w:pPr>
      <w:r>
        <w:t>A</w:t>
      </w:r>
      <w:r w:rsidR="001976B8" w:rsidRPr="00476110">
        <w:t xml:space="preserve"> LR of 1 means that the test does not provide any useful diagnostic information, whereas LR+ &gt;5 </w:t>
      </w:r>
      <w:r w:rsidR="001976B8" w:rsidRPr="004E5FC9">
        <w:t xml:space="preserve">and </w:t>
      </w:r>
      <w:r w:rsidR="00A0412A">
        <w:t>LR-</w:t>
      </w:r>
      <w:r w:rsidR="001976B8" w:rsidRPr="004E5FC9">
        <w:t xml:space="preserve"> &lt;0.2 can sug</w:t>
      </w:r>
      <w:r w:rsidR="00D50709">
        <w:t xml:space="preserve">gest strong diagnostic ability </w:t>
      </w:r>
      <w:r w:rsidR="004308C4">
        <w:fldChar w:fldCharType="begin"/>
      </w:r>
      <w:r w:rsidR="004308C4">
        <w:instrText xml:space="preserve"> ADDIN EN.CITE &lt;EndNote&gt;&lt;Cite&gt;&lt;Author&gt;MSAC&lt;/Author&gt;&lt;Year&gt;2005&lt;/Year&gt;&lt;RecNum&gt;412&lt;/RecNum&gt;&lt;IDText&gt;1-93&lt;/IDText&gt;&lt;DisplayText&gt;(MSAC 2005)&lt;/DisplayText&gt;&lt;record&gt;&lt;rec-number&gt;412&lt;/rec-number&gt;&lt;foreign-keys&gt;&lt;key app="EN" db-id="s2dftfxw1fvsr1efx58vfvxtvfwzxea0td02" timestamp="1513746043"&gt;412&lt;/key&gt;&lt;/foreign-keys&gt;&lt;ref-type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Australia&lt;/publisher&gt;&lt;urls&gt;&lt;/urls&gt;&lt;/record&gt;&lt;/Cite&gt;&lt;/EndNote&gt;</w:instrText>
      </w:r>
      <w:r w:rsidR="004308C4">
        <w:fldChar w:fldCharType="separate"/>
      </w:r>
      <w:r w:rsidR="004308C4">
        <w:rPr>
          <w:noProof/>
        </w:rPr>
        <w:t>(</w:t>
      </w:r>
      <w:hyperlink w:anchor="_ENREF_45" w:tooltip="MSAC, 2005 #412" w:history="1">
        <w:r w:rsidR="00835BA6">
          <w:rPr>
            <w:noProof/>
          </w:rPr>
          <w:t>MSAC 2005</w:t>
        </w:r>
      </w:hyperlink>
      <w:r w:rsidR="004308C4">
        <w:rPr>
          <w:noProof/>
        </w:rPr>
        <w:t>)</w:t>
      </w:r>
      <w:r w:rsidR="004308C4">
        <w:fldChar w:fldCharType="end"/>
      </w:r>
      <w:r w:rsidR="001976B8" w:rsidRPr="004E5FC9">
        <w:t>.</w:t>
      </w:r>
    </w:p>
    <w:p w14:paraId="33B64B11" w14:textId="4C1EFBE0" w:rsidR="001976B8" w:rsidRDefault="001976B8" w:rsidP="007C7765">
      <w:pPr>
        <w:jc w:val="both"/>
      </w:pPr>
      <w:r w:rsidRPr="001B498C">
        <w:t>Negative</w:t>
      </w:r>
      <w:r>
        <w:t xml:space="preserve"> </w:t>
      </w:r>
      <w:r w:rsidRPr="001B498C">
        <w:t xml:space="preserve">and positive predictive values (NPV, PPV) </w:t>
      </w:r>
      <w:r>
        <w:t xml:space="preserve">were </w:t>
      </w:r>
      <w:r w:rsidR="00C37C78">
        <w:t>also reported</w:t>
      </w:r>
      <w:r>
        <w:t>. They are defined as follows:</w:t>
      </w:r>
    </w:p>
    <w:p w14:paraId="736AA5D6" w14:textId="77777777" w:rsidR="001976B8" w:rsidRPr="001B498C" w:rsidRDefault="001976B8" w:rsidP="007C7765">
      <w:pPr>
        <w:jc w:val="both"/>
        <w:rPr>
          <w:rFonts w:ascii="Arial Narrow" w:hAnsi="Arial Narrow"/>
        </w:rPr>
      </w:pPr>
      <w:r w:rsidRPr="001B498C">
        <w:rPr>
          <w:rFonts w:ascii="Arial Narrow" w:hAnsi="Arial Narrow"/>
        </w:rPr>
        <w:t>PPV (proportion of positive results that are true positives) = true positives / true + false positives</w:t>
      </w:r>
    </w:p>
    <w:p w14:paraId="3A0EB063" w14:textId="612D7F3D" w:rsidR="001976B8" w:rsidRPr="00FB7885" w:rsidRDefault="001976B8" w:rsidP="007C7765">
      <w:pPr>
        <w:jc w:val="both"/>
        <w:rPr>
          <w:rFonts w:ascii="Arial Narrow" w:hAnsi="Arial Narrow"/>
        </w:rPr>
      </w:pPr>
      <w:r w:rsidRPr="001B498C">
        <w:rPr>
          <w:rFonts w:ascii="Arial Narrow" w:hAnsi="Arial Narrow"/>
        </w:rPr>
        <w:t>NPV (proportion of negative results that are true negatives) = true neg</w:t>
      </w:r>
      <w:r w:rsidR="00FB7885">
        <w:rPr>
          <w:rFonts w:ascii="Arial Narrow" w:hAnsi="Arial Narrow"/>
        </w:rPr>
        <w:t>atives / true + false negatives</w:t>
      </w:r>
    </w:p>
    <w:p w14:paraId="14FD2363" w14:textId="273AC0EE" w:rsidR="0055629E" w:rsidRDefault="0055629E" w:rsidP="00D366DE">
      <w:pPr>
        <w:pStyle w:val="Heading2"/>
        <w:numPr>
          <w:ilvl w:val="1"/>
          <w:numId w:val="18"/>
        </w:numPr>
      </w:pPr>
      <w:bookmarkStart w:id="303" w:name="_Toc502832954"/>
      <w:r w:rsidRPr="00183E4D">
        <w:t xml:space="preserve">Results of the </w:t>
      </w:r>
      <w:r w:rsidR="00DC5CE5">
        <w:t>s</w:t>
      </w:r>
      <w:r w:rsidRPr="00183E4D">
        <w:t xml:space="preserve">ystematic </w:t>
      </w:r>
      <w:r w:rsidR="00DC5CE5">
        <w:t>l</w:t>
      </w:r>
      <w:r w:rsidRPr="00183E4D">
        <w:t>iterature review</w:t>
      </w:r>
      <w:bookmarkEnd w:id="303"/>
    </w:p>
    <w:p w14:paraId="06B9B5D3" w14:textId="77777777" w:rsidR="00A813F1" w:rsidRDefault="00A813F1" w:rsidP="0055629E">
      <w:pPr>
        <w:pStyle w:val="Heading3"/>
      </w:pPr>
      <w:bookmarkStart w:id="304" w:name="_Toc502832955"/>
      <w:r>
        <w:t>Prognostic and predictive value of AMH testing</w:t>
      </w:r>
      <w:bookmarkEnd w:id="304"/>
    </w:p>
    <w:p w14:paraId="34EEBE42" w14:textId="240641F3" w:rsidR="007518CF" w:rsidRDefault="00DD53E7" w:rsidP="00A813F1">
      <w:pPr>
        <w:pStyle w:val="Summaryboxheading"/>
        <w:pBdr>
          <w:top w:val="single" w:sz="4" w:space="1" w:color="auto"/>
          <w:left w:val="single" w:sz="4" w:space="4" w:color="auto"/>
          <w:bottom w:val="single" w:sz="4" w:space="1" w:color="auto"/>
          <w:right w:val="single" w:sz="4" w:space="4" w:color="auto"/>
        </w:pBdr>
        <w:jc w:val="both"/>
      </w:pPr>
      <w:r>
        <w:t>Summary</w:t>
      </w:r>
    </w:p>
    <w:p w14:paraId="48573308" w14:textId="2BF5536D" w:rsidR="00A813F1" w:rsidRDefault="007E7F41" w:rsidP="00A813F1">
      <w:pPr>
        <w:pStyle w:val="Summaryboxheading"/>
        <w:pBdr>
          <w:top w:val="single" w:sz="4" w:space="1" w:color="auto"/>
          <w:left w:val="single" w:sz="4" w:space="4" w:color="auto"/>
          <w:bottom w:val="single" w:sz="4" w:space="1" w:color="auto"/>
          <w:right w:val="single" w:sz="4" w:space="4" w:color="auto"/>
        </w:pBdr>
        <w:jc w:val="both"/>
      </w:pPr>
      <w:r w:rsidRPr="007E7F41">
        <w:t xml:space="preserve">Will the extra information generated as a result of the AMH test be of additional prognostic value in female patients prior to receiving gonadotoxic treatment, compared to FSH, </w:t>
      </w:r>
      <w:r w:rsidR="00FD4398">
        <w:t>E2</w:t>
      </w:r>
      <w:r w:rsidRPr="007E7F41">
        <w:t xml:space="preserve"> and/or AFC ultrasound alone?</w:t>
      </w:r>
    </w:p>
    <w:p w14:paraId="370AE953" w14:textId="0B12893A" w:rsidR="00FA00BD" w:rsidRPr="00FA00BD" w:rsidRDefault="00FA00BD" w:rsidP="00FA00BD">
      <w:pPr>
        <w:pStyle w:val="Summaryboxheading"/>
        <w:pBdr>
          <w:top w:val="single" w:sz="4" w:space="1" w:color="auto"/>
          <w:left w:val="single" w:sz="4" w:space="4" w:color="auto"/>
          <w:bottom w:val="single" w:sz="4" w:space="1" w:color="auto"/>
          <w:right w:val="single" w:sz="4" w:space="4" w:color="auto"/>
        </w:pBdr>
        <w:rPr>
          <w:b w:val="0"/>
        </w:rPr>
      </w:pPr>
      <w:r w:rsidRPr="00FA00BD">
        <w:rPr>
          <w:b w:val="0"/>
        </w:rPr>
        <w:t>AMH testing was considered to be mainly of prognostic and predictive value. El</w:t>
      </w:r>
      <w:r w:rsidR="00DC350F">
        <w:rPr>
          <w:b w:val="0"/>
        </w:rPr>
        <w:t xml:space="preserve">even studies were identified on using AMH to </w:t>
      </w:r>
      <w:r w:rsidRPr="00FA00BD">
        <w:rPr>
          <w:b w:val="0"/>
        </w:rPr>
        <w:t>predict ovarian function at follow-up</w:t>
      </w:r>
      <w:r w:rsidR="00DC350F">
        <w:rPr>
          <w:b w:val="0"/>
        </w:rPr>
        <w:t xml:space="preserve"> in women undergoing gondadotoxic treatment</w:t>
      </w:r>
      <w:r w:rsidRPr="00FA00BD">
        <w:rPr>
          <w:b w:val="0"/>
        </w:rPr>
        <w:t xml:space="preserve">. </w:t>
      </w:r>
      <w:r w:rsidR="00DC350F">
        <w:rPr>
          <w:b w:val="0"/>
        </w:rPr>
        <w:t>M</w:t>
      </w:r>
      <w:r w:rsidRPr="00FA00BD">
        <w:rPr>
          <w:b w:val="0"/>
        </w:rPr>
        <w:t>ostly women with breast cancer</w:t>
      </w:r>
      <w:r w:rsidR="00DC350F">
        <w:rPr>
          <w:b w:val="0"/>
        </w:rPr>
        <w:t xml:space="preserve"> were included</w:t>
      </w:r>
      <w:r w:rsidRPr="00FA00BD">
        <w:rPr>
          <w:b w:val="0"/>
        </w:rPr>
        <w:t xml:space="preserve">. </w:t>
      </w:r>
      <w:r w:rsidR="00FD4398">
        <w:rPr>
          <w:b w:val="0"/>
        </w:rPr>
        <w:t>Six of the seven</w:t>
      </w:r>
      <w:r w:rsidR="00DC350F">
        <w:rPr>
          <w:b w:val="0"/>
        </w:rPr>
        <w:t xml:space="preserve"> studies reporting m</w:t>
      </w:r>
      <w:r w:rsidR="00FD4398">
        <w:rPr>
          <w:b w:val="0"/>
        </w:rPr>
        <w:t xml:space="preserve">ean or </w:t>
      </w:r>
      <w:r w:rsidRPr="00FA00BD">
        <w:rPr>
          <w:b w:val="0"/>
        </w:rPr>
        <w:t xml:space="preserve">median baseline AMH values </w:t>
      </w:r>
      <w:r w:rsidR="00DC350F">
        <w:rPr>
          <w:b w:val="0"/>
        </w:rPr>
        <w:t xml:space="preserve">showed significantly lower baseline AMH levels in women with </w:t>
      </w:r>
      <w:r w:rsidR="00FD4398">
        <w:rPr>
          <w:b w:val="0"/>
        </w:rPr>
        <w:t>CRA</w:t>
      </w:r>
      <w:r w:rsidR="00DC350F">
        <w:rPr>
          <w:b w:val="0"/>
        </w:rPr>
        <w:t>, with a</w:t>
      </w:r>
      <w:r w:rsidRPr="00FA00BD">
        <w:rPr>
          <w:b w:val="0"/>
        </w:rPr>
        <w:t xml:space="preserve"> </w:t>
      </w:r>
      <w:r w:rsidR="00DC350F">
        <w:rPr>
          <w:b w:val="0"/>
        </w:rPr>
        <w:t>f</w:t>
      </w:r>
      <w:r w:rsidRPr="00FA00BD">
        <w:rPr>
          <w:b w:val="0"/>
        </w:rPr>
        <w:t xml:space="preserve">ollow-up </w:t>
      </w:r>
      <w:r w:rsidR="00DC350F">
        <w:rPr>
          <w:b w:val="0"/>
        </w:rPr>
        <w:t>of</w:t>
      </w:r>
      <w:r w:rsidRPr="00FA00BD">
        <w:rPr>
          <w:b w:val="0"/>
        </w:rPr>
        <w:t xml:space="preserve"> 6 months to 5 years after enrolment or treatment. Higher mean age and lower AFC count were also associated with CRA at follow-up (in 4/4 studies and 2/2 studies, respectively). The other compara</w:t>
      </w:r>
      <w:r w:rsidR="00DC350F">
        <w:rPr>
          <w:b w:val="0"/>
        </w:rPr>
        <w:t>tor test values were only associated with CRA in about half the studies.</w:t>
      </w:r>
    </w:p>
    <w:p w14:paraId="38A5EB05" w14:textId="70AAD6EA" w:rsidR="00FA00BD" w:rsidRPr="00FA00BD" w:rsidRDefault="00FA00BD" w:rsidP="00FA00BD">
      <w:pPr>
        <w:pStyle w:val="Summaryboxheading"/>
        <w:pBdr>
          <w:top w:val="single" w:sz="4" w:space="1" w:color="auto"/>
          <w:left w:val="single" w:sz="4" w:space="4" w:color="auto"/>
          <w:bottom w:val="single" w:sz="4" w:space="1" w:color="auto"/>
          <w:right w:val="single" w:sz="4" w:space="4" w:color="auto"/>
        </w:pBdr>
        <w:rPr>
          <w:b w:val="0"/>
        </w:rPr>
      </w:pPr>
      <w:r w:rsidRPr="00FA00BD">
        <w:rPr>
          <w:b w:val="0"/>
        </w:rPr>
        <w:t xml:space="preserve">AMH remained a significant predictor for </w:t>
      </w:r>
      <w:r w:rsidR="00FD4398">
        <w:rPr>
          <w:b w:val="0"/>
        </w:rPr>
        <w:t>the continuation or resumption</w:t>
      </w:r>
      <w:r w:rsidRPr="00FA00BD">
        <w:rPr>
          <w:b w:val="0"/>
        </w:rPr>
        <w:t xml:space="preserve"> of ovarian function</w:t>
      </w:r>
      <w:r w:rsidR="00DC350F">
        <w:rPr>
          <w:b w:val="0"/>
        </w:rPr>
        <w:t xml:space="preserve"> in the multivariate analysis</w:t>
      </w:r>
      <w:r w:rsidR="00CC2089">
        <w:rPr>
          <w:b w:val="0"/>
        </w:rPr>
        <w:t xml:space="preserve"> in 80</w:t>
      </w:r>
      <w:r w:rsidR="00B169D7">
        <w:rPr>
          <w:b w:val="0"/>
        </w:rPr>
        <w:t>%</w:t>
      </w:r>
      <w:r w:rsidR="00CC2089">
        <w:rPr>
          <w:b w:val="0"/>
        </w:rPr>
        <w:t xml:space="preserve"> of</w:t>
      </w:r>
      <w:r w:rsidRPr="00FA00BD">
        <w:rPr>
          <w:b w:val="0"/>
        </w:rPr>
        <w:t xml:space="preserve"> studies</w:t>
      </w:r>
      <w:r w:rsidR="00CC2089">
        <w:rPr>
          <w:b w:val="0"/>
        </w:rPr>
        <w:t xml:space="preserve"> (4/5)</w:t>
      </w:r>
      <w:r w:rsidRPr="00FA00BD">
        <w:rPr>
          <w:b w:val="0"/>
        </w:rPr>
        <w:t xml:space="preserve">. The largest study reported that </w:t>
      </w:r>
      <w:r w:rsidR="00CC2089">
        <w:rPr>
          <w:b w:val="0"/>
        </w:rPr>
        <w:t xml:space="preserve">over a median of 163 days, </w:t>
      </w:r>
      <w:r w:rsidRPr="00FA00BD">
        <w:rPr>
          <w:b w:val="0"/>
        </w:rPr>
        <w:t xml:space="preserve">women with an AMH above 0.7 ng/mL have </w:t>
      </w:r>
      <w:r w:rsidR="00FD4398">
        <w:rPr>
          <w:b w:val="0"/>
        </w:rPr>
        <w:t xml:space="preserve">a threefold greater probability of </w:t>
      </w:r>
      <w:r w:rsidRPr="00FA00BD">
        <w:rPr>
          <w:b w:val="0"/>
        </w:rPr>
        <w:t xml:space="preserve">shorter time to ovarian recovery </w:t>
      </w:r>
      <w:r w:rsidR="00FD4398">
        <w:rPr>
          <w:b w:val="0"/>
        </w:rPr>
        <w:t>compared to</w:t>
      </w:r>
      <w:r w:rsidRPr="00FA00BD">
        <w:rPr>
          <w:b w:val="0"/>
        </w:rPr>
        <w:t xml:space="preserve"> women with </w:t>
      </w:r>
      <w:r w:rsidR="00FD4398">
        <w:rPr>
          <w:b w:val="0"/>
        </w:rPr>
        <w:t xml:space="preserve">an </w:t>
      </w:r>
      <w:r w:rsidRPr="00FA00BD">
        <w:rPr>
          <w:b w:val="0"/>
        </w:rPr>
        <w:t xml:space="preserve">AMH </w:t>
      </w:r>
      <w:r w:rsidR="00CC2089">
        <w:rPr>
          <w:b w:val="0"/>
        </w:rPr>
        <w:t xml:space="preserve">level </w:t>
      </w:r>
      <w:r w:rsidR="003B42B2">
        <w:rPr>
          <w:b w:val="0"/>
        </w:rPr>
        <w:t>&lt;</w:t>
      </w:r>
      <w:r w:rsidRPr="00FA00BD">
        <w:rPr>
          <w:b w:val="0"/>
        </w:rPr>
        <w:t>0.7 ng/mL. FSH (</w:t>
      </w:r>
      <w:r w:rsidR="003B42B2">
        <w:rPr>
          <w:b w:val="0"/>
        </w:rPr>
        <w:t>≤</w:t>
      </w:r>
      <w:r w:rsidRPr="00FA00BD">
        <w:rPr>
          <w:b w:val="0"/>
        </w:rPr>
        <w:t>10 IU/L) and age (</w:t>
      </w:r>
      <w:r w:rsidR="003B42B2">
        <w:rPr>
          <w:b w:val="0"/>
        </w:rPr>
        <w:t>&lt;</w:t>
      </w:r>
      <w:r w:rsidRPr="00FA00BD">
        <w:rPr>
          <w:b w:val="0"/>
        </w:rPr>
        <w:t>40 years) were also predictive for shorter time to ovarian recov</w:t>
      </w:r>
      <w:r w:rsidR="00FD4398">
        <w:rPr>
          <w:b w:val="0"/>
        </w:rPr>
        <w:t xml:space="preserve">ery, with HRs of 4.7 (95%CI 1.3, 16.8) and 3.39 (95%CI 1.74, </w:t>
      </w:r>
      <w:r w:rsidRPr="00FA00BD">
        <w:rPr>
          <w:b w:val="0"/>
        </w:rPr>
        <w:t>6.60), respectively.</w:t>
      </w:r>
    </w:p>
    <w:p w14:paraId="427CCC19" w14:textId="0E1593B9" w:rsidR="00FA00BD" w:rsidRPr="00FA00BD" w:rsidRDefault="008A0EAA" w:rsidP="00FA00BD">
      <w:pPr>
        <w:pStyle w:val="Summaryboxheading"/>
        <w:pBdr>
          <w:top w:val="single" w:sz="4" w:space="1" w:color="auto"/>
          <w:left w:val="single" w:sz="4" w:space="4" w:color="auto"/>
          <w:bottom w:val="single" w:sz="4" w:space="1" w:color="auto"/>
          <w:right w:val="single" w:sz="4" w:space="4" w:color="auto"/>
        </w:pBdr>
        <w:rPr>
          <w:b w:val="0"/>
        </w:rPr>
      </w:pPr>
      <w:r>
        <w:rPr>
          <w:b w:val="0"/>
        </w:rPr>
        <w:t xml:space="preserve">ROC curve </w:t>
      </w:r>
      <w:r w:rsidR="00035EEF">
        <w:rPr>
          <w:b w:val="0"/>
        </w:rPr>
        <w:t>analysis of</w:t>
      </w:r>
      <w:r>
        <w:rPr>
          <w:b w:val="0"/>
        </w:rPr>
        <w:t xml:space="preserve"> the accuracy of AMH for predicting ovarian function was included in t</w:t>
      </w:r>
      <w:r w:rsidR="00FA00BD" w:rsidRPr="00FA00BD">
        <w:rPr>
          <w:b w:val="0"/>
        </w:rPr>
        <w:t>wo studies</w:t>
      </w:r>
      <w:r>
        <w:rPr>
          <w:b w:val="0"/>
        </w:rPr>
        <w:t xml:space="preserve"> to determine the optimal cut-off point for AMH values.</w:t>
      </w:r>
      <w:r w:rsidR="00FA00BD" w:rsidRPr="00FA00BD">
        <w:rPr>
          <w:b w:val="0"/>
        </w:rPr>
        <w:t xml:space="preserve"> </w:t>
      </w:r>
      <w:r w:rsidR="00CE7E08">
        <w:rPr>
          <w:b w:val="0"/>
        </w:rPr>
        <w:t>A</w:t>
      </w:r>
      <w:r w:rsidR="00035EEF">
        <w:rPr>
          <w:b w:val="0"/>
        </w:rPr>
        <w:t>n AUC for AMH of &gt;</w:t>
      </w:r>
      <w:r w:rsidR="00FA00BD" w:rsidRPr="00FA00BD">
        <w:rPr>
          <w:b w:val="0"/>
        </w:rPr>
        <w:t>0.8</w:t>
      </w:r>
      <w:r w:rsidR="00CE7E08">
        <w:rPr>
          <w:b w:val="0"/>
        </w:rPr>
        <w:t xml:space="preserve"> was observed in both studies</w:t>
      </w:r>
      <w:r w:rsidR="00FA00BD" w:rsidRPr="00FA00BD">
        <w:rPr>
          <w:b w:val="0"/>
        </w:rPr>
        <w:t xml:space="preserve"> which indicates good test performance. One study showed AMH values </w:t>
      </w:r>
      <w:r w:rsidR="003B42B2">
        <w:rPr>
          <w:b w:val="0"/>
        </w:rPr>
        <w:t>≥</w:t>
      </w:r>
      <w:r w:rsidR="00FA00BD" w:rsidRPr="00FA00BD">
        <w:rPr>
          <w:b w:val="0"/>
        </w:rPr>
        <w:t xml:space="preserve">3.32 ng/mL were protective for the occurrence of oligomenorrhea or amenorrhea after treatment, with a sensitivity of 85% and a specificity of 75% </w:t>
      </w:r>
      <w:r w:rsidR="00FA00BD" w:rsidRPr="00FA00BD">
        <w:rPr>
          <w:b w:val="0"/>
        </w:rPr>
        <w:lastRenderedPageBreak/>
        <w:t xml:space="preserve">(n=52). AFC </w:t>
      </w:r>
      <w:r w:rsidR="001A5119">
        <w:rPr>
          <w:b w:val="0"/>
        </w:rPr>
        <w:t xml:space="preserve">had </w:t>
      </w:r>
      <w:r w:rsidR="00FA00BD" w:rsidRPr="00FA00BD">
        <w:rPr>
          <w:b w:val="0"/>
        </w:rPr>
        <w:t>a sensitivity of 83% and a specificity of 62%</w:t>
      </w:r>
      <w:r w:rsidR="001A5119">
        <w:rPr>
          <w:b w:val="0"/>
        </w:rPr>
        <w:t>, with a cut-off of</w:t>
      </w:r>
      <w:r w:rsidR="001A5119" w:rsidRPr="00FA00BD">
        <w:rPr>
          <w:b w:val="0"/>
        </w:rPr>
        <w:t xml:space="preserve"> &lt;13 follicles </w:t>
      </w:r>
      <w:r w:rsidR="001A5119">
        <w:rPr>
          <w:b w:val="0"/>
        </w:rPr>
        <w:t xml:space="preserve">to predict </w:t>
      </w:r>
      <w:r w:rsidR="00035EEF" w:rsidRPr="00FA00BD">
        <w:rPr>
          <w:b w:val="0"/>
        </w:rPr>
        <w:t>oligomenorrhea</w:t>
      </w:r>
      <w:r w:rsidR="001A5119">
        <w:rPr>
          <w:b w:val="0"/>
        </w:rPr>
        <w:t xml:space="preserve"> or amenorrhea</w:t>
      </w:r>
      <w:r w:rsidR="00035EEF">
        <w:rPr>
          <w:b w:val="0"/>
        </w:rPr>
        <w:t xml:space="preserve"> at the 6-month follow-up</w:t>
      </w:r>
      <w:r w:rsidR="00FA00BD" w:rsidRPr="00FA00BD">
        <w:rPr>
          <w:b w:val="0"/>
        </w:rPr>
        <w:t xml:space="preserve">. </w:t>
      </w:r>
      <w:r w:rsidR="001A5119">
        <w:rPr>
          <w:b w:val="0"/>
        </w:rPr>
        <w:t>One study including breast cancer patients presented a</w:t>
      </w:r>
      <w:r w:rsidR="00FA00BD" w:rsidRPr="00FA00BD">
        <w:rPr>
          <w:b w:val="0"/>
        </w:rPr>
        <w:t xml:space="preserve"> classification mosaic chart including </w:t>
      </w:r>
      <w:r w:rsidR="00035EEF">
        <w:rPr>
          <w:b w:val="0"/>
        </w:rPr>
        <w:t xml:space="preserve">cut-offs for </w:t>
      </w:r>
      <w:r w:rsidR="00FA00BD" w:rsidRPr="00FA00BD">
        <w:rPr>
          <w:b w:val="0"/>
        </w:rPr>
        <w:t xml:space="preserve">age </w:t>
      </w:r>
      <w:r w:rsidR="00035EEF">
        <w:rPr>
          <w:b w:val="0"/>
        </w:rPr>
        <w:t xml:space="preserve">and AMH score set at </w:t>
      </w:r>
      <w:r w:rsidR="00FA00BD" w:rsidRPr="00FA00BD">
        <w:rPr>
          <w:b w:val="0"/>
        </w:rPr>
        <w:t xml:space="preserve">38.6 years </w:t>
      </w:r>
      <w:r w:rsidR="00035EEF">
        <w:rPr>
          <w:b w:val="0"/>
        </w:rPr>
        <w:t>and 3.8 pmol/L, respectively,</w:t>
      </w:r>
      <w:r w:rsidR="00FA00BD" w:rsidRPr="00FA00BD">
        <w:rPr>
          <w:b w:val="0"/>
        </w:rPr>
        <w:t xml:space="preserve"> </w:t>
      </w:r>
      <w:r w:rsidR="001A5119">
        <w:rPr>
          <w:b w:val="0"/>
        </w:rPr>
        <w:t xml:space="preserve">and showed </w:t>
      </w:r>
      <w:r w:rsidR="00FA00BD" w:rsidRPr="00FA00BD">
        <w:rPr>
          <w:b w:val="0"/>
        </w:rPr>
        <w:t>a</w:t>
      </w:r>
      <w:r w:rsidR="001A5119">
        <w:rPr>
          <w:b w:val="0"/>
        </w:rPr>
        <w:t xml:space="preserve"> sensitivity</w:t>
      </w:r>
      <w:r w:rsidR="00FA00BD" w:rsidRPr="00FA00BD">
        <w:rPr>
          <w:b w:val="0"/>
        </w:rPr>
        <w:t xml:space="preserve"> </w:t>
      </w:r>
      <w:r w:rsidR="001A5119">
        <w:rPr>
          <w:b w:val="0"/>
        </w:rPr>
        <w:t>a</w:t>
      </w:r>
      <w:r w:rsidR="00FA00BD" w:rsidRPr="00FA00BD">
        <w:rPr>
          <w:b w:val="0"/>
        </w:rPr>
        <w:t>nd specificity of</w:t>
      </w:r>
      <w:r w:rsidR="001A5119">
        <w:rPr>
          <w:b w:val="0"/>
        </w:rPr>
        <w:t xml:space="preserve"> 98.2% and</w:t>
      </w:r>
      <w:r w:rsidR="00FA00BD" w:rsidRPr="00FA00BD">
        <w:rPr>
          <w:b w:val="0"/>
        </w:rPr>
        <w:t xml:space="preserve"> 80.0%</w:t>
      </w:r>
      <w:r w:rsidR="001A5119">
        <w:rPr>
          <w:b w:val="0"/>
        </w:rPr>
        <w:t>, respectively,</w:t>
      </w:r>
      <w:r w:rsidR="00FA00BD" w:rsidRPr="00FA00BD">
        <w:rPr>
          <w:b w:val="0"/>
        </w:rPr>
        <w:t xml:space="preserve"> in predicting</w:t>
      </w:r>
      <w:r w:rsidR="001A5119">
        <w:rPr>
          <w:b w:val="0"/>
        </w:rPr>
        <w:t xml:space="preserve"> amenorrhea after </w:t>
      </w:r>
      <w:r w:rsidR="00035EEF">
        <w:rPr>
          <w:b w:val="0"/>
        </w:rPr>
        <w:t>two</w:t>
      </w:r>
      <w:r w:rsidR="001A5119">
        <w:rPr>
          <w:b w:val="0"/>
        </w:rPr>
        <w:t xml:space="preserve"> years (</w:t>
      </w:r>
      <w:r w:rsidR="00FA00BD" w:rsidRPr="00FA00BD">
        <w:rPr>
          <w:b w:val="0"/>
        </w:rPr>
        <w:t>n=75</w:t>
      </w:r>
      <w:r w:rsidR="001A5119">
        <w:rPr>
          <w:b w:val="0"/>
        </w:rPr>
        <w:t>)</w:t>
      </w:r>
      <w:r w:rsidR="00FA00BD" w:rsidRPr="00FA00BD">
        <w:rPr>
          <w:b w:val="0"/>
        </w:rPr>
        <w:t xml:space="preserve">. The lack of standardisation </w:t>
      </w:r>
      <w:r w:rsidR="0045249B">
        <w:rPr>
          <w:b w:val="0"/>
        </w:rPr>
        <w:t>complicates the interpretation of the</w:t>
      </w:r>
      <w:r w:rsidR="00FA00BD" w:rsidRPr="00FA00BD">
        <w:rPr>
          <w:b w:val="0"/>
        </w:rPr>
        <w:t xml:space="preserve"> AMH values and</w:t>
      </w:r>
      <w:r w:rsidR="0045249B">
        <w:rPr>
          <w:b w:val="0"/>
        </w:rPr>
        <w:t xml:space="preserve"> therefore</w:t>
      </w:r>
      <w:r w:rsidR="00FA00BD" w:rsidRPr="00FA00BD">
        <w:rPr>
          <w:b w:val="0"/>
        </w:rPr>
        <w:t xml:space="preserve"> determining standardised clinically relevant thresholds for AMH testing in Australia may improve the prognostic value of the test in clinical practice.</w:t>
      </w:r>
    </w:p>
    <w:p w14:paraId="72680781" w14:textId="50CF13CD" w:rsidR="00FA00BD" w:rsidRPr="00FA00BD" w:rsidRDefault="00FA00BD" w:rsidP="00FA00BD">
      <w:pPr>
        <w:pStyle w:val="Summaryboxheading"/>
        <w:pBdr>
          <w:top w:val="single" w:sz="4" w:space="1" w:color="auto"/>
          <w:left w:val="single" w:sz="4" w:space="4" w:color="auto"/>
          <w:bottom w:val="single" w:sz="4" w:space="1" w:color="auto"/>
          <w:right w:val="single" w:sz="4" w:space="4" w:color="auto"/>
        </w:pBdr>
        <w:rPr>
          <w:b w:val="0"/>
        </w:rPr>
      </w:pPr>
      <w:r>
        <w:rPr>
          <w:b w:val="0"/>
        </w:rPr>
        <w:t>T</w:t>
      </w:r>
      <w:r w:rsidRPr="00FA00BD">
        <w:rPr>
          <w:b w:val="0"/>
        </w:rPr>
        <w:t>he prognostic value of post-treatment AMH testing in the patient population</w:t>
      </w:r>
      <w:r>
        <w:rPr>
          <w:b w:val="0"/>
        </w:rPr>
        <w:t xml:space="preserve"> is hard to determine due to limited evidence</w:t>
      </w:r>
      <w:r w:rsidRPr="00FA00BD">
        <w:rPr>
          <w:b w:val="0"/>
        </w:rPr>
        <w:t xml:space="preserve"> (k=2). </w:t>
      </w:r>
      <w:r w:rsidR="00D16620">
        <w:rPr>
          <w:b w:val="0"/>
        </w:rPr>
        <w:t xml:space="preserve">No evidence was identified on the </w:t>
      </w:r>
      <w:r w:rsidRPr="00FA00BD">
        <w:rPr>
          <w:b w:val="0"/>
        </w:rPr>
        <w:t xml:space="preserve">incremental value of AMH testing. However, the limited evidence </w:t>
      </w:r>
      <w:r w:rsidR="00D16620">
        <w:rPr>
          <w:b w:val="0"/>
        </w:rPr>
        <w:t xml:space="preserve">available </w:t>
      </w:r>
      <w:r w:rsidRPr="00FA00BD">
        <w:rPr>
          <w:b w:val="0"/>
        </w:rPr>
        <w:t>indicate</w:t>
      </w:r>
      <w:r w:rsidR="00D16620">
        <w:rPr>
          <w:b w:val="0"/>
        </w:rPr>
        <w:t>d</w:t>
      </w:r>
      <w:r w:rsidRPr="00FA00BD">
        <w:rPr>
          <w:b w:val="0"/>
        </w:rPr>
        <w:t xml:space="preserve"> th</w:t>
      </w:r>
      <w:r w:rsidR="00035EEF">
        <w:rPr>
          <w:b w:val="0"/>
        </w:rPr>
        <w:t xml:space="preserve">at a woman with detectable AMH post-chemotherapy, </w:t>
      </w:r>
      <w:r w:rsidRPr="00FA00BD">
        <w:rPr>
          <w:b w:val="0"/>
        </w:rPr>
        <w:t xml:space="preserve">measured by </w:t>
      </w:r>
      <w:r w:rsidR="000701EE">
        <w:rPr>
          <w:b w:val="0"/>
        </w:rPr>
        <w:t>pico</w:t>
      </w:r>
      <w:r w:rsidRPr="00FA00BD">
        <w:rPr>
          <w:b w:val="0"/>
        </w:rPr>
        <w:t>-</w:t>
      </w:r>
      <w:r w:rsidR="00035EEF">
        <w:rPr>
          <w:b w:val="0"/>
        </w:rPr>
        <w:t>AMH ELISA,</w:t>
      </w:r>
      <w:r w:rsidR="00D16620">
        <w:rPr>
          <w:b w:val="0"/>
        </w:rPr>
        <w:t xml:space="preserve"> is </w:t>
      </w:r>
      <w:r w:rsidRPr="00FA00BD">
        <w:rPr>
          <w:b w:val="0"/>
        </w:rPr>
        <w:t xml:space="preserve">likely to have ongoing menses for at least </w:t>
      </w:r>
      <w:r w:rsidR="00035EEF">
        <w:rPr>
          <w:b w:val="0"/>
        </w:rPr>
        <w:t>three</w:t>
      </w:r>
      <w:r w:rsidRPr="00FA00BD">
        <w:rPr>
          <w:b w:val="0"/>
        </w:rPr>
        <w:t xml:space="preserve"> years</w:t>
      </w:r>
      <w:r w:rsidR="00035EEF">
        <w:rPr>
          <w:b w:val="0"/>
        </w:rPr>
        <w:t>,</w:t>
      </w:r>
      <w:r w:rsidRPr="00FA00BD">
        <w:rPr>
          <w:b w:val="0"/>
        </w:rPr>
        <w:t xml:space="preserve"> whereas a woman with undetectable AMH</w:t>
      </w:r>
      <w:r w:rsidR="00035EEF">
        <w:rPr>
          <w:b w:val="0"/>
        </w:rPr>
        <w:t xml:space="preserve">, </w:t>
      </w:r>
      <w:r w:rsidR="00D16620">
        <w:rPr>
          <w:b w:val="0"/>
        </w:rPr>
        <w:t>and ther</w:t>
      </w:r>
      <w:r w:rsidR="00035EEF">
        <w:rPr>
          <w:b w:val="0"/>
        </w:rPr>
        <w:t>efore lack of ovarian reserve,</w:t>
      </w:r>
      <w:r w:rsidRPr="00FA00BD">
        <w:rPr>
          <w:b w:val="0"/>
        </w:rPr>
        <w:t xml:space="preserve"> is likely to continue to have amenorrhoea.</w:t>
      </w:r>
    </w:p>
    <w:p w14:paraId="626A664F" w14:textId="77777777" w:rsidR="007518CF" w:rsidRDefault="009042DA" w:rsidP="00FA00BD">
      <w:pPr>
        <w:pStyle w:val="Summaryboxheading"/>
        <w:pBdr>
          <w:top w:val="single" w:sz="4" w:space="1" w:color="auto"/>
          <w:left w:val="single" w:sz="4" w:space="4" w:color="auto"/>
          <w:bottom w:val="single" w:sz="4" w:space="1" w:color="auto"/>
          <w:right w:val="single" w:sz="4" w:space="4" w:color="auto"/>
        </w:pBdr>
        <w:rPr>
          <w:b w:val="0"/>
        </w:rPr>
      </w:pPr>
      <w:r>
        <w:rPr>
          <w:b w:val="0"/>
        </w:rPr>
        <w:t>A predictive relationship between AMH levels and pregnancy rate was only identified in one out of six studies.</w:t>
      </w:r>
      <w:r w:rsidR="00FA00BD" w:rsidRPr="00FA00BD">
        <w:rPr>
          <w:b w:val="0"/>
        </w:rPr>
        <w:t xml:space="preserve"> Only one small study found a lower pregnancy rate in the group with low AMH levels.</w:t>
      </w:r>
    </w:p>
    <w:p w14:paraId="5DB70B3F" w14:textId="4605AA7D" w:rsidR="007E7F41" w:rsidRDefault="007E7F41" w:rsidP="00A813F1">
      <w:pPr>
        <w:pStyle w:val="Summaryboxheading"/>
        <w:pBdr>
          <w:top w:val="single" w:sz="4" w:space="1" w:color="auto"/>
          <w:left w:val="single" w:sz="4" w:space="4" w:color="auto"/>
          <w:bottom w:val="single" w:sz="4" w:space="1" w:color="auto"/>
          <w:right w:val="single" w:sz="4" w:space="4" w:color="auto"/>
        </w:pBdr>
        <w:jc w:val="both"/>
      </w:pPr>
      <w:r w:rsidRPr="007E7F41">
        <w:t>Does the addition of AMH testing to standard tests allow better prediction of response to superovulation than standard tests alone?</w:t>
      </w:r>
    </w:p>
    <w:p w14:paraId="0BC67227" w14:textId="6CD4E452" w:rsidR="007518CF" w:rsidRDefault="00E05CE2" w:rsidP="00E05CE2">
      <w:pPr>
        <w:pStyle w:val="Summaryboxheading"/>
        <w:pBdr>
          <w:top w:val="single" w:sz="4" w:space="1" w:color="auto"/>
          <w:left w:val="single" w:sz="4" w:space="4" w:color="auto"/>
          <w:bottom w:val="single" w:sz="4" w:space="1" w:color="auto"/>
          <w:right w:val="single" w:sz="4" w:space="4" w:color="auto"/>
        </w:pBdr>
        <w:rPr>
          <w:b w:val="0"/>
        </w:rPr>
      </w:pPr>
      <w:r w:rsidRPr="00E05CE2">
        <w:rPr>
          <w:b w:val="0"/>
        </w:rPr>
        <w:t xml:space="preserve">One study </w:t>
      </w:r>
      <w:r w:rsidR="00F863B0">
        <w:rPr>
          <w:b w:val="0"/>
        </w:rPr>
        <w:t xml:space="preserve">showed </w:t>
      </w:r>
      <w:r w:rsidRPr="00E05CE2">
        <w:rPr>
          <w:b w:val="0"/>
        </w:rPr>
        <w:t xml:space="preserve">the </w:t>
      </w:r>
      <w:r w:rsidR="00F863B0">
        <w:rPr>
          <w:b w:val="0"/>
        </w:rPr>
        <w:t>association</w:t>
      </w:r>
      <w:r w:rsidRPr="00E05CE2">
        <w:rPr>
          <w:b w:val="0"/>
        </w:rPr>
        <w:t xml:space="preserve"> between the number of in vitro matured oocytes cryopreserved and AFC and AMH levels </w:t>
      </w:r>
      <w:r w:rsidR="00B50CCE">
        <w:rPr>
          <w:b w:val="0"/>
        </w:rPr>
        <w:t>in cancer patients</w:t>
      </w:r>
      <w:r w:rsidR="00F863B0">
        <w:rPr>
          <w:b w:val="0"/>
        </w:rPr>
        <w:t xml:space="preserve"> by presenting </w:t>
      </w:r>
      <w:r w:rsidRPr="00E05CE2">
        <w:rPr>
          <w:b w:val="0"/>
        </w:rPr>
        <w:t>a ROC curve</w:t>
      </w:r>
      <w:r w:rsidR="00F863B0">
        <w:rPr>
          <w:b w:val="0"/>
        </w:rPr>
        <w:t xml:space="preserve"> (n=340)</w:t>
      </w:r>
      <w:r w:rsidRPr="00E05CE2">
        <w:rPr>
          <w:b w:val="0"/>
        </w:rPr>
        <w:t xml:space="preserve">. </w:t>
      </w:r>
      <w:r w:rsidR="00F863B0">
        <w:rPr>
          <w:b w:val="0"/>
        </w:rPr>
        <w:t>The AMH test showed</w:t>
      </w:r>
      <w:r w:rsidR="00B50CCE">
        <w:rPr>
          <w:b w:val="0"/>
        </w:rPr>
        <w:t xml:space="preserve"> moderate (0.7–0.8) to good (0.8–</w:t>
      </w:r>
      <w:r w:rsidRPr="00E05CE2">
        <w:rPr>
          <w:b w:val="0"/>
        </w:rPr>
        <w:t>0.9) test performance at predicting oocyte yield. AF</w:t>
      </w:r>
      <w:r w:rsidR="00277BD2">
        <w:rPr>
          <w:b w:val="0"/>
        </w:rPr>
        <w:t>C ultrasound had good (0.8–</w:t>
      </w:r>
      <w:r w:rsidRPr="00E05CE2">
        <w:rPr>
          <w:b w:val="0"/>
        </w:rPr>
        <w:t>0.9) test performance.</w:t>
      </w:r>
    </w:p>
    <w:p w14:paraId="31B0E33B" w14:textId="0001ABE9" w:rsidR="00E05CE2" w:rsidRPr="00E05CE2" w:rsidRDefault="00E05CE2" w:rsidP="00E05CE2">
      <w:pPr>
        <w:pStyle w:val="Summaryboxheading"/>
        <w:pBdr>
          <w:top w:val="single" w:sz="4" w:space="1" w:color="auto"/>
          <w:left w:val="single" w:sz="4" w:space="4" w:color="auto"/>
          <w:bottom w:val="single" w:sz="4" w:space="1" w:color="auto"/>
          <w:right w:val="single" w:sz="4" w:space="4" w:color="auto"/>
        </w:pBdr>
        <w:rPr>
          <w:b w:val="0"/>
        </w:rPr>
      </w:pPr>
      <w:r w:rsidRPr="00E05CE2">
        <w:rPr>
          <w:b w:val="0"/>
        </w:rPr>
        <w:t xml:space="preserve">Three studies </w:t>
      </w:r>
      <w:r w:rsidR="00F863B0">
        <w:rPr>
          <w:b w:val="0"/>
        </w:rPr>
        <w:t>investigated the</w:t>
      </w:r>
      <w:r w:rsidRPr="00E05CE2">
        <w:rPr>
          <w:b w:val="0"/>
        </w:rPr>
        <w:t xml:space="preserve"> correlation between oocytes retrieved and A</w:t>
      </w:r>
      <w:r w:rsidR="00277BD2">
        <w:rPr>
          <w:b w:val="0"/>
        </w:rPr>
        <w:t>MH, AFC, i</w:t>
      </w:r>
      <w:r w:rsidRPr="00E05CE2">
        <w:rPr>
          <w:b w:val="0"/>
        </w:rPr>
        <w:t xml:space="preserve">nhibin B and/or E2 values. A moderate linear relationship between AMH and oocyte yield was found. </w:t>
      </w:r>
      <w:r w:rsidR="00F863B0">
        <w:rPr>
          <w:b w:val="0"/>
        </w:rPr>
        <w:t>One study also showed m</w:t>
      </w:r>
      <w:r w:rsidRPr="00E05CE2">
        <w:rPr>
          <w:b w:val="0"/>
        </w:rPr>
        <w:t xml:space="preserve">oderate relationships </w:t>
      </w:r>
      <w:r w:rsidR="00277BD2">
        <w:rPr>
          <w:b w:val="0"/>
        </w:rPr>
        <w:t>between</w:t>
      </w:r>
      <w:r w:rsidRPr="00E05CE2">
        <w:rPr>
          <w:b w:val="0"/>
        </w:rPr>
        <w:t xml:space="preserve"> AFC </w:t>
      </w:r>
      <w:r w:rsidR="00277BD2">
        <w:rPr>
          <w:b w:val="0"/>
        </w:rPr>
        <w:t>and i</w:t>
      </w:r>
      <w:r w:rsidR="00F863B0">
        <w:rPr>
          <w:b w:val="0"/>
        </w:rPr>
        <w:t xml:space="preserve">nhibin B with oocyte yield. </w:t>
      </w:r>
      <w:r w:rsidRPr="00E05CE2">
        <w:rPr>
          <w:b w:val="0"/>
        </w:rPr>
        <w:t>FSH and age</w:t>
      </w:r>
      <w:r w:rsidR="00F863B0">
        <w:rPr>
          <w:b w:val="0"/>
        </w:rPr>
        <w:t xml:space="preserve"> showed an inverse correlation</w:t>
      </w:r>
      <w:r w:rsidRPr="00E05CE2">
        <w:rPr>
          <w:b w:val="0"/>
        </w:rPr>
        <w:t xml:space="preserve"> with oocyte yield.</w:t>
      </w:r>
    </w:p>
    <w:p w14:paraId="544D9984" w14:textId="04F6D45F" w:rsidR="00A813F1" w:rsidRPr="00183E4D" w:rsidRDefault="00E05CE2" w:rsidP="00E05CE2">
      <w:pPr>
        <w:pStyle w:val="Summaryboxheading"/>
        <w:pBdr>
          <w:top w:val="single" w:sz="4" w:space="1" w:color="auto"/>
          <w:left w:val="single" w:sz="4" w:space="4" w:color="auto"/>
          <w:bottom w:val="single" w:sz="4" w:space="1" w:color="auto"/>
          <w:right w:val="single" w:sz="4" w:space="4" w:color="auto"/>
        </w:pBdr>
        <w:rPr>
          <w:b w:val="0"/>
        </w:rPr>
      </w:pPr>
      <w:r w:rsidRPr="00E05CE2">
        <w:rPr>
          <w:b w:val="0"/>
        </w:rPr>
        <w:t xml:space="preserve">An association was found between AMH levels and ovarian response to hyperstimulation in women undergoing gonadotoxic treatment. However, </w:t>
      </w:r>
      <w:r w:rsidR="00F863B0">
        <w:rPr>
          <w:b w:val="0"/>
        </w:rPr>
        <w:t>it could not be determined</w:t>
      </w:r>
      <w:r w:rsidRPr="00E05CE2">
        <w:rPr>
          <w:b w:val="0"/>
        </w:rPr>
        <w:t xml:space="preserve"> whether the AMH test </w:t>
      </w:r>
      <w:r w:rsidR="00277BD2" w:rsidRPr="00E05CE2">
        <w:rPr>
          <w:b w:val="0"/>
        </w:rPr>
        <w:t xml:space="preserve">in addition to other standard tests </w:t>
      </w:r>
      <w:r w:rsidRPr="00E05CE2">
        <w:rPr>
          <w:b w:val="0"/>
        </w:rPr>
        <w:t xml:space="preserve">had an incremental predictive value </w:t>
      </w:r>
      <w:r w:rsidR="00277BD2">
        <w:rPr>
          <w:b w:val="0"/>
        </w:rPr>
        <w:t>in</w:t>
      </w:r>
      <w:r w:rsidRPr="00E05CE2">
        <w:rPr>
          <w:b w:val="0"/>
        </w:rPr>
        <w:t xml:space="preserve"> determining r</w:t>
      </w:r>
      <w:r w:rsidR="00F863B0">
        <w:rPr>
          <w:b w:val="0"/>
        </w:rPr>
        <w:t>esponse to ovarian stimulation.</w:t>
      </w:r>
    </w:p>
    <w:p w14:paraId="7E89631D" w14:textId="77777777" w:rsidR="007518CF" w:rsidRDefault="00A813F1" w:rsidP="00A813F1">
      <w:pPr>
        <w:jc w:val="both"/>
      </w:pPr>
      <w:r>
        <w:t>The information generated as a result of the AMH test is mainly of prognostic and predictive value.</w:t>
      </w:r>
    </w:p>
    <w:p w14:paraId="26A46C9E" w14:textId="47C8F50D" w:rsidR="007518CF" w:rsidRDefault="00A813F1" w:rsidP="00A813F1">
      <w:pPr>
        <w:jc w:val="both"/>
      </w:pPr>
      <w:r>
        <w:t xml:space="preserve">Studies on </w:t>
      </w:r>
      <w:r w:rsidR="00FC57AB">
        <w:t xml:space="preserve">the </w:t>
      </w:r>
      <w:r>
        <w:t xml:space="preserve">prognostic value of AMH were included </w:t>
      </w:r>
      <w:r w:rsidR="00FC57AB">
        <w:t>based on</w:t>
      </w:r>
      <w:r>
        <w:t xml:space="preserve"> the PICO criteria in </w:t>
      </w:r>
      <w:r>
        <w:fldChar w:fldCharType="begin"/>
      </w:r>
      <w:r>
        <w:instrText xml:space="preserve"> REF _Ref494789245 \h  \* MERGEFORMAT </w:instrText>
      </w:r>
      <w:r>
        <w:fldChar w:fldCharType="separate"/>
      </w:r>
      <w:r w:rsidR="00AC4BE5" w:rsidRPr="009B416A">
        <w:t xml:space="preserve">Table </w:t>
      </w:r>
      <w:r w:rsidR="00AC4BE5">
        <w:rPr>
          <w:noProof/>
        </w:rPr>
        <w:t>16</w:t>
      </w:r>
      <w:r>
        <w:fldChar w:fldCharType="end"/>
      </w:r>
      <w:r>
        <w:t xml:space="preserve"> and studies investigating the predictive value of AMH were included </w:t>
      </w:r>
      <w:r w:rsidR="00FC57AB">
        <w:t>based on</w:t>
      </w:r>
      <w:r>
        <w:t xml:space="preserve"> the PICO criteria in </w:t>
      </w:r>
      <w:r>
        <w:fldChar w:fldCharType="begin"/>
      </w:r>
      <w:r>
        <w:instrText xml:space="preserve"> REF _Ref494789249 \h  \* MERGEFORMAT </w:instrText>
      </w:r>
      <w:r>
        <w:fldChar w:fldCharType="separate"/>
      </w:r>
      <w:r w:rsidR="00AC4BE5" w:rsidRPr="009B416A">
        <w:t xml:space="preserve">Table </w:t>
      </w:r>
      <w:r w:rsidR="00AC4BE5">
        <w:rPr>
          <w:noProof/>
        </w:rPr>
        <w:t>17</w:t>
      </w:r>
      <w:r>
        <w:fldChar w:fldCharType="end"/>
      </w:r>
      <w:r>
        <w:t>.</w:t>
      </w:r>
    </w:p>
    <w:p w14:paraId="5362F01C" w14:textId="6DFA85D0" w:rsidR="00A813F1" w:rsidRDefault="00A813F1" w:rsidP="00A813F1">
      <w:pPr>
        <w:jc w:val="both"/>
      </w:pPr>
      <w:r>
        <w:t xml:space="preserve">AMH test results were used to predict ovarian function </w:t>
      </w:r>
      <w:r w:rsidR="00FC57AB">
        <w:t>or</w:t>
      </w:r>
      <w:r>
        <w:t xml:space="preserve"> treatment related amenorrhea, ovarian response to controlled ovarian hyper</w:t>
      </w:r>
      <w:r w:rsidR="00FC57AB">
        <w:t>stimulation, and the chance of spontaneous pregnancy.</w:t>
      </w:r>
    </w:p>
    <w:p w14:paraId="15A23D36" w14:textId="7639CA22" w:rsidR="00A813F1" w:rsidRDefault="00A813F1" w:rsidP="00A813F1">
      <w:pPr>
        <w:pStyle w:val="Heading4"/>
      </w:pPr>
      <w:r>
        <w:lastRenderedPageBreak/>
        <w:t xml:space="preserve">Prognostic value of AMH </w:t>
      </w:r>
      <w:r w:rsidR="001E7102">
        <w:t>-</w:t>
      </w:r>
      <w:r>
        <w:t xml:space="preserve"> predicting ovarian function</w:t>
      </w:r>
    </w:p>
    <w:p w14:paraId="0C130EB2" w14:textId="375773AF" w:rsidR="00A813F1" w:rsidRDefault="00A813F1" w:rsidP="00A813F1">
      <w:pPr>
        <w:pStyle w:val="Heading5"/>
      </w:pPr>
      <w:r>
        <w:t xml:space="preserve">Univariate analysis in women tested before </w:t>
      </w:r>
      <w:r w:rsidR="007F3A7C">
        <w:t>receiving</w:t>
      </w:r>
      <w:r>
        <w:t xml:space="preserve"> gonadotoxic treatment</w:t>
      </w:r>
    </w:p>
    <w:p w14:paraId="31035ACD" w14:textId="3FE5EFFC" w:rsidR="007518CF" w:rsidRDefault="00E96828" w:rsidP="00A813F1">
      <w:pPr>
        <w:jc w:val="both"/>
      </w:pPr>
      <w:r>
        <w:t xml:space="preserve">Eleven </w:t>
      </w:r>
      <w:r w:rsidR="00A813F1">
        <w:t xml:space="preserve">studies </w:t>
      </w:r>
      <w:r w:rsidR="007F3A7C">
        <w:t>with</w:t>
      </w:r>
      <w:r w:rsidR="00A813F1">
        <w:t xml:space="preserve"> extractable data on AMH predicting ovarian function in women undergoing gonadotoxic treatment</w:t>
      </w:r>
      <w:r w:rsidR="007F3A7C">
        <w:t xml:space="preserve"> were included</w:t>
      </w:r>
      <w:r w:rsidR="00A813F1">
        <w:t xml:space="preserve">. </w:t>
      </w:r>
      <w:r>
        <w:t xml:space="preserve">This information is </w:t>
      </w:r>
      <w:r w:rsidR="0068735D">
        <w:t xml:space="preserve">expected to be </w:t>
      </w:r>
      <w:r>
        <w:t xml:space="preserve">useful </w:t>
      </w:r>
      <w:r w:rsidR="0068735D">
        <w:t>for influencing</w:t>
      </w:r>
      <w:r>
        <w:t xml:space="preserve"> whether women undergo fertility preservation prior to treatment.</w:t>
      </w:r>
    </w:p>
    <w:p w14:paraId="0A50DDE5" w14:textId="55484A2C" w:rsidR="007518CF" w:rsidRDefault="00A813F1" w:rsidP="00A813F1">
      <w:pPr>
        <w:jc w:val="both"/>
      </w:pPr>
      <w:r>
        <w:t>Seven of these studie</w:t>
      </w:r>
      <w:r w:rsidR="007F3A7C">
        <w:t xml:space="preserve">s presented pre-treatment AMH values </w:t>
      </w:r>
      <w:r>
        <w:t xml:space="preserve">in breast cancer patients with </w:t>
      </w:r>
      <w:r w:rsidR="007F3A7C">
        <w:t>CRA</w:t>
      </w:r>
      <w:r>
        <w:t xml:space="preserve"> compared to baseline AMH values in patients without CRA (</w:t>
      </w:r>
      <w:r w:rsidR="007E6960">
        <w:fldChar w:fldCharType="begin"/>
      </w:r>
      <w:r w:rsidR="007E6960">
        <w:instrText xml:space="preserve"> REF _Ref497898320 \h </w:instrText>
      </w:r>
      <w:r w:rsidR="007E6960">
        <w:fldChar w:fldCharType="separate"/>
      </w:r>
      <w:r w:rsidR="00AC4BE5">
        <w:t xml:space="preserve">Table </w:t>
      </w:r>
      <w:r w:rsidR="00AC4BE5">
        <w:rPr>
          <w:noProof/>
        </w:rPr>
        <w:t>41</w:t>
      </w:r>
      <w:r w:rsidR="007E6960">
        <w:fldChar w:fldCharType="end"/>
      </w:r>
      <w:r>
        <w:t>)</w:t>
      </w:r>
      <w:r w:rsidR="007F4459">
        <w:t xml:space="preserve">. </w:t>
      </w:r>
      <w:r>
        <w:t xml:space="preserve">All but one of these studies (6/7, 85%) reported a statistically significant lower baseline AMH in women who had CRA at follow-up, compared to women who continued menstruation. Follow-up was six months to </w:t>
      </w:r>
      <w:r w:rsidR="007F3A7C">
        <w:t>five years after enrolment or the start of treatment</w:t>
      </w:r>
      <w:r>
        <w:t xml:space="preserve">, depending on the study. </w:t>
      </w:r>
      <w:r w:rsidR="00550DFE">
        <w:t>The small study that did not find a significant</w:t>
      </w:r>
      <w:r w:rsidR="007F3A7C">
        <w:t>ly</w:t>
      </w:r>
      <w:r w:rsidR="00550DFE">
        <w:t xml:space="preserve"> lower baseline AMH in the group with CRA reported that only one patient had an AMH level above the lower normal range of 0.05 ng/mL at one</w:t>
      </w:r>
      <w:r w:rsidR="00916047">
        <w:t>-</w:t>
      </w:r>
      <w:r w:rsidR="00550DFE">
        <w:t xml:space="preserve">year follow-up. However, in the same time period, 15 patients had resumed </w:t>
      </w:r>
      <w:r w:rsidR="007F3A7C">
        <w:t>menstruation</w:t>
      </w:r>
      <w:r w:rsidR="00550DFE">
        <w:t xml:space="preserve"> </w:t>
      </w:r>
      <w:r w:rsidR="00A109BA">
        <w:fldChar w:fldCharType="begin"/>
      </w:r>
      <w:r w:rsidR="00577E24">
        <w:instrText xml:space="preserve"> ADDIN EN.CITE &lt;EndNote&gt;&lt;Cite&gt;&lt;Author&gt;Yu&lt;/Author&gt;&lt;Year&gt;2010&lt;/Year&gt;&lt;RecNum&gt;374&lt;/RecNum&gt;&lt;IDText&gt;2099-2105&lt;/IDText&gt;&lt;DisplayText&gt;(Yu et al. 2010)&lt;/DisplayText&gt;&lt;record&gt;&lt;rec-number&gt;374&lt;/rec-number&gt;&lt;foreign-keys&gt;&lt;key app="EN" db-id="s2dftfxw1fvsr1efx58vfvxtvfwzxea0td02" timestamp="1511748101"&gt;374&lt;/key&gt;&lt;/foreign-keys&gt;&lt;ref-type name="Journal Article"&gt;17&lt;/ref-type&gt;&lt;contributors&gt;&lt;authors&gt;&lt;author&gt;Yu, B.&lt;/author&gt;&lt;author&gt;Douglas, N.&lt;/author&gt;&lt;author&gt;Ferin, M. J.&lt;/author&gt;&lt;author&gt;Nakhuda, G. S.&lt;/author&gt;&lt;author&gt;Crew, K.&lt;/author&gt;&lt;author&gt;Lobo, R. A.&lt;/author&gt;&lt;author&gt;Hershman, D. L.&lt;/author&gt;&lt;/authors&gt;&lt;/contributors&gt;&lt;titles&gt;&lt;title&gt;Changes in markers of ovarian reserve and endocrine function in young women with breast cancer undergoing adjuvant chemotherapy&lt;/title&gt;&lt;secondary-title&gt;Cancer&lt;/secondary-title&gt;&lt;/titles&gt;&lt;periodical&gt;&lt;full-title&gt;Cancer&lt;/full-title&gt;&lt;/periodical&gt;&lt;pages&gt;2099-2105&lt;/pages&gt;&lt;volume&gt;116&lt;/volume&gt;&lt;number&gt;9&lt;/number&gt;&lt;keywords&gt;&lt;keyword&gt;Self-Fertilization&lt;/keyword&gt;&lt;keyword&gt;Amenorrhea&lt;/keyword&gt;&lt;keyword&gt;Premenopause&lt;/keyword&gt;&lt;keyword&gt;Follicle Stimulating Hormone&lt;/keyword&gt;&lt;keyword&gt;Chemotherapy, Adjuvant&lt;/keyword&gt;&lt;keyword&gt;Breast Neoplasms&lt;/keyword&gt;&lt;/keywords&gt;&lt;dates&gt;&lt;year&gt;2010&lt;/year&gt;&lt;pub-dates&gt;&lt;date&gt;2010-1-1&lt;/date&gt;&lt;/pub-dates&gt;&lt;/dates&gt;&lt;accession-num&gt;rayyan-6679843&lt;/accession-num&gt;&lt;urls&gt;&lt;related-urls&gt;&lt;url&gt;http://www.embase.com/search/results?subaction=viewrecord&amp;amp;from=export&amp;amp;id=L358702374 http://dx.doi.org/10.1002/cncr.25037&lt;/url&gt;&lt;url&gt;http://onlinelibrary.wiley.com/store/10.1002/cncr.25037/asset/25037_ftp.pdf?v=1&amp;amp;t=j5niw4b0&amp;amp;s=e7188da725b5a09d82cd60cd3b8e414aa9f13e2c&lt;/url&gt;&lt;/related-urls&gt;&lt;/urls&gt;&lt;custom1&gt;RAYYAN-INCLUSION: {&amp;quot;Sharon&amp;quot;=&amp;gt;true, &amp;quot;Joanne&amp;quot;=&amp;gt;true}&lt;/custom1&gt;&lt;/record&gt;&lt;/Cite&gt;&lt;/EndNote&gt;</w:instrText>
      </w:r>
      <w:r w:rsidR="00A109BA">
        <w:fldChar w:fldCharType="separate"/>
      </w:r>
      <w:r w:rsidR="00A109BA">
        <w:rPr>
          <w:noProof/>
        </w:rPr>
        <w:t>(</w:t>
      </w:r>
      <w:hyperlink w:anchor="_ENREF_78" w:tooltip="Yu, 2010 #374" w:history="1">
        <w:r w:rsidR="00835BA6">
          <w:rPr>
            <w:noProof/>
          </w:rPr>
          <w:t>Yu et al. 2010</w:t>
        </w:r>
      </w:hyperlink>
      <w:r w:rsidR="00A109BA">
        <w:rPr>
          <w:noProof/>
        </w:rPr>
        <w:t>)</w:t>
      </w:r>
      <w:r w:rsidR="00A109BA">
        <w:fldChar w:fldCharType="end"/>
      </w:r>
      <w:r w:rsidR="00550DFE">
        <w:t>.</w:t>
      </w:r>
    </w:p>
    <w:p w14:paraId="289E4695" w14:textId="15557D30" w:rsidR="007518CF" w:rsidRDefault="007E6960" w:rsidP="00A813F1">
      <w:pPr>
        <w:jc w:val="both"/>
      </w:pPr>
      <w:r>
        <w:t xml:space="preserve">The large study by Dezellus et al. (2017) reported that the prevalence of CRA in breast cancer patients was 93.4% after chemotherapy, </w:t>
      </w:r>
      <w:r w:rsidR="00550DFE">
        <w:t>and this decreased to 82.2% after six months (</w:t>
      </w:r>
      <w:r w:rsidR="007F3A7C">
        <w:t>n=</w:t>
      </w:r>
      <w:r w:rsidR="00550DFE">
        <w:t xml:space="preserve">152 </w:t>
      </w:r>
      <w:r w:rsidR="007F3A7C">
        <w:t>patients with amenorrhea</w:t>
      </w:r>
      <w:r w:rsidR="00550DFE">
        <w:t xml:space="preserve">) and was 64.3% after 12 months follow-up (n=119 patients). Mean baseline AMH levels were significantly different between groups at </w:t>
      </w:r>
      <w:r w:rsidR="007F3A7C">
        <w:t xml:space="preserve">six </w:t>
      </w:r>
      <w:r w:rsidR="00550DFE">
        <w:t>months</w:t>
      </w:r>
      <w:r w:rsidR="007F3A7C">
        <w:t>’</w:t>
      </w:r>
      <w:r w:rsidR="00550DFE">
        <w:t xml:space="preserve"> follow-up, however this was no longer the case after </w:t>
      </w:r>
      <w:r w:rsidR="007C7765">
        <w:t>12 months</w:t>
      </w:r>
      <w:r w:rsidR="00550DFE">
        <w:t>.</w:t>
      </w:r>
    </w:p>
    <w:p w14:paraId="5078C2E7" w14:textId="0BB056C3" w:rsidR="00A813F1" w:rsidRDefault="00A813F1" w:rsidP="00DD53E7">
      <w:pPr>
        <w:pStyle w:val="Caption"/>
        <w:keepNext/>
        <w:ind w:left="993" w:hanging="993"/>
      </w:pPr>
      <w:bookmarkStart w:id="305" w:name="_Ref497898320"/>
      <w:bookmarkStart w:id="306" w:name="_Toc502833059"/>
      <w:r>
        <w:t xml:space="preserve">Table </w:t>
      </w:r>
      <w:r w:rsidR="00AC4BE5">
        <w:fldChar w:fldCharType="begin"/>
      </w:r>
      <w:r w:rsidR="00AC4BE5">
        <w:instrText xml:space="preserve"> SEQ Table \* ARABIC </w:instrText>
      </w:r>
      <w:r w:rsidR="00AC4BE5">
        <w:fldChar w:fldCharType="separate"/>
      </w:r>
      <w:r w:rsidR="00AC4BE5">
        <w:rPr>
          <w:noProof/>
        </w:rPr>
        <w:t>41</w:t>
      </w:r>
      <w:r w:rsidR="00AC4BE5">
        <w:rPr>
          <w:noProof/>
        </w:rPr>
        <w:fldChar w:fldCharType="end"/>
      </w:r>
      <w:bookmarkEnd w:id="305"/>
      <w:r>
        <w:tab/>
      </w:r>
      <w:r w:rsidR="004E0699">
        <w:t>Baseline AMH levels in breast cancer patients with CRA at follow-up compared with baseline AMH levels in patients without CRA</w:t>
      </w:r>
      <w:bookmarkEnd w:id="306"/>
    </w:p>
    <w:tbl>
      <w:tblPr>
        <w:tblStyle w:val="TableGrid3"/>
        <w:tblW w:w="9209" w:type="dxa"/>
        <w:tblLayout w:type="fixed"/>
        <w:tblLook w:val="04A0" w:firstRow="1" w:lastRow="0" w:firstColumn="1" w:lastColumn="0" w:noHBand="0" w:noVBand="1"/>
        <w:tblCaption w:val="Baseline AMH levels in breast cancer patients with CRA at follow-up compared with baseline AMH levels in patients without CRA"/>
        <w:tblDescription w:val="Baseline AMH levels in breast cancer patients with CRA at follow-up compared with baseline AMH levels in patients without CRA"/>
      </w:tblPr>
      <w:tblGrid>
        <w:gridCol w:w="1252"/>
        <w:gridCol w:w="1862"/>
        <w:gridCol w:w="850"/>
        <w:gridCol w:w="1276"/>
        <w:gridCol w:w="1559"/>
        <w:gridCol w:w="1418"/>
        <w:gridCol w:w="992"/>
      </w:tblGrid>
      <w:tr w:rsidR="00A813F1" w:rsidRPr="00E87235" w14:paraId="6209A856" w14:textId="77777777" w:rsidTr="0009046E">
        <w:trPr>
          <w:tblHeader/>
        </w:trPr>
        <w:tc>
          <w:tcPr>
            <w:tcW w:w="1252" w:type="dxa"/>
          </w:tcPr>
          <w:p w14:paraId="43D9F80D" w14:textId="77777777" w:rsidR="00A813F1" w:rsidRPr="00E87235" w:rsidRDefault="00A813F1" w:rsidP="00762873">
            <w:pPr>
              <w:spacing w:after="0" w:line="240" w:lineRule="auto"/>
              <w:ind w:right="-57"/>
              <w:rPr>
                <w:rFonts w:ascii="Arial Narrow" w:hAnsi="Arial Narrow"/>
                <w:b/>
                <w:sz w:val="20"/>
              </w:rPr>
            </w:pPr>
            <w:r w:rsidRPr="00E87235">
              <w:rPr>
                <w:rFonts w:ascii="Arial Narrow" w:hAnsi="Arial Narrow"/>
                <w:b/>
                <w:sz w:val="20"/>
              </w:rPr>
              <w:t>Study</w:t>
            </w:r>
          </w:p>
        </w:tc>
        <w:tc>
          <w:tcPr>
            <w:tcW w:w="1862" w:type="dxa"/>
          </w:tcPr>
          <w:p w14:paraId="1C0DE64A" w14:textId="77777777" w:rsidR="00A813F1" w:rsidRPr="00E87235" w:rsidRDefault="00A813F1" w:rsidP="00762873">
            <w:pPr>
              <w:spacing w:after="0" w:line="240" w:lineRule="auto"/>
              <w:ind w:right="-57"/>
              <w:rPr>
                <w:rFonts w:ascii="Arial Narrow" w:hAnsi="Arial Narrow"/>
                <w:b/>
                <w:sz w:val="20"/>
              </w:rPr>
            </w:pPr>
            <w:r w:rsidRPr="00E87235">
              <w:rPr>
                <w:rFonts w:ascii="Arial Narrow" w:hAnsi="Arial Narrow"/>
                <w:b/>
                <w:sz w:val="20"/>
              </w:rPr>
              <w:t>Population</w:t>
            </w:r>
          </w:p>
        </w:tc>
        <w:tc>
          <w:tcPr>
            <w:tcW w:w="850" w:type="dxa"/>
          </w:tcPr>
          <w:p w14:paraId="5C485702" w14:textId="77777777" w:rsidR="00A813F1" w:rsidRPr="00E87235" w:rsidRDefault="00A813F1" w:rsidP="00762873">
            <w:pPr>
              <w:spacing w:after="0" w:line="240" w:lineRule="auto"/>
              <w:ind w:right="-57"/>
              <w:rPr>
                <w:rFonts w:ascii="Arial Narrow" w:hAnsi="Arial Narrow"/>
                <w:b/>
                <w:sz w:val="20"/>
              </w:rPr>
            </w:pPr>
            <w:r w:rsidRPr="00E87235">
              <w:rPr>
                <w:rFonts w:ascii="Arial Narrow" w:hAnsi="Arial Narrow"/>
                <w:b/>
                <w:sz w:val="20"/>
              </w:rPr>
              <w:t>Follow-up</w:t>
            </w:r>
          </w:p>
        </w:tc>
        <w:tc>
          <w:tcPr>
            <w:tcW w:w="1276" w:type="dxa"/>
          </w:tcPr>
          <w:p w14:paraId="5E3ED56C" w14:textId="77777777" w:rsidR="00A813F1" w:rsidRPr="00E87235" w:rsidRDefault="00A813F1" w:rsidP="00762873">
            <w:pPr>
              <w:spacing w:after="0" w:line="240" w:lineRule="auto"/>
              <w:ind w:right="-57"/>
              <w:rPr>
                <w:rFonts w:ascii="Arial Narrow" w:hAnsi="Arial Narrow"/>
                <w:b/>
                <w:sz w:val="20"/>
              </w:rPr>
            </w:pPr>
            <w:r>
              <w:rPr>
                <w:rFonts w:ascii="Arial Narrow" w:hAnsi="Arial Narrow"/>
                <w:b/>
                <w:sz w:val="20"/>
              </w:rPr>
              <w:t xml:space="preserve">Baseline </w:t>
            </w:r>
            <w:r w:rsidRPr="00E87235">
              <w:rPr>
                <w:rFonts w:ascii="Arial Narrow" w:hAnsi="Arial Narrow"/>
                <w:b/>
                <w:sz w:val="20"/>
              </w:rPr>
              <w:t>AMH measurement</w:t>
            </w:r>
          </w:p>
        </w:tc>
        <w:tc>
          <w:tcPr>
            <w:tcW w:w="1559" w:type="dxa"/>
          </w:tcPr>
          <w:p w14:paraId="2B8E6714" w14:textId="77777777" w:rsidR="00A813F1" w:rsidRDefault="00A813F1" w:rsidP="00762873">
            <w:pPr>
              <w:spacing w:after="0" w:line="240" w:lineRule="auto"/>
              <w:ind w:right="-57"/>
              <w:rPr>
                <w:rFonts w:ascii="Arial Narrow" w:hAnsi="Arial Narrow"/>
                <w:b/>
                <w:sz w:val="20"/>
              </w:rPr>
            </w:pPr>
            <w:r w:rsidRPr="00E87235">
              <w:rPr>
                <w:rFonts w:ascii="Arial Narrow" w:hAnsi="Arial Narrow"/>
                <w:b/>
                <w:sz w:val="20"/>
              </w:rPr>
              <w:t>CRA</w:t>
            </w:r>
            <w:r>
              <w:rPr>
                <w:rFonts w:ascii="Arial Narrow" w:hAnsi="Arial Narrow"/>
                <w:b/>
                <w:sz w:val="20"/>
              </w:rPr>
              <w:t xml:space="preserve"> group</w:t>
            </w:r>
          </w:p>
          <w:p w14:paraId="111531C0" w14:textId="77777777" w:rsidR="00A813F1" w:rsidRPr="00E87235" w:rsidRDefault="00A813F1" w:rsidP="00762873">
            <w:pPr>
              <w:spacing w:after="0" w:line="240" w:lineRule="auto"/>
              <w:ind w:right="-57"/>
              <w:rPr>
                <w:rFonts w:ascii="Arial Narrow" w:hAnsi="Arial Narrow"/>
                <w:b/>
                <w:sz w:val="20"/>
              </w:rPr>
            </w:pPr>
            <w:r>
              <w:rPr>
                <w:rFonts w:ascii="Arial Narrow" w:hAnsi="Arial Narrow"/>
                <w:b/>
                <w:sz w:val="20"/>
              </w:rPr>
              <w:t>(AMH in ng/mL)</w:t>
            </w:r>
          </w:p>
        </w:tc>
        <w:tc>
          <w:tcPr>
            <w:tcW w:w="1418" w:type="dxa"/>
          </w:tcPr>
          <w:p w14:paraId="7522512A" w14:textId="77777777" w:rsidR="00A813F1" w:rsidRDefault="00A813F1" w:rsidP="00762873">
            <w:pPr>
              <w:spacing w:after="0" w:line="240" w:lineRule="auto"/>
              <w:ind w:right="-57"/>
              <w:rPr>
                <w:rFonts w:ascii="Arial Narrow" w:hAnsi="Arial Narrow"/>
                <w:b/>
                <w:sz w:val="20"/>
              </w:rPr>
            </w:pPr>
            <w:r w:rsidRPr="00E87235">
              <w:rPr>
                <w:rFonts w:ascii="Arial Narrow" w:hAnsi="Arial Narrow"/>
                <w:b/>
                <w:sz w:val="20"/>
              </w:rPr>
              <w:t>No CRA</w:t>
            </w:r>
            <w:r>
              <w:rPr>
                <w:rFonts w:ascii="Arial Narrow" w:hAnsi="Arial Narrow"/>
                <w:b/>
                <w:sz w:val="20"/>
              </w:rPr>
              <w:t xml:space="preserve"> group</w:t>
            </w:r>
          </w:p>
          <w:p w14:paraId="40909DDC" w14:textId="77777777" w:rsidR="00A813F1" w:rsidRPr="00E87235" w:rsidRDefault="00A813F1" w:rsidP="00762873">
            <w:pPr>
              <w:spacing w:after="0" w:line="240" w:lineRule="auto"/>
              <w:ind w:right="-57"/>
              <w:rPr>
                <w:rFonts w:ascii="Arial Narrow" w:hAnsi="Arial Narrow"/>
                <w:b/>
                <w:sz w:val="20"/>
              </w:rPr>
            </w:pPr>
            <w:r>
              <w:rPr>
                <w:rFonts w:ascii="Arial Narrow" w:hAnsi="Arial Narrow"/>
                <w:b/>
                <w:sz w:val="20"/>
              </w:rPr>
              <w:t>(AMH in ng/mL)</w:t>
            </w:r>
          </w:p>
        </w:tc>
        <w:tc>
          <w:tcPr>
            <w:tcW w:w="992" w:type="dxa"/>
          </w:tcPr>
          <w:p w14:paraId="0704E674" w14:textId="1510D192" w:rsidR="00A813F1" w:rsidRPr="00E87235" w:rsidRDefault="0009046E" w:rsidP="00762873">
            <w:pPr>
              <w:spacing w:after="0" w:line="240" w:lineRule="auto"/>
              <w:ind w:right="-57"/>
              <w:rPr>
                <w:rFonts w:ascii="Arial Narrow" w:hAnsi="Arial Narrow"/>
                <w:b/>
                <w:sz w:val="20"/>
              </w:rPr>
            </w:pPr>
            <w:r>
              <w:rPr>
                <w:rFonts w:ascii="Arial Narrow" w:hAnsi="Arial Narrow"/>
                <w:b/>
                <w:sz w:val="20"/>
              </w:rPr>
              <w:t>p</w:t>
            </w:r>
            <w:r w:rsidR="00A813F1" w:rsidRPr="00E87235">
              <w:rPr>
                <w:rFonts w:ascii="Arial Narrow" w:hAnsi="Arial Narrow"/>
                <w:b/>
                <w:sz w:val="20"/>
              </w:rPr>
              <w:t>-value</w:t>
            </w:r>
          </w:p>
        </w:tc>
      </w:tr>
      <w:tr w:rsidR="00A813F1" w:rsidRPr="00E87235" w14:paraId="055A5AEE" w14:textId="77777777" w:rsidTr="0009046E">
        <w:tc>
          <w:tcPr>
            <w:tcW w:w="1252" w:type="dxa"/>
          </w:tcPr>
          <w:p w14:paraId="278BCDED" w14:textId="471DC876" w:rsidR="00A813F1" w:rsidRPr="00E87235" w:rsidRDefault="00A813F1" w:rsidP="00835BA6">
            <w:pPr>
              <w:spacing w:after="0" w:line="240" w:lineRule="auto"/>
              <w:ind w:right="-57"/>
              <w:rPr>
                <w:rFonts w:ascii="Arial Narrow" w:hAnsi="Arial Narrow"/>
                <w:sz w:val="20"/>
              </w:rPr>
            </w:pPr>
            <w:r>
              <w:rPr>
                <w:rFonts w:ascii="Arial Narrow" w:hAnsi="Arial Narrow"/>
                <w:sz w:val="20"/>
              </w:rPr>
              <w:t xml:space="preserve">Anders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ExcludeAuth="1"&gt;&lt;Author&gt;Anders&lt;/Author&gt;&lt;Year&gt;2008&lt;/Year&gt;&lt;RecNum&gt;25&lt;/RecNum&gt;&lt;IDText&gt;286-295&lt;/IDText&gt;&lt;DisplayText&gt;(2008)&lt;/DisplayText&gt;&lt;record&gt;&lt;rec-number&gt;25&lt;/rec-number&gt;&lt;foreign-keys&gt;&lt;key app="EN" db-id="s2dftfxw1fvsr1efx58vfvxtvfwzxea0td02" timestamp="1511748062"&gt;25&lt;/key&gt;&lt;/foreign-keys&gt;&lt;ref-type name="Journal Article"&gt;17&lt;/ref-type&gt;&lt;contributors&gt;&lt;authors&gt;&lt;author&gt;Anders, C.&lt;/author&gt;&lt;author&gt;Marcom, P. K.&lt;/author&gt;&lt;author&gt;Peterson, B.&lt;/author&gt;&lt;author&gt;Gu, L.&lt;/author&gt;&lt;author&gt;Unruhe, S.&lt;/author&gt;&lt;author&gt;Welch, R.&lt;/author&gt;&lt;author&gt;Lyons, P.&lt;/author&gt;&lt;author&gt;Kimmick, G.&lt;/author&gt;&lt;author&gt;Shaw, H.&lt;/author&gt;&lt;author&gt;Snyder, S.&lt;/author&gt;&lt;author&gt;Antenos, M.&lt;/author&gt;&lt;author&gt;Woodruff, T.&lt;/author&gt;&lt;author&gt;Blackwell, K.&lt;/author&gt;&lt;/authors&gt;&lt;/contributors&gt;&lt;titles&gt;&lt;title&gt;A pilot study of predictive markers of chemotherapy-related amenorrhea among premenopausal women with early stage breast cancer&lt;/title&gt;&lt;secondary-title&gt;Cancer Investigation&lt;/secondary-title&gt;&lt;/titles&gt;&lt;periodical&gt;&lt;full-title&gt;Cancer Investigation&lt;/full-title&gt;&lt;/periodical&gt;&lt;pages&gt;286-295&lt;/pages&gt;&lt;volume&gt;26&lt;/volume&gt;&lt;number&gt;3&lt;/number&gt;&lt;keywords&gt;&lt;keyword&gt;Follicle Stimulating Hormone&lt;/keyword&gt;&lt;keyword&gt;Estradiol&lt;/keyword&gt;&lt;keyword&gt;Premenopause&lt;/keyword&gt;&lt;keyword&gt;Amenorrhea&lt;/keyword&gt;&lt;keyword&gt;Breast Neoplasms&lt;/keyword&gt;&lt;keyword&gt;Pilot Projects&lt;/keyword&gt;&lt;/keywords&gt;&lt;dates&gt;&lt;year&gt;2008&lt;/year&gt;&lt;pub-dates&gt;&lt;date&gt;2008-1-1&lt;/date&gt;&lt;/pub-dates&gt;&lt;/dates&gt;&lt;isbn&gt;0735-7907 1532-4192&lt;/isbn&gt;&lt;accession-num&gt;rayyan-6671976&lt;/accession-num&gt;&lt;urls&gt;&lt;related-urls&gt;&lt;url&gt;http://www.embase.com/search/results?subaction=viewrecord&amp;amp;from=export&amp;amp;id=L351329008 http://dx.doi.org/10.1080/07357900701829777&lt;/url&gt;&lt;url&gt;http://www.tandfonline.com/doi/pdf/10.1080/07357900701829777?needAccess=true&lt;/url&gt;&lt;/related-urls&gt;&lt;/urls&gt;&lt;custom1&gt;adriamycin herceptin(Genentech) taxotere(Sanofi Aventis) 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5" w:tooltip="Anders, 2008 #25" w:history="1">
              <w:r w:rsidR="00835BA6">
                <w:rPr>
                  <w:rFonts w:ascii="Arial Narrow" w:hAnsi="Arial Narrow"/>
                  <w:noProof/>
                  <w:sz w:val="20"/>
                </w:rPr>
                <w:t>2008</w:t>
              </w:r>
            </w:hyperlink>
            <w:r>
              <w:rPr>
                <w:rFonts w:ascii="Arial Narrow" w:hAnsi="Arial Narrow"/>
                <w:noProof/>
                <w:sz w:val="20"/>
              </w:rPr>
              <w:t>)</w:t>
            </w:r>
            <w:r>
              <w:rPr>
                <w:rFonts w:ascii="Arial Narrow" w:hAnsi="Arial Narrow"/>
                <w:sz w:val="20"/>
              </w:rPr>
              <w:fldChar w:fldCharType="end"/>
            </w:r>
          </w:p>
        </w:tc>
        <w:tc>
          <w:tcPr>
            <w:tcW w:w="1862" w:type="dxa"/>
          </w:tcPr>
          <w:p w14:paraId="5B329A76" w14:textId="453856E4" w:rsidR="00A813F1" w:rsidRPr="006F069F" w:rsidRDefault="006F069F" w:rsidP="00762873">
            <w:pPr>
              <w:spacing w:after="0" w:line="240" w:lineRule="auto"/>
              <w:ind w:right="-57"/>
              <w:rPr>
                <w:rFonts w:ascii="Arial Narrow" w:hAnsi="Arial Narrow"/>
                <w:b/>
                <w:sz w:val="20"/>
              </w:rPr>
            </w:pPr>
            <w:r>
              <w:rPr>
                <w:rFonts w:ascii="Arial Narrow" w:hAnsi="Arial Narrow"/>
                <w:b/>
                <w:sz w:val="20"/>
              </w:rPr>
              <w:t>N=21 w</w:t>
            </w:r>
            <w:r w:rsidR="00A813F1" w:rsidRPr="00E87235">
              <w:rPr>
                <w:rFonts w:ascii="Arial Narrow" w:hAnsi="Arial Narrow"/>
                <w:sz w:val="20"/>
              </w:rPr>
              <w:t>om</w:t>
            </w:r>
            <w:r w:rsidR="0009046E">
              <w:rPr>
                <w:rFonts w:ascii="Arial Narrow" w:hAnsi="Arial Narrow"/>
                <w:sz w:val="20"/>
              </w:rPr>
              <w:t>en with early breast cancer age 18–55 years</w:t>
            </w:r>
          </w:p>
        </w:tc>
        <w:tc>
          <w:tcPr>
            <w:tcW w:w="850" w:type="dxa"/>
          </w:tcPr>
          <w:p w14:paraId="3F5C74F0"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1 year</w:t>
            </w:r>
          </w:p>
        </w:tc>
        <w:tc>
          <w:tcPr>
            <w:tcW w:w="1276" w:type="dxa"/>
          </w:tcPr>
          <w:p w14:paraId="58FEED62" w14:textId="77777777" w:rsidR="00A813F1" w:rsidRPr="00E87235" w:rsidRDefault="00A813F1" w:rsidP="00762873">
            <w:pPr>
              <w:spacing w:after="0" w:line="240" w:lineRule="auto"/>
              <w:ind w:right="-57"/>
              <w:rPr>
                <w:rFonts w:ascii="Arial Narrow" w:hAnsi="Arial Narrow"/>
                <w:sz w:val="20"/>
              </w:rPr>
            </w:pPr>
            <w:r>
              <w:rPr>
                <w:rFonts w:ascii="Arial Narrow" w:hAnsi="Arial Narrow"/>
                <w:sz w:val="20"/>
              </w:rPr>
              <w:t>M</w:t>
            </w:r>
            <w:r w:rsidRPr="00E87235">
              <w:rPr>
                <w:rFonts w:ascii="Arial Narrow" w:hAnsi="Arial Narrow"/>
                <w:sz w:val="20"/>
              </w:rPr>
              <w:t>edian (range)</w:t>
            </w:r>
          </w:p>
        </w:tc>
        <w:tc>
          <w:tcPr>
            <w:tcW w:w="1559" w:type="dxa"/>
          </w:tcPr>
          <w:p w14:paraId="46E5AC68" w14:textId="5E70BBEE"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0.16</w:t>
            </w:r>
            <w:r>
              <w:rPr>
                <w:rFonts w:ascii="Arial Narrow" w:hAnsi="Arial Narrow"/>
                <w:sz w:val="20"/>
              </w:rPr>
              <w:t xml:space="preserve"> </w:t>
            </w:r>
            <w:r w:rsidR="0009046E">
              <w:rPr>
                <w:rFonts w:ascii="Arial Narrow" w:hAnsi="Arial Narrow"/>
                <w:sz w:val="20"/>
              </w:rPr>
              <w:t>(0.006–</w:t>
            </w:r>
            <w:r w:rsidRPr="00E87235">
              <w:rPr>
                <w:rFonts w:ascii="Arial Narrow" w:hAnsi="Arial Narrow"/>
                <w:sz w:val="20"/>
              </w:rPr>
              <w:t>1.5)</w:t>
            </w:r>
          </w:p>
        </w:tc>
        <w:tc>
          <w:tcPr>
            <w:tcW w:w="1418" w:type="dxa"/>
          </w:tcPr>
          <w:p w14:paraId="7413E985" w14:textId="2EBFDAAE" w:rsidR="00A813F1" w:rsidRPr="00E87235" w:rsidRDefault="0009046E" w:rsidP="00762873">
            <w:pPr>
              <w:spacing w:after="0" w:line="240" w:lineRule="auto"/>
              <w:ind w:right="-57"/>
              <w:rPr>
                <w:rFonts w:ascii="Arial Narrow" w:hAnsi="Arial Narrow"/>
                <w:sz w:val="20"/>
              </w:rPr>
            </w:pPr>
            <w:r>
              <w:rPr>
                <w:rFonts w:ascii="Arial Narrow" w:hAnsi="Arial Narrow"/>
                <w:sz w:val="20"/>
              </w:rPr>
              <w:t>1.09 (0.64–</w:t>
            </w:r>
            <w:r w:rsidR="00A813F1" w:rsidRPr="00E87235">
              <w:rPr>
                <w:rFonts w:ascii="Arial Narrow" w:hAnsi="Arial Narrow"/>
                <w:sz w:val="20"/>
              </w:rPr>
              <w:t>3.8)</w:t>
            </w:r>
          </w:p>
        </w:tc>
        <w:tc>
          <w:tcPr>
            <w:tcW w:w="992" w:type="dxa"/>
          </w:tcPr>
          <w:p w14:paraId="3AF2880E"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0.02</w:t>
            </w:r>
            <w:r w:rsidRPr="00E87235">
              <w:rPr>
                <w:rFonts w:ascii="Arial Narrow" w:hAnsi="Arial Narrow"/>
                <w:sz w:val="20"/>
                <w:vertAlign w:val="superscript"/>
              </w:rPr>
              <w:t>a</w:t>
            </w:r>
          </w:p>
        </w:tc>
      </w:tr>
      <w:tr w:rsidR="00A813F1" w:rsidRPr="00E87235" w14:paraId="4B3D328D" w14:textId="77777777" w:rsidTr="0009046E">
        <w:tc>
          <w:tcPr>
            <w:tcW w:w="1252" w:type="dxa"/>
          </w:tcPr>
          <w:p w14:paraId="765F07C4" w14:textId="0D84A9C3" w:rsidR="00A813F1" w:rsidRPr="00E87235" w:rsidRDefault="00A813F1" w:rsidP="00835BA6">
            <w:pPr>
              <w:spacing w:after="0" w:line="240" w:lineRule="auto"/>
              <w:ind w:right="-57"/>
              <w:rPr>
                <w:rFonts w:ascii="Arial Narrow" w:hAnsi="Arial Narrow"/>
                <w:sz w:val="20"/>
              </w:rPr>
            </w:pPr>
            <w:r w:rsidRPr="00E87235">
              <w:rPr>
                <w:rFonts w:ascii="Arial Narrow" w:hAnsi="Arial Narrow"/>
                <w:sz w:val="20"/>
              </w:rPr>
              <w:t>Ander</w:t>
            </w:r>
            <w:r>
              <w:rPr>
                <w:rFonts w:ascii="Arial Narrow" w:hAnsi="Arial Narrow"/>
                <w:sz w:val="20"/>
              </w:rPr>
              <w:t>son &amp; Cameron</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6" w:tooltip="Anderson, 2011 #27" w:history="1">
              <w:r w:rsidR="00835BA6">
                <w:rPr>
                  <w:rFonts w:ascii="Arial Narrow" w:hAnsi="Arial Narrow"/>
                  <w:noProof/>
                  <w:sz w:val="20"/>
                </w:rPr>
                <w:t>2011</w:t>
              </w:r>
            </w:hyperlink>
            <w:r>
              <w:rPr>
                <w:rFonts w:ascii="Arial Narrow" w:hAnsi="Arial Narrow"/>
                <w:noProof/>
                <w:sz w:val="20"/>
              </w:rPr>
              <w:t>)</w:t>
            </w:r>
            <w:r>
              <w:rPr>
                <w:rFonts w:ascii="Arial Narrow" w:hAnsi="Arial Narrow"/>
                <w:sz w:val="20"/>
              </w:rPr>
              <w:fldChar w:fldCharType="end"/>
            </w:r>
          </w:p>
        </w:tc>
        <w:tc>
          <w:tcPr>
            <w:tcW w:w="1862" w:type="dxa"/>
          </w:tcPr>
          <w:p w14:paraId="15512A4F" w14:textId="2C44EE24" w:rsidR="00A813F1" w:rsidRPr="006F069F" w:rsidRDefault="006F069F" w:rsidP="00762873">
            <w:pPr>
              <w:spacing w:after="0" w:line="240" w:lineRule="auto"/>
              <w:ind w:right="-57"/>
              <w:rPr>
                <w:rFonts w:ascii="Arial Narrow" w:hAnsi="Arial Narrow"/>
                <w:b/>
                <w:sz w:val="20"/>
              </w:rPr>
            </w:pPr>
            <w:r>
              <w:rPr>
                <w:rFonts w:ascii="Arial Narrow" w:hAnsi="Arial Narrow"/>
                <w:b/>
                <w:sz w:val="20"/>
              </w:rPr>
              <w:t xml:space="preserve">N=33 </w:t>
            </w:r>
            <w:r>
              <w:rPr>
                <w:rFonts w:ascii="Arial Narrow" w:hAnsi="Arial Narrow"/>
                <w:sz w:val="20"/>
              </w:rPr>
              <w:t>w</w:t>
            </w:r>
            <w:r w:rsidR="00A813F1" w:rsidRPr="00E87235">
              <w:rPr>
                <w:rFonts w:ascii="Arial Narrow" w:hAnsi="Arial Narrow"/>
                <w:sz w:val="20"/>
              </w:rPr>
              <w:t>omen with early breast cancer</w:t>
            </w:r>
          </w:p>
        </w:tc>
        <w:tc>
          <w:tcPr>
            <w:tcW w:w="850" w:type="dxa"/>
          </w:tcPr>
          <w:p w14:paraId="65D0C50E"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5 years</w:t>
            </w:r>
          </w:p>
        </w:tc>
        <w:tc>
          <w:tcPr>
            <w:tcW w:w="1276" w:type="dxa"/>
          </w:tcPr>
          <w:p w14:paraId="1524984F" w14:textId="410E19D4"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Mean</w:t>
            </w:r>
            <w:r w:rsidR="00CB05BE" w:rsidRPr="00CB05BE">
              <w:rPr>
                <w:rFonts w:ascii="Arial Narrow" w:hAnsi="Arial Narrow"/>
                <w:sz w:val="20"/>
              </w:rPr>
              <w:t> ± </w:t>
            </w:r>
            <w:r w:rsidRPr="00E87235">
              <w:rPr>
                <w:rFonts w:ascii="Arial Narrow" w:hAnsi="Arial Narrow"/>
                <w:sz w:val="20"/>
              </w:rPr>
              <w:t>SD</w:t>
            </w:r>
          </w:p>
        </w:tc>
        <w:tc>
          <w:tcPr>
            <w:tcW w:w="1559" w:type="dxa"/>
          </w:tcPr>
          <w:p w14:paraId="37F3C998" w14:textId="3C3B574B"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0.7</w:t>
            </w:r>
            <w:r w:rsidR="00CB05BE" w:rsidRPr="00CB05BE">
              <w:rPr>
                <w:rFonts w:ascii="Arial Narrow" w:hAnsi="Arial Narrow"/>
                <w:sz w:val="20"/>
              </w:rPr>
              <w:t> ± </w:t>
            </w:r>
            <w:r w:rsidRPr="00E87235">
              <w:rPr>
                <w:rFonts w:ascii="Arial Narrow" w:hAnsi="Arial Narrow"/>
                <w:sz w:val="20"/>
              </w:rPr>
              <w:t>0.1</w:t>
            </w:r>
            <w:r>
              <w:rPr>
                <w:rFonts w:ascii="Arial Narrow" w:hAnsi="Arial Narrow"/>
                <w:sz w:val="20"/>
              </w:rPr>
              <w:t xml:space="preserve"> </w:t>
            </w:r>
          </w:p>
        </w:tc>
        <w:tc>
          <w:tcPr>
            <w:tcW w:w="1418" w:type="dxa"/>
          </w:tcPr>
          <w:p w14:paraId="1E899D38" w14:textId="081E3267" w:rsidR="00A813F1" w:rsidRPr="00E87235" w:rsidRDefault="00A813F1" w:rsidP="00762873">
            <w:pPr>
              <w:spacing w:after="0" w:line="240" w:lineRule="auto"/>
              <w:ind w:right="-57"/>
              <w:rPr>
                <w:rFonts w:ascii="Arial Narrow" w:hAnsi="Arial Narrow"/>
                <w:sz w:val="20"/>
              </w:rPr>
            </w:pPr>
            <w:r>
              <w:rPr>
                <w:rFonts w:ascii="Arial Narrow" w:hAnsi="Arial Narrow"/>
                <w:sz w:val="20"/>
              </w:rPr>
              <w:t>2.5</w:t>
            </w:r>
            <w:r w:rsidR="00CB05BE" w:rsidRPr="00CB05BE">
              <w:rPr>
                <w:rFonts w:ascii="Arial Narrow" w:hAnsi="Arial Narrow"/>
                <w:sz w:val="20"/>
              </w:rPr>
              <w:t> ± </w:t>
            </w:r>
            <w:r>
              <w:rPr>
                <w:rFonts w:ascii="Arial Narrow" w:hAnsi="Arial Narrow"/>
                <w:sz w:val="20"/>
              </w:rPr>
              <w:t>0.4</w:t>
            </w:r>
          </w:p>
        </w:tc>
        <w:tc>
          <w:tcPr>
            <w:tcW w:w="992" w:type="dxa"/>
          </w:tcPr>
          <w:p w14:paraId="20612E62" w14:textId="4281A073" w:rsidR="00A813F1" w:rsidRPr="00E65D17" w:rsidRDefault="00A813F1" w:rsidP="00762873">
            <w:pPr>
              <w:spacing w:after="0" w:line="240" w:lineRule="auto"/>
              <w:ind w:right="-57"/>
              <w:rPr>
                <w:rFonts w:ascii="Arial Narrow" w:hAnsi="Arial Narrow"/>
                <w:sz w:val="20"/>
              </w:rPr>
            </w:pPr>
            <w:r w:rsidRPr="00E87235">
              <w:rPr>
                <w:rFonts w:ascii="Arial Narrow" w:hAnsi="Arial Narrow"/>
                <w:sz w:val="20"/>
              </w:rPr>
              <w:t>&lt;0.0001</w:t>
            </w:r>
            <w:r w:rsidR="00E65D17">
              <w:rPr>
                <w:rFonts w:ascii="Arial Narrow" w:hAnsi="Arial Narrow"/>
                <w:sz w:val="20"/>
                <w:vertAlign w:val="superscript"/>
              </w:rPr>
              <w:t>b</w:t>
            </w:r>
          </w:p>
        </w:tc>
      </w:tr>
      <w:tr w:rsidR="00A813F1" w:rsidRPr="00E87235" w14:paraId="7A167B57" w14:textId="77777777" w:rsidTr="0009046E">
        <w:tc>
          <w:tcPr>
            <w:tcW w:w="1252" w:type="dxa"/>
          </w:tcPr>
          <w:p w14:paraId="05C939F8" w14:textId="0D94C2A7" w:rsidR="00A813F1" w:rsidRPr="00E87235" w:rsidRDefault="00A813F1" w:rsidP="00835BA6">
            <w:pPr>
              <w:spacing w:after="0" w:line="240" w:lineRule="auto"/>
              <w:rPr>
                <w:rFonts w:ascii="Arial Narrow" w:hAnsi="Arial Narrow"/>
                <w:sz w:val="20"/>
              </w:rPr>
            </w:pPr>
            <w:r>
              <w:rPr>
                <w:rFonts w:ascii="Arial Narrow" w:hAnsi="Arial Narrow"/>
                <w:sz w:val="20"/>
              </w:rPr>
              <w:t>Anderson et al.</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7" w:tooltip="Anderson, 2013 #28" w:history="1">
              <w:r w:rsidR="00835BA6">
                <w:rPr>
                  <w:rFonts w:ascii="Arial Narrow" w:hAnsi="Arial Narrow"/>
                  <w:noProof/>
                  <w:sz w:val="20"/>
                </w:rPr>
                <w:t>2013</w:t>
              </w:r>
            </w:hyperlink>
            <w:r>
              <w:rPr>
                <w:rFonts w:ascii="Arial Narrow" w:hAnsi="Arial Narrow"/>
                <w:noProof/>
                <w:sz w:val="20"/>
              </w:rPr>
              <w:t>)</w:t>
            </w:r>
            <w:r>
              <w:rPr>
                <w:rFonts w:ascii="Arial Narrow" w:hAnsi="Arial Narrow"/>
                <w:sz w:val="20"/>
              </w:rPr>
              <w:fldChar w:fldCharType="end"/>
            </w:r>
          </w:p>
        </w:tc>
        <w:tc>
          <w:tcPr>
            <w:tcW w:w="1862" w:type="dxa"/>
          </w:tcPr>
          <w:p w14:paraId="13C1A468" w14:textId="1660D05D" w:rsidR="00A813F1" w:rsidRPr="00E87235" w:rsidRDefault="00A813F1" w:rsidP="00762873">
            <w:pPr>
              <w:spacing w:after="0" w:line="240" w:lineRule="auto"/>
              <w:ind w:right="-57"/>
              <w:rPr>
                <w:rFonts w:ascii="Arial Narrow" w:hAnsi="Arial Narrow"/>
                <w:sz w:val="20"/>
              </w:rPr>
            </w:pPr>
            <w:r w:rsidRPr="00E87235">
              <w:rPr>
                <w:rFonts w:ascii="Arial Narrow" w:hAnsi="Arial Narrow"/>
                <w:b/>
                <w:sz w:val="20"/>
              </w:rPr>
              <w:t>N=55</w:t>
            </w:r>
            <w:r w:rsidR="0009046E">
              <w:rPr>
                <w:rFonts w:ascii="Arial Narrow" w:hAnsi="Arial Narrow"/>
                <w:sz w:val="20"/>
              </w:rPr>
              <w:t xml:space="preserve"> at 1-</w:t>
            </w:r>
            <w:r w:rsidRPr="00E87235">
              <w:rPr>
                <w:rFonts w:ascii="Arial Narrow" w:hAnsi="Arial Narrow"/>
                <w:sz w:val="20"/>
              </w:rPr>
              <w:t xml:space="preserve">year, </w:t>
            </w:r>
            <w:r w:rsidRPr="00E87235">
              <w:rPr>
                <w:rFonts w:ascii="Arial Narrow" w:hAnsi="Arial Narrow"/>
                <w:b/>
                <w:sz w:val="20"/>
              </w:rPr>
              <w:t>N=46</w:t>
            </w:r>
            <w:r w:rsidR="0009046E">
              <w:rPr>
                <w:rFonts w:ascii="Arial Narrow" w:hAnsi="Arial Narrow"/>
                <w:sz w:val="20"/>
              </w:rPr>
              <w:t xml:space="preserve"> at 2-</w:t>
            </w:r>
            <w:r w:rsidRPr="00E87235">
              <w:rPr>
                <w:rFonts w:ascii="Arial Narrow" w:hAnsi="Arial Narrow"/>
                <w:sz w:val="20"/>
              </w:rPr>
              <w:t>year follow-up</w:t>
            </w:r>
          </w:p>
          <w:p w14:paraId="06CCDDEF" w14:textId="47D5BC01"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Pre</w:t>
            </w:r>
            <w:r w:rsidR="003036C4">
              <w:rPr>
                <w:rFonts w:ascii="Arial Narrow" w:hAnsi="Arial Narrow"/>
                <w:sz w:val="20"/>
              </w:rPr>
              <w:t>-menopausal</w:t>
            </w:r>
            <w:r w:rsidRPr="00E87235">
              <w:rPr>
                <w:rFonts w:ascii="Arial Narrow" w:hAnsi="Arial Narrow"/>
                <w:sz w:val="20"/>
              </w:rPr>
              <w:t xml:space="preserve"> women with early breast cancer</w:t>
            </w:r>
          </w:p>
        </w:tc>
        <w:tc>
          <w:tcPr>
            <w:tcW w:w="850" w:type="dxa"/>
          </w:tcPr>
          <w:p w14:paraId="5AE132E6" w14:textId="77777777" w:rsidR="007518CF" w:rsidRDefault="00A813F1" w:rsidP="00762873">
            <w:pPr>
              <w:spacing w:after="0" w:line="240" w:lineRule="auto"/>
              <w:ind w:right="-57"/>
              <w:rPr>
                <w:rFonts w:ascii="Arial Narrow" w:hAnsi="Arial Narrow"/>
                <w:sz w:val="20"/>
              </w:rPr>
            </w:pPr>
            <w:r w:rsidRPr="00E87235">
              <w:rPr>
                <w:rFonts w:ascii="Arial Narrow" w:hAnsi="Arial Narrow"/>
                <w:sz w:val="20"/>
              </w:rPr>
              <w:t>1 year</w:t>
            </w:r>
          </w:p>
          <w:p w14:paraId="2ABFB8B6" w14:textId="46AC4BB5"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2 years</w:t>
            </w:r>
          </w:p>
        </w:tc>
        <w:tc>
          <w:tcPr>
            <w:tcW w:w="1276" w:type="dxa"/>
          </w:tcPr>
          <w:p w14:paraId="4F87D1A4" w14:textId="3E2D2BC1"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Mean</w:t>
            </w:r>
            <w:r w:rsidR="00CB05BE" w:rsidRPr="00CB05BE">
              <w:rPr>
                <w:rFonts w:ascii="Arial Narrow" w:hAnsi="Arial Narrow"/>
                <w:sz w:val="20"/>
              </w:rPr>
              <w:t> ± </w:t>
            </w:r>
            <w:r w:rsidR="00D50709">
              <w:rPr>
                <w:rFonts w:ascii="Arial Narrow" w:hAnsi="Arial Narrow"/>
                <w:sz w:val="20"/>
              </w:rPr>
              <w:t>SD</w:t>
            </w:r>
          </w:p>
        </w:tc>
        <w:tc>
          <w:tcPr>
            <w:tcW w:w="1559" w:type="dxa"/>
          </w:tcPr>
          <w:p w14:paraId="2882710C" w14:textId="3CE54A23" w:rsidR="00A813F1" w:rsidRPr="00E87235" w:rsidRDefault="00A813F1" w:rsidP="00762873">
            <w:pPr>
              <w:spacing w:after="0" w:line="240" w:lineRule="auto"/>
              <w:ind w:right="-57"/>
              <w:rPr>
                <w:rFonts w:ascii="Arial Narrow" w:hAnsi="Arial Narrow"/>
                <w:sz w:val="20"/>
              </w:rPr>
            </w:pPr>
            <w:r>
              <w:rPr>
                <w:rFonts w:ascii="Arial Narrow" w:hAnsi="Arial Narrow"/>
                <w:sz w:val="20"/>
              </w:rPr>
              <w:t>6.6</w:t>
            </w:r>
            <w:r w:rsidR="00CB05BE" w:rsidRPr="00CB05BE">
              <w:rPr>
                <w:rFonts w:ascii="Arial Narrow" w:hAnsi="Arial Narrow"/>
                <w:sz w:val="20"/>
              </w:rPr>
              <w:t> ± </w:t>
            </w:r>
            <w:r>
              <w:rPr>
                <w:rFonts w:ascii="Arial Narrow" w:hAnsi="Arial Narrow"/>
                <w:sz w:val="20"/>
              </w:rPr>
              <w:t>1.5</w:t>
            </w:r>
          </w:p>
          <w:p w14:paraId="2F37A57D" w14:textId="6EAE829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4.0</w:t>
            </w:r>
            <w:r w:rsidR="00CB05BE" w:rsidRPr="00CB05BE">
              <w:rPr>
                <w:rFonts w:ascii="Arial Narrow" w:hAnsi="Arial Narrow"/>
                <w:sz w:val="20"/>
              </w:rPr>
              <w:t> ± </w:t>
            </w:r>
            <w:r w:rsidRPr="00E87235">
              <w:rPr>
                <w:rFonts w:ascii="Arial Narrow" w:hAnsi="Arial Narrow"/>
                <w:sz w:val="20"/>
              </w:rPr>
              <w:t>0.9</w:t>
            </w:r>
            <w:r w:rsidRPr="00E87235">
              <w:rPr>
                <w:rFonts w:ascii="Arial Narrow" w:hAnsi="Arial Narrow"/>
                <w:sz w:val="20"/>
              </w:rPr>
              <w:tab/>
            </w:r>
          </w:p>
        </w:tc>
        <w:tc>
          <w:tcPr>
            <w:tcW w:w="1418" w:type="dxa"/>
          </w:tcPr>
          <w:p w14:paraId="04D474DF" w14:textId="7AB10DF5" w:rsidR="00A813F1" w:rsidRPr="00E87235" w:rsidRDefault="00A813F1" w:rsidP="00762873">
            <w:pPr>
              <w:spacing w:after="0" w:line="240" w:lineRule="auto"/>
              <w:ind w:right="-57"/>
              <w:rPr>
                <w:rFonts w:ascii="Arial Narrow" w:hAnsi="Arial Narrow"/>
                <w:sz w:val="20"/>
              </w:rPr>
            </w:pPr>
            <w:r>
              <w:rPr>
                <w:rFonts w:ascii="Arial Narrow" w:hAnsi="Arial Narrow"/>
                <w:sz w:val="20"/>
              </w:rPr>
              <w:t>16.6</w:t>
            </w:r>
            <w:r w:rsidR="00CB05BE" w:rsidRPr="00CB05BE">
              <w:rPr>
                <w:rFonts w:ascii="Arial Narrow" w:hAnsi="Arial Narrow"/>
                <w:sz w:val="20"/>
              </w:rPr>
              <w:t> ± </w:t>
            </w:r>
            <w:r>
              <w:rPr>
                <w:rFonts w:ascii="Arial Narrow" w:hAnsi="Arial Narrow"/>
                <w:sz w:val="20"/>
              </w:rPr>
              <w:t>4.8</w:t>
            </w:r>
          </w:p>
          <w:p w14:paraId="659434EC" w14:textId="18F0B55A" w:rsidR="00A813F1" w:rsidRPr="00E87235" w:rsidRDefault="00A813F1" w:rsidP="00762873">
            <w:pPr>
              <w:spacing w:after="0" w:line="240" w:lineRule="auto"/>
              <w:ind w:right="-57"/>
              <w:rPr>
                <w:rFonts w:ascii="Arial Narrow" w:hAnsi="Arial Narrow"/>
                <w:sz w:val="20"/>
              </w:rPr>
            </w:pPr>
            <w:r>
              <w:rPr>
                <w:rFonts w:ascii="Arial Narrow" w:hAnsi="Arial Narrow"/>
                <w:sz w:val="20"/>
              </w:rPr>
              <w:t>17.2</w:t>
            </w:r>
            <w:r w:rsidR="00CB05BE" w:rsidRPr="00CB05BE">
              <w:rPr>
                <w:rFonts w:ascii="Arial Narrow" w:hAnsi="Arial Narrow"/>
                <w:sz w:val="20"/>
              </w:rPr>
              <w:t> ± </w:t>
            </w:r>
            <w:r>
              <w:rPr>
                <w:rFonts w:ascii="Arial Narrow" w:hAnsi="Arial Narrow"/>
                <w:sz w:val="20"/>
              </w:rPr>
              <w:t>5.1</w:t>
            </w:r>
          </w:p>
        </w:tc>
        <w:tc>
          <w:tcPr>
            <w:tcW w:w="992" w:type="dxa"/>
          </w:tcPr>
          <w:p w14:paraId="01BF3E7E" w14:textId="1EB9EC1C" w:rsidR="00A813F1" w:rsidRPr="00E65D17" w:rsidRDefault="00A813F1" w:rsidP="00762873">
            <w:pPr>
              <w:spacing w:after="0" w:line="240" w:lineRule="auto"/>
              <w:ind w:right="-57"/>
              <w:rPr>
                <w:rFonts w:ascii="Arial Narrow" w:hAnsi="Arial Narrow"/>
                <w:sz w:val="20"/>
              </w:rPr>
            </w:pPr>
            <w:r w:rsidRPr="00E87235">
              <w:rPr>
                <w:rFonts w:ascii="Arial Narrow" w:hAnsi="Arial Narrow"/>
                <w:sz w:val="20"/>
              </w:rPr>
              <w:t>0.01</w:t>
            </w:r>
            <w:r w:rsidR="00E65D17">
              <w:rPr>
                <w:rFonts w:ascii="Arial Narrow" w:hAnsi="Arial Narrow"/>
                <w:sz w:val="20"/>
                <w:vertAlign w:val="superscript"/>
              </w:rPr>
              <w:t>b</w:t>
            </w:r>
          </w:p>
          <w:p w14:paraId="20CD2BD0" w14:textId="344E4B00" w:rsidR="00A813F1" w:rsidRPr="00D50709" w:rsidRDefault="00A813F1" w:rsidP="00762873">
            <w:pPr>
              <w:spacing w:after="0" w:line="240" w:lineRule="auto"/>
              <w:ind w:right="-57"/>
              <w:rPr>
                <w:rFonts w:ascii="Arial Narrow" w:hAnsi="Arial Narrow"/>
                <w:sz w:val="20"/>
                <w:vertAlign w:val="superscript"/>
              </w:rPr>
            </w:pPr>
            <w:r w:rsidRPr="00E87235">
              <w:rPr>
                <w:rFonts w:ascii="Arial Narrow" w:hAnsi="Arial Narrow"/>
                <w:sz w:val="20"/>
              </w:rPr>
              <w:t>&lt;0.0001</w:t>
            </w:r>
            <w:r w:rsidR="00E65D17">
              <w:rPr>
                <w:rFonts w:ascii="Arial Narrow" w:hAnsi="Arial Narrow"/>
                <w:sz w:val="20"/>
                <w:vertAlign w:val="superscript"/>
              </w:rPr>
              <w:t>b</w:t>
            </w:r>
          </w:p>
        </w:tc>
      </w:tr>
      <w:tr w:rsidR="00A813F1" w:rsidRPr="00E87235" w14:paraId="4D1F97BE" w14:textId="77777777" w:rsidTr="0009046E">
        <w:trPr>
          <w:trHeight w:val="494"/>
        </w:trPr>
        <w:tc>
          <w:tcPr>
            <w:tcW w:w="1252" w:type="dxa"/>
          </w:tcPr>
          <w:p w14:paraId="4B86B2F7" w14:textId="765BDEFE" w:rsidR="00A813F1" w:rsidRPr="00E87235" w:rsidRDefault="00A813F1" w:rsidP="00835BA6">
            <w:pPr>
              <w:spacing w:after="0" w:line="240" w:lineRule="auto"/>
              <w:rPr>
                <w:rFonts w:ascii="Arial Narrow" w:hAnsi="Arial Narrow"/>
                <w:sz w:val="20"/>
              </w:rPr>
            </w:pPr>
            <w:r>
              <w:rPr>
                <w:rFonts w:ascii="Arial Narrow" w:hAnsi="Arial Narrow"/>
                <w:sz w:val="20"/>
              </w:rPr>
              <w:t xml:space="preserve">D’avila et al. </w:t>
            </w:r>
            <w:r>
              <w:rPr>
                <w:rFonts w:ascii="Arial Narrow" w:hAnsi="Arial Narrow"/>
                <w:sz w:val="20"/>
              </w:rPr>
              <w:fldChar w:fldCharType="begin"/>
            </w:r>
            <w:r w:rsidR="004308C4">
              <w:rPr>
                <w:rFonts w:ascii="Arial Narrow" w:hAnsi="Arial Narrow"/>
                <w:sz w:val="20"/>
              </w:rPr>
              <w:instrText xml:space="preserve"> ADDIN EN.CITE &lt;EndNote&gt;&lt;Cite ExcludeAuth="1"&gt;&lt;Author&gt;D&amp;apos;Avila&lt;/Author&gt;&lt;Year&gt;2015&lt;/Year&gt;&lt;RecNum&gt;110&lt;/RecNum&gt;&lt;DisplayText&gt;(2015)&lt;/DisplayText&gt;&lt;record&gt;&lt;rec-number&gt;110&lt;/rec-number&gt;&lt;foreign-keys&gt;&lt;key app="EN" db-id="s2dftfxw1fvsr1efx58vfvxtvfwzxea0td02" timestamp="1511748069"&gt;110&lt;/key&gt;&lt;/foreign-keys&gt;&lt;ref-type name="Journal Article"&gt;17&lt;/ref-type&gt;&lt;contributors&gt;&lt;authors&gt;&lt;author&gt;D&amp;apos;Avila, Â. M.&lt;/author&gt;&lt;author&gt;Biolchi, V.&lt;/author&gt;&lt;author&gt;Capp, E.&lt;/author&gt;&lt;author&gt;Corleta, H. V. E.&lt;/author&gt;&lt;/authors&gt;&lt;/contributors&gt;&lt;titles&gt;&lt;title&gt;Age, anti-müllerian hormone, antral follicles count to predict amenorrhea or oligomenorrhea after chemotherapy with cyclophosphamide&lt;/title&gt;&lt;secondary-title&gt;Journal of Ovarian Research&lt;/secondary-title&gt;&lt;/titles&gt;&lt;periodical&gt;&lt;full-title&gt;Journal of Ovarian Research&lt;/full-title&gt;&lt;/periodical&gt;&lt;volume&gt;8&lt;/volume&gt;&lt;number&gt;1&lt;/number&gt;&lt;keywords&gt;&lt;keyword&gt;Logistic Models&lt;/keyword&gt;&lt;keyword&gt;Cyclophosphamide&lt;/keyword&gt;&lt;keyword&gt;Oligomenorrhea&lt;/keyword&gt;&lt;keyword&gt;Breast Neoplasms&lt;/keyword&gt;&lt;keyword&gt;Area Under Curve&lt;/keyword&gt;&lt;keyword&gt;Amenorrhea&lt;/keyword&gt;&lt;/keywords&gt;&lt;dates&gt;&lt;year&gt;2015&lt;/year&gt;&lt;pub-dates&gt;&lt;date&gt;2015-1-1&lt;/date&gt;&lt;/pub-dates&gt;&lt;/dates&gt;&lt;isbn&gt;1757-2215&lt;/isbn&gt;&lt;accession-num&gt;rayyan-6673516&lt;/accession-num&gt;&lt;urls&gt;&lt;related-urls&gt;&lt;url&gt;http://www.embase.com/search/results?subaction=viewrecord&amp;amp;from=export&amp;amp;id=L607244547 http://dx.doi.org/10.1186/s13048-015-0209-4&lt;/url&gt;&lt;/related-urls&gt;&lt;/urls&gt;&lt;custom1&gt;RAYYAN-INCLUSION: {&amp;quot;Sharon&amp;quot;=&amp;gt;true}&lt;/custom1&gt;&lt;/record&gt;&lt;/Cite&gt;&lt;/EndNote&gt;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15" w:tooltip="D'Avila, 2015 #110" w:history="1">
              <w:r w:rsidR="00835BA6">
                <w:rPr>
                  <w:rFonts w:ascii="Arial Narrow" w:hAnsi="Arial Narrow"/>
                  <w:noProof/>
                  <w:sz w:val="20"/>
                </w:rPr>
                <w:t>2015</w:t>
              </w:r>
            </w:hyperlink>
            <w:r>
              <w:rPr>
                <w:rFonts w:ascii="Arial Narrow" w:hAnsi="Arial Narrow"/>
                <w:noProof/>
                <w:sz w:val="20"/>
              </w:rPr>
              <w:t>)</w:t>
            </w:r>
            <w:r>
              <w:rPr>
                <w:rFonts w:ascii="Arial Narrow" w:hAnsi="Arial Narrow"/>
                <w:sz w:val="20"/>
              </w:rPr>
              <w:fldChar w:fldCharType="end"/>
            </w:r>
          </w:p>
        </w:tc>
        <w:tc>
          <w:tcPr>
            <w:tcW w:w="1862" w:type="dxa"/>
          </w:tcPr>
          <w:p w14:paraId="098C7909"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b/>
                <w:sz w:val="20"/>
              </w:rPr>
              <w:t>N=47</w:t>
            </w:r>
            <w:r w:rsidRPr="00E87235">
              <w:rPr>
                <w:rFonts w:ascii="Arial Narrow" w:hAnsi="Arial Narrow"/>
                <w:sz w:val="20"/>
              </w:rPr>
              <w:t xml:space="preserve"> women with breast cancer</w:t>
            </w:r>
          </w:p>
        </w:tc>
        <w:tc>
          <w:tcPr>
            <w:tcW w:w="850" w:type="dxa"/>
          </w:tcPr>
          <w:p w14:paraId="6D0C16CC"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6 months</w:t>
            </w:r>
          </w:p>
        </w:tc>
        <w:tc>
          <w:tcPr>
            <w:tcW w:w="1276" w:type="dxa"/>
          </w:tcPr>
          <w:p w14:paraId="03D389B9" w14:textId="77777777" w:rsidR="00A813F1" w:rsidRPr="00E87235" w:rsidRDefault="00A813F1" w:rsidP="00762873">
            <w:pPr>
              <w:spacing w:after="0" w:line="240" w:lineRule="auto"/>
              <w:ind w:right="-57"/>
              <w:rPr>
                <w:rFonts w:ascii="Arial Narrow" w:hAnsi="Arial Narrow"/>
                <w:sz w:val="20"/>
              </w:rPr>
            </w:pPr>
            <w:r>
              <w:rPr>
                <w:rFonts w:ascii="Arial Narrow" w:hAnsi="Arial Narrow"/>
                <w:sz w:val="20"/>
              </w:rPr>
              <w:t>M</w:t>
            </w:r>
            <w:r w:rsidRPr="00E87235">
              <w:rPr>
                <w:rFonts w:ascii="Arial Narrow" w:hAnsi="Arial Narrow"/>
                <w:sz w:val="20"/>
              </w:rPr>
              <w:t>edian and interquartile range</w:t>
            </w:r>
          </w:p>
        </w:tc>
        <w:tc>
          <w:tcPr>
            <w:tcW w:w="1559" w:type="dxa"/>
          </w:tcPr>
          <w:p w14:paraId="65572A30" w14:textId="7DBF387B" w:rsidR="00A813F1" w:rsidRPr="00E87235" w:rsidRDefault="00A813F1" w:rsidP="00762873">
            <w:pPr>
              <w:spacing w:after="0" w:line="240" w:lineRule="auto"/>
              <w:ind w:right="-57"/>
              <w:rPr>
                <w:rFonts w:ascii="Arial Narrow" w:hAnsi="Arial Narrow"/>
                <w:sz w:val="20"/>
              </w:rPr>
            </w:pPr>
            <w:r>
              <w:rPr>
                <w:rFonts w:ascii="Arial Narrow" w:hAnsi="Arial Narrow"/>
                <w:sz w:val="20"/>
              </w:rPr>
              <w:t>1.31</w:t>
            </w:r>
            <w:r w:rsidR="0009046E">
              <w:rPr>
                <w:rFonts w:ascii="Arial Narrow" w:hAnsi="Arial Narrow"/>
                <w:sz w:val="20"/>
              </w:rPr>
              <w:t xml:space="preserve"> (0.72–</w:t>
            </w:r>
            <w:r w:rsidRPr="00E87235">
              <w:rPr>
                <w:rFonts w:ascii="Arial Narrow" w:hAnsi="Arial Narrow"/>
                <w:sz w:val="20"/>
              </w:rPr>
              <w:t>2.89)</w:t>
            </w:r>
            <w:r w:rsidR="00E65D17">
              <w:rPr>
                <w:rFonts w:ascii="Arial Narrow" w:hAnsi="Arial Narrow"/>
                <w:sz w:val="20"/>
                <w:vertAlign w:val="superscript"/>
              </w:rPr>
              <w:t>c</w:t>
            </w:r>
          </w:p>
        </w:tc>
        <w:tc>
          <w:tcPr>
            <w:tcW w:w="1418" w:type="dxa"/>
          </w:tcPr>
          <w:p w14:paraId="5BFA652D" w14:textId="1DB5CF3D" w:rsidR="00A813F1" w:rsidRPr="00E87235" w:rsidRDefault="00A813F1" w:rsidP="00762873">
            <w:pPr>
              <w:spacing w:after="0" w:line="240" w:lineRule="auto"/>
              <w:ind w:right="-57"/>
              <w:rPr>
                <w:rFonts w:ascii="Arial Narrow" w:hAnsi="Arial Narrow"/>
                <w:sz w:val="20"/>
              </w:rPr>
            </w:pPr>
            <w:r>
              <w:rPr>
                <w:rFonts w:ascii="Arial Narrow" w:hAnsi="Arial Narrow"/>
                <w:sz w:val="20"/>
              </w:rPr>
              <w:t>5.34</w:t>
            </w:r>
            <w:r w:rsidR="0009046E">
              <w:rPr>
                <w:rFonts w:ascii="Arial Narrow" w:hAnsi="Arial Narrow"/>
                <w:sz w:val="20"/>
              </w:rPr>
              <w:t xml:space="preserve"> (2.71–</w:t>
            </w:r>
            <w:r w:rsidRPr="00E87235">
              <w:rPr>
                <w:rFonts w:ascii="Arial Narrow" w:hAnsi="Arial Narrow"/>
                <w:sz w:val="20"/>
              </w:rPr>
              <w:t>8.15)</w:t>
            </w:r>
          </w:p>
        </w:tc>
        <w:tc>
          <w:tcPr>
            <w:tcW w:w="992" w:type="dxa"/>
          </w:tcPr>
          <w:p w14:paraId="30086536" w14:textId="1B176CC2" w:rsidR="00A813F1" w:rsidRPr="00D50709" w:rsidRDefault="00A813F1" w:rsidP="00762873">
            <w:pPr>
              <w:spacing w:after="0" w:line="240" w:lineRule="auto"/>
              <w:ind w:right="-57"/>
              <w:rPr>
                <w:rFonts w:ascii="Arial Narrow" w:hAnsi="Arial Narrow"/>
                <w:sz w:val="20"/>
                <w:vertAlign w:val="superscript"/>
              </w:rPr>
            </w:pPr>
            <w:r w:rsidRPr="00E87235">
              <w:rPr>
                <w:rFonts w:ascii="Arial Narrow" w:hAnsi="Arial Narrow"/>
                <w:sz w:val="20"/>
              </w:rPr>
              <w:t>p&lt;0.001</w:t>
            </w:r>
            <w:r w:rsidR="00926694">
              <w:rPr>
                <w:rFonts w:ascii="Arial Narrow" w:hAnsi="Arial Narrow"/>
                <w:sz w:val="20"/>
                <w:vertAlign w:val="superscript"/>
              </w:rPr>
              <w:t>d</w:t>
            </w:r>
          </w:p>
        </w:tc>
      </w:tr>
      <w:tr w:rsidR="00A813F1" w:rsidRPr="00E87235" w14:paraId="389B43F3" w14:textId="77777777" w:rsidTr="0009046E">
        <w:trPr>
          <w:trHeight w:val="494"/>
        </w:trPr>
        <w:tc>
          <w:tcPr>
            <w:tcW w:w="1252" w:type="dxa"/>
          </w:tcPr>
          <w:p w14:paraId="500D26AB" w14:textId="77777777" w:rsidR="00A813F1" w:rsidRPr="00E87235" w:rsidRDefault="00A813F1" w:rsidP="00762873">
            <w:pPr>
              <w:spacing w:after="0" w:line="240" w:lineRule="auto"/>
              <w:rPr>
                <w:rFonts w:ascii="Arial Narrow" w:hAnsi="Arial Narrow"/>
                <w:sz w:val="20"/>
              </w:rPr>
            </w:pPr>
            <w:r>
              <w:rPr>
                <w:rFonts w:ascii="Arial Narrow" w:hAnsi="Arial Narrow"/>
                <w:sz w:val="20"/>
              </w:rPr>
              <w:t>Dezellus et al.</w:t>
            </w:r>
          </w:p>
          <w:p w14:paraId="23915560" w14:textId="053F53D7" w:rsidR="00A813F1" w:rsidRPr="00E87235" w:rsidRDefault="00A813F1" w:rsidP="00835BA6">
            <w:pPr>
              <w:spacing w:after="0" w:line="240" w:lineRule="auto"/>
              <w:rPr>
                <w:rFonts w:ascii="Arial Narrow" w:hAnsi="Arial Narrow"/>
                <w:sz w:val="20"/>
              </w:rPr>
            </w:pPr>
            <w:r>
              <w:rPr>
                <w:rFonts w:ascii="Arial Narrow" w:hAnsi="Arial Narrow"/>
                <w:sz w:val="20"/>
              </w:rPr>
              <w:fldChar w:fldCharType="begin"/>
            </w:r>
            <w:r w:rsidR="00577E24">
              <w:rPr>
                <w:rFonts w:ascii="Arial Narrow" w:hAnsi="Arial Narrow"/>
                <w:sz w:val="20"/>
              </w:rPr>
              <w:instrText xml:space="preserve"> ADDIN EN.CITE &lt;EndNote&gt;&lt;Cite ExcludeAuth="1"&gt;&lt;Author&gt;Dezellus&lt;/Author&gt;&lt;Year&gt;2017&lt;/Year&gt;&lt;RecNum&gt;117&lt;/RecNum&gt;&lt;IDText&gt;72-80&lt;/IDText&gt;&lt;DisplayText&gt;(2017)&lt;/DisplayText&gt;&lt;record&gt;&lt;rec-number&gt;117&lt;/rec-number&gt;&lt;foreign-keys&gt;&lt;key app="EN" db-id="s2dftfxw1fvsr1efx58vfvxtvfwzxea0td02" timestamp="1511748070"&gt;117&lt;/key&gt;&lt;/foreign-keys&gt;&lt;ref-type name="Journal Article"&gt;17&lt;/ref-type&gt;&lt;contributors&gt;&lt;authors&gt;&lt;author&gt;Dezellus, A.&lt;/author&gt;&lt;author&gt;Barriere, P.&lt;/author&gt;&lt;author&gt;Campone, M.&lt;/author&gt;&lt;author&gt;Lemanski, C.&lt;/author&gt;&lt;author&gt;Vanlemmens, L.&lt;/author&gt;&lt;author&gt;Mignot, L.&lt;/author&gt;&lt;author&gt;Delozier, T.&lt;/author&gt;&lt;author&gt;Levy, C.&lt;/author&gt;&lt;author&gt;Bendavid, C.&lt;/author&gt;&lt;author&gt;Debled, M.&lt;/author&gt;&lt;author&gt;Bachelot, T.&lt;/author&gt;&lt;author&gt;Jouannaud, C.&lt;/author&gt;&lt;author&gt;Loustalot, C.&lt;/author&gt;&lt;author&gt;Mouret-Reynier, M. A.&lt;/author&gt;&lt;author&gt;Gallais-Umbert, A.&lt;/author&gt;&lt;author&gt;Masson, D.&lt;/author&gt;&lt;author&gt;Freour, T.&lt;/author&gt;&lt;/authors&gt;&lt;/contributors&gt;&lt;titles&gt;&lt;title&gt;Prospective evaluation of serum anti-Mullerian hormone dynamics in 250 women of reproductive age treated with chemotherapy for breast cancer&lt;/title&gt;&lt;secondary-title&gt;Eur J Cancer&lt;/secondary-title&gt;&lt;/titles&gt;&lt;periodical&gt;&lt;full-title&gt;Eur J Cancer&lt;/full-title&gt;&lt;/periodical&gt;&lt;pages&gt;72-80&lt;/pages&gt;&lt;volume&gt;79&lt;/volume&gt;&lt;keywords&gt;&lt;keyword&gt;Breast Neoplasms&lt;/keyword&gt;&lt;/keywords&gt;&lt;dates&gt;&lt;year&gt;2017&lt;/year&gt;&lt;pub-dates&gt;&lt;date&gt;2017-1-1&lt;/date&gt;&lt;/pub-dates&gt;&lt;/dates&gt;&lt;isbn&gt;0959-8049 (Print) 0959-8049&lt;/isbn&gt;&lt;accession-num&gt;rayyan-6673689&lt;/accession-num&gt;&lt;urls&gt;&lt;/urls&gt;&lt;custom1&gt;RAYYAN-INCLUSION: {&amp;quot;Sharon&amp;quot;=&amp;gt;true, &amp;quot;Joanne&amp;quot;=&amp;gt;true}&lt;/custom1&gt;&lt;language&gt;eng&lt;/language&gt;&lt;/record&gt;&lt;/Cite&gt;&lt;/EndNote&gt;</w:instrText>
            </w:r>
            <w:r>
              <w:rPr>
                <w:rFonts w:ascii="Arial Narrow" w:hAnsi="Arial Narrow"/>
                <w:sz w:val="20"/>
              </w:rPr>
              <w:fldChar w:fldCharType="separate"/>
            </w:r>
            <w:r>
              <w:rPr>
                <w:rFonts w:ascii="Arial Narrow" w:hAnsi="Arial Narrow"/>
                <w:noProof/>
                <w:sz w:val="20"/>
              </w:rPr>
              <w:t>(</w:t>
            </w:r>
            <w:hyperlink w:anchor="_ENREF_20" w:tooltip="Dezellus, 2017 #117" w:history="1">
              <w:r w:rsidR="00835BA6">
                <w:rPr>
                  <w:rFonts w:ascii="Arial Narrow" w:hAnsi="Arial Narrow"/>
                  <w:noProof/>
                  <w:sz w:val="20"/>
                </w:rPr>
                <w:t>2017</w:t>
              </w:r>
            </w:hyperlink>
            <w:r>
              <w:rPr>
                <w:rFonts w:ascii="Arial Narrow" w:hAnsi="Arial Narrow"/>
                <w:noProof/>
                <w:sz w:val="20"/>
              </w:rPr>
              <w:t>)</w:t>
            </w:r>
            <w:r>
              <w:rPr>
                <w:rFonts w:ascii="Arial Narrow" w:hAnsi="Arial Narrow"/>
                <w:sz w:val="20"/>
              </w:rPr>
              <w:fldChar w:fldCharType="end"/>
            </w:r>
          </w:p>
        </w:tc>
        <w:tc>
          <w:tcPr>
            <w:tcW w:w="1862" w:type="dxa"/>
          </w:tcPr>
          <w:p w14:paraId="198502E4"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b/>
                <w:sz w:val="20"/>
              </w:rPr>
              <w:t>N=249</w:t>
            </w:r>
            <w:r w:rsidRPr="00E87235">
              <w:rPr>
                <w:rFonts w:ascii="Arial Narrow" w:hAnsi="Arial Narrow"/>
                <w:sz w:val="20"/>
              </w:rPr>
              <w:t xml:space="preserve"> women with breast cancer</w:t>
            </w:r>
          </w:p>
        </w:tc>
        <w:tc>
          <w:tcPr>
            <w:tcW w:w="850" w:type="dxa"/>
          </w:tcPr>
          <w:p w14:paraId="1ECCB574"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6 months</w:t>
            </w:r>
          </w:p>
        </w:tc>
        <w:tc>
          <w:tcPr>
            <w:tcW w:w="1276" w:type="dxa"/>
          </w:tcPr>
          <w:p w14:paraId="2E59E7B4" w14:textId="531D503C"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Mean</w:t>
            </w:r>
            <w:r w:rsidR="00CB05BE" w:rsidRPr="00CB05BE">
              <w:rPr>
                <w:rFonts w:ascii="Arial Narrow" w:hAnsi="Arial Narrow"/>
                <w:sz w:val="20"/>
              </w:rPr>
              <w:t> ± </w:t>
            </w:r>
            <w:r w:rsidRPr="00E87235">
              <w:rPr>
                <w:rFonts w:ascii="Arial Narrow" w:hAnsi="Arial Narrow"/>
                <w:sz w:val="20"/>
              </w:rPr>
              <w:t>SD</w:t>
            </w:r>
          </w:p>
        </w:tc>
        <w:tc>
          <w:tcPr>
            <w:tcW w:w="1559" w:type="dxa"/>
          </w:tcPr>
          <w:p w14:paraId="4A1A9F95" w14:textId="44F9E675" w:rsidR="00A813F1" w:rsidRPr="00E87235" w:rsidRDefault="00A813F1" w:rsidP="00762873">
            <w:pPr>
              <w:spacing w:after="0" w:line="240" w:lineRule="auto"/>
              <w:ind w:right="-57"/>
              <w:rPr>
                <w:rFonts w:ascii="Arial Narrow" w:hAnsi="Arial Narrow"/>
                <w:sz w:val="20"/>
              </w:rPr>
            </w:pPr>
            <w:r>
              <w:rPr>
                <w:rFonts w:ascii="Arial Narrow" w:hAnsi="Arial Narrow"/>
                <w:sz w:val="20"/>
              </w:rPr>
              <w:t>3.42</w:t>
            </w:r>
            <w:r w:rsidR="00CB05BE" w:rsidRPr="00CB05BE">
              <w:rPr>
                <w:rFonts w:ascii="Arial Narrow" w:hAnsi="Arial Narrow"/>
                <w:sz w:val="20"/>
              </w:rPr>
              <w:t> ± </w:t>
            </w:r>
            <w:r>
              <w:rPr>
                <w:rFonts w:ascii="Arial Narrow" w:hAnsi="Arial Narrow"/>
                <w:sz w:val="20"/>
              </w:rPr>
              <w:t>2.59</w:t>
            </w:r>
          </w:p>
        </w:tc>
        <w:tc>
          <w:tcPr>
            <w:tcW w:w="1418" w:type="dxa"/>
          </w:tcPr>
          <w:p w14:paraId="7A6903FF" w14:textId="2B4D828E"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5.33</w:t>
            </w:r>
            <w:r w:rsidR="00CB05BE" w:rsidRPr="00CB05BE">
              <w:rPr>
                <w:rFonts w:ascii="Arial Narrow" w:hAnsi="Arial Narrow"/>
                <w:sz w:val="20"/>
              </w:rPr>
              <w:t> ± </w:t>
            </w:r>
            <w:r w:rsidRPr="00E87235">
              <w:rPr>
                <w:rFonts w:ascii="Arial Narrow" w:hAnsi="Arial Narrow"/>
                <w:sz w:val="20"/>
              </w:rPr>
              <w:t>3.72</w:t>
            </w:r>
          </w:p>
        </w:tc>
        <w:tc>
          <w:tcPr>
            <w:tcW w:w="992" w:type="dxa"/>
          </w:tcPr>
          <w:p w14:paraId="29CB4AEB" w14:textId="4B23243F" w:rsidR="00A813F1" w:rsidRPr="00D50709" w:rsidRDefault="00A813F1" w:rsidP="00762873">
            <w:pPr>
              <w:spacing w:after="0" w:line="240" w:lineRule="auto"/>
              <w:ind w:right="-57"/>
              <w:rPr>
                <w:rFonts w:ascii="Arial Narrow" w:hAnsi="Arial Narrow"/>
                <w:sz w:val="20"/>
                <w:vertAlign w:val="superscript"/>
              </w:rPr>
            </w:pPr>
            <w:r w:rsidRPr="00E87235">
              <w:rPr>
                <w:rFonts w:ascii="Arial Narrow" w:hAnsi="Arial Narrow"/>
                <w:sz w:val="20"/>
              </w:rPr>
              <w:t>0.0027</w:t>
            </w:r>
            <w:r w:rsidR="00926694">
              <w:rPr>
                <w:rFonts w:ascii="Arial Narrow" w:hAnsi="Arial Narrow"/>
                <w:sz w:val="20"/>
                <w:vertAlign w:val="superscript"/>
              </w:rPr>
              <w:t>d</w:t>
            </w:r>
          </w:p>
          <w:p w14:paraId="7705E7D1" w14:textId="1CD6283B" w:rsidR="00A813F1" w:rsidRPr="00E87235" w:rsidRDefault="00A813F1" w:rsidP="002C54E5">
            <w:pPr>
              <w:spacing w:after="0" w:line="240" w:lineRule="auto"/>
              <w:ind w:right="-57"/>
              <w:rPr>
                <w:rFonts w:ascii="Arial Narrow" w:hAnsi="Arial Narrow"/>
                <w:sz w:val="20"/>
              </w:rPr>
            </w:pPr>
            <w:r w:rsidRPr="00E87235">
              <w:rPr>
                <w:rFonts w:ascii="Arial Narrow" w:hAnsi="Arial Narrow"/>
                <w:sz w:val="20"/>
              </w:rPr>
              <w:t>(</w:t>
            </w:r>
            <w:r w:rsidR="002C54E5">
              <w:rPr>
                <w:rFonts w:ascii="Arial Narrow" w:hAnsi="Arial Narrow"/>
                <w:sz w:val="20"/>
              </w:rPr>
              <w:t>NS</w:t>
            </w:r>
            <w:r w:rsidRPr="00E87235">
              <w:rPr>
                <w:rFonts w:ascii="Arial Narrow" w:hAnsi="Arial Narrow"/>
                <w:sz w:val="20"/>
              </w:rPr>
              <w:t xml:space="preserve"> after longer follow-up)</w:t>
            </w:r>
          </w:p>
        </w:tc>
      </w:tr>
      <w:tr w:rsidR="00A813F1" w:rsidRPr="00E87235" w14:paraId="5E0867FF" w14:textId="77777777" w:rsidTr="0009046E">
        <w:trPr>
          <w:trHeight w:val="494"/>
        </w:trPr>
        <w:tc>
          <w:tcPr>
            <w:tcW w:w="1252" w:type="dxa"/>
          </w:tcPr>
          <w:p w14:paraId="378A810B" w14:textId="05C4FADE" w:rsidR="00A813F1" w:rsidRPr="00E87235" w:rsidRDefault="00A813F1" w:rsidP="00762873">
            <w:pPr>
              <w:spacing w:after="0" w:line="240" w:lineRule="auto"/>
              <w:rPr>
                <w:rFonts w:ascii="Arial Narrow" w:hAnsi="Arial Narrow"/>
                <w:sz w:val="20"/>
              </w:rPr>
            </w:pPr>
            <w:r>
              <w:rPr>
                <w:rFonts w:ascii="Arial Narrow" w:hAnsi="Arial Narrow"/>
                <w:sz w:val="20"/>
              </w:rPr>
              <w:t xml:space="preserve">Ruddy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ExcludeAuth="1"&gt;&lt;Author&gt;Ruddy&lt;/Author&gt;&lt;Year&gt;2014&lt;/Year&gt;&lt;RecNum&gt;304&lt;/RecNum&gt;&lt;IDText&gt;591-7&lt;/IDText&gt;&lt;DisplayText&gt;(2014)&lt;/DisplayText&gt;&lt;record&gt;&lt;rec-number&gt;304&lt;/rec-number&gt;&lt;foreign-keys&gt;&lt;key app="EN" db-id="s2dftfxw1fvsr1efx58vfvxtvfwzxea0td02" timestamp="1511748094"&gt;304&lt;/key&gt;&lt;/foreign-keys&gt;&lt;ref-type name="Electronic Article"&gt;43&lt;/ref-type&gt;&lt;contributors&gt;&lt;authors&gt;&lt;author&gt;Ruddy, Kj&lt;/author&gt;&lt;author&gt;O&amp;apos;Neill, A&lt;/author&gt;&lt;author&gt;Miller, Kd&lt;/author&gt;&lt;author&gt;Schneider, Bp&lt;/author&gt;&lt;author&gt;Baker, E&lt;/author&gt;&lt;author&gt;Sparano, Ja&lt;/author&gt;&lt;author&gt;Dang, C&lt;/author&gt;&lt;author&gt;Northfelt, Dw&lt;/author&gt;&lt;author&gt;Sledge, Gw&lt;/author&gt;&lt;author&gt;Partridge, Ah&lt;/author&gt;&lt;/authors&gt;&lt;/contributors&gt;&lt;titles&gt;&lt;title&gt;Biomarker prediction of chemotherapy-related amenorrhea in premenopausal women with breast cancer participating in E5103&lt;/title&gt;&lt;/titles&gt;&lt;pages&gt;591-7&lt;/pages&gt;&lt;volume&gt;144&lt;/volume&gt;&lt;number&gt;3&lt;/number&gt;&lt;keywords&gt;&lt;keyword&gt;Amenorrhea&lt;/keyword&gt;&lt;keyword&gt;Premenopause&lt;/keyword&gt;&lt;keyword&gt;Biological Markers&lt;/keyword&gt;&lt;keyword&gt;Breast Neoplasms&lt;/keyword&gt;&lt;/keywords&gt;&lt;dates&gt;&lt;year&gt;2014&lt;/year&gt;&lt;pub-dates&gt;&lt;date&gt;2014-1-1&lt;/date&gt;&lt;/pub-dates&gt;&lt;/dates&gt;&lt;isbn&gt;0167-6806&lt;/isbn&gt;&lt;accession-num&gt;rayyan-6678069&lt;/accession-num&gt;&lt;urls&gt;&lt;related-urls&gt;&lt;url&gt;http://onlinelibrary.wiley.com/o/cochrane/clcentral/articles/585/CN-00988585/frame.html&lt;/url&gt;&lt;url&gt;https://link.springer.com/content/pdf/10.1007%2Fs10549-014-2891-0.pdf&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59" w:tooltip="Ruddy, 2014 #304" w:history="1">
              <w:r w:rsidR="00835BA6">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p>
          <w:p w14:paraId="57854C93" w14:textId="77777777" w:rsidR="00A813F1" w:rsidRPr="00E87235" w:rsidRDefault="00A813F1" w:rsidP="00762873">
            <w:pPr>
              <w:spacing w:after="0" w:line="240" w:lineRule="auto"/>
              <w:rPr>
                <w:rFonts w:ascii="Arial Narrow" w:hAnsi="Arial Narrow"/>
                <w:sz w:val="20"/>
              </w:rPr>
            </w:pPr>
          </w:p>
        </w:tc>
        <w:tc>
          <w:tcPr>
            <w:tcW w:w="1862" w:type="dxa"/>
          </w:tcPr>
          <w:p w14:paraId="2FD78B7B" w14:textId="4FB96C7C" w:rsidR="00A813F1" w:rsidRPr="00E87235" w:rsidRDefault="00A813F1" w:rsidP="00762873">
            <w:pPr>
              <w:spacing w:after="0" w:line="240" w:lineRule="auto"/>
              <w:ind w:right="-57"/>
              <w:rPr>
                <w:rFonts w:ascii="Arial Narrow" w:hAnsi="Arial Narrow"/>
                <w:sz w:val="20"/>
              </w:rPr>
            </w:pPr>
            <w:r w:rsidRPr="00E87235">
              <w:rPr>
                <w:rFonts w:ascii="Arial Narrow" w:hAnsi="Arial Narrow"/>
                <w:b/>
                <w:sz w:val="20"/>
              </w:rPr>
              <w:t>N=124</w:t>
            </w:r>
            <w:r w:rsidR="00385A07">
              <w:rPr>
                <w:rFonts w:ascii="Arial Narrow" w:hAnsi="Arial Narrow"/>
                <w:sz w:val="20"/>
              </w:rPr>
              <w:t xml:space="preserve"> at 1-</w:t>
            </w:r>
            <w:r w:rsidRPr="00E87235">
              <w:rPr>
                <w:rFonts w:ascii="Arial Narrow" w:hAnsi="Arial Narrow"/>
                <w:sz w:val="20"/>
              </w:rPr>
              <w:t xml:space="preserve">year, </w:t>
            </w:r>
            <w:r w:rsidRPr="00E87235">
              <w:rPr>
                <w:rFonts w:ascii="Arial Narrow" w:hAnsi="Arial Narrow"/>
                <w:b/>
                <w:sz w:val="20"/>
              </w:rPr>
              <w:t>N=100</w:t>
            </w:r>
            <w:r w:rsidR="00385A07">
              <w:rPr>
                <w:rFonts w:ascii="Arial Narrow" w:hAnsi="Arial Narrow"/>
                <w:sz w:val="20"/>
              </w:rPr>
              <w:t xml:space="preserve"> at 18-</w:t>
            </w:r>
            <w:r w:rsidRPr="00E87235">
              <w:rPr>
                <w:rFonts w:ascii="Arial Narrow" w:hAnsi="Arial Narrow"/>
                <w:sz w:val="20"/>
              </w:rPr>
              <w:t>month follow-up</w:t>
            </w:r>
          </w:p>
          <w:p w14:paraId="7B0EAC9F" w14:textId="5FF14CCB"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Pre</w:t>
            </w:r>
            <w:r w:rsidR="003036C4">
              <w:rPr>
                <w:rFonts w:ascii="Arial Narrow" w:hAnsi="Arial Narrow"/>
                <w:sz w:val="20"/>
              </w:rPr>
              <w:t>-menopausal</w:t>
            </w:r>
            <w:r w:rsidRPr="00E87235">
              <w:rPr>
                <w:rFonts w:ascii="Arial Narrow" w:hAnsi="Arial Narrow"/>
                <w:sz w:val="20"/>
              </w:rPr>
              <w:t xml:space="preserve"> women with breast cancer</w:t>
            </w:r>
          </w:p>
        </w:tc>
        <w:tc>
          <w:tcPr>
            <w:tcW w:w="850" w:type="dxa"/>
          </w:tcPr>
          <w:p w14:paraId="7D013FC7"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1 year</w:t>
            </w:r>
          </w:p>
          <w:p w14:paraId="33F8A46A"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18 months</w:t>
            </w:r>
          </w:p>
        </w:tc>
        <w:tc>
          <w:tcPr>
            <w:tcW w:w="1276" w:type="dxa"/>
          </w:tcPr>
          <w:p w14:paraId="70276163" w14:textId="19451D58" w:rsidR="00A813F1" w:rsidRPr="00E87235" w:rsidRDefault="00A813F1" w:rsidP="00762873">
            <w:pPr>
              <w:spacing w:after="0" w:line="240" w:lineRule="auto"/>
              <w:ind w:right="-57"/>
              <w:rPr>
                <w:rFonts w:ascii="Arial Narrow" w:hAnsi="Arial Narrow"/>
                <w:sz w:val="20"/>
              </w:rPr>
            </w:pPr>
            <w:r>
              <w:rPr>
                <w:rFonts w:ascii="Arial Narrow" w:hAnsi="Arial Narrow"/>
                <w:sz w:val="20"/>
              </w:rPr>
              <w:t>M</w:t>
            </w:r>
            <w:r w:rsidR="00B7183E">
              <w:rPr>
                <w:rFonts w:ascii="Arial Narrow" w:hAnsi="Arial Narrow"/>
                <w:sz w:val="20"/>
              </w:rPr>
              <w:t>edian</w:t>
            </w:r>
          </w:p>
        </w:tc>
        <w:tc>
          <w:tcPr>
            <w:tcW w:w="1559" w:type="dxa"/>
          </w:tcPr>
          <w:p w14:paraId="31CFFABE" w14:textId="77777777" w:rsidR="00A813F1" w:rsidRPr="00E87235" w:rsidRDefault="00A813F1" w:rsidP="00762873">
            <w:pPr>
              <w:spacing w:after="0" w:line="240" w:lineRule="auto"/>
              <w:ind w:right="-57"/>
              <w:rPr>
                <w:rFonts w:ascii="Arial Narrow" w:hAnsi="Arial Narrow"/>
                <w:sz w:val="20"/>
              </w:rPr>
            </w:pPr>
            <w:r>
              <w:rPr>
                <w:rFonts w:ascii="Arial Narrow" w:hAnsi="Arial Narrow"/>
                <w:sz w:val="20"/>
              </w:rPr>
              <w:t xml:space="preserve">0.08 </w:t>
            </w:r>
            <w:r w:rsidRPr="00E87235">
              <w:rPr>
                <w:rFonts w:ascii="Arial Narrow" w:hAnsi="Arial Narrow"/>
                <w:sz w:val="20"/>
              </w:rPr>
              <w:t>(n=102)</w:t>
            </w:r>
          </w:p>
          <w:p w14:paraId="12D31488"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0.06 (n=81)</w:t>
            </w:r>
          </w:p>
        </w:tc>
        <w:tc>
          <w:tcPr>
            <w:tcW w:w="1418" w:type="dxa"/>
          </w:tcPr>
          <w:p w14:paraId="46C76026"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1.3 (n=22)</w:t>
            </w:r>
          </w:p>
          <w:p w14:paraId="69C07B3A" w14:textId="4F3015A0" w:rsidR="00A813F1" w:rsidRPr="00E87235" w:rsidRDefault="00B7183E" w:rsidP="00762873">
            <w:pPr>
              <w:spacing w:after="0" w:line="240" w:lineRule="auto"/>
              <w:ind w:right="-57"/>
              <w:rPr>
                <w:rFonts w:ascii="Arial Narrow" w:hAnsi="Arial Narrow"/>
                <w:sz w:val="20"/>
              </w:rPr>
            </w:pPr>
            <w:r>
              <w:rPr>
                <w:rFonts w:ascii="Arial Narrow" w:hAnsi="Arial Narrow"/>
                <w:sz w:val="20"/>
              </w:rPr>
              <w:t>1.25 (n=19)</w:t>
            </w:r>
          </w:p>
        </w:tc>
        <w:tc>
          <w:tcPr>
            <w:tcW w:w="992" w:type="dxa"/>
          </w:tcPr>
          <w:p w14:paraId="18444FB7" w14:textId="63382B94" w:rsidR="00A813F1" w:rsidRPr="00D50709" w:rsidRDefault="00A813F1" w:rsidP="00762873">
            <w:pPr>
              <w:spacing w:after="0" w:line="240" w:lineRule="auto"/>
              <w:ind w:right="-57"/>
              <w:rPr>
                <w:rFonts w:ascii="Arial Narrow" w:hAnsi="Arial Narrow"/>
                <w:sz w:val="20"/>
                <w:vertAlign w:val="superscript"/>
              </w:rPr>
            </w:pPr>
            <w:r w:rsidRPr="00E87235">
              <w:rPr>
                <w:rFonts w:ascii="Arial Narrow" w:hAnsi="Arial Narrow"/>
                <w:sz w:val="20"/>
              </w:rPr>
              <w:t>&lt;0.0001</w:t>
            </w:r>
            <w:r w:rsidR="00926694">
              <w:rPr>
                <w:rFonts w:ascii="Arial Narrow" w:hAnsi="Arial Narrow"/>
                <w:sz w:val="20"/>
                <w:vertAlign w:val="superscript"/>
              </w:rPr>
              <w:t>e</w:t>
            </w:r>
          </w:p>
          <w:p w14:paraId="0FB2EBB0" w14:textId="7CECC014" w:rsidR="00A813F1" w:rsidRPr="00D50709" w:rsidRDefault="00A813F1" w:rsidP="00762873">
            <w:pPr>
              <w:spacing w:after="0" w:line="240" w:lineRule="auto"/>
              <w:ind w:right="-57"/>
              <w:rPr>
                <w:rFonts w:ascii="Arial Narrow" w:hAnsi="Arial Narrow"/>
                <w:sz w:val="20"/>
                <w:vertAlign w:val="superscript"/>
              </w:rPr>
            </w:pPr>
            <w:r w:rsidRPr="00E87235">
              <w:rPr>
                <w:rFonts w:ascii="Arial Narrow" w:hAnsi="Arial Narrow"/>
                <w:sz w:val="20"/>
              </w:rPr>
              <w:t>&lt;0.0001</w:t>
            </w:r>
            <w:r w:rsidR="00926694">
              <w:rPr>
                <w:rFonts w:ascii="Arial Narrow" w:hAnsi="Arial Narrow"/>
                <w:sz w:val="20"/>
                <w:vertAlign w:val="superscript"/>
              </w:rPr>
              <w:t>e</w:t>
            </w:r>
          </w:p>
        </w:tc>
      </w:tr>
      <w:tr w:rsidR="00A813F1" w:rsidRPr="00E87235" w14:paraId="1AF11A6F" w14:textId="77777777" w:rsidTr="0009046E">
        <w:trPr>
          <w:trHeight w:val="494"/>
        </w:trPr>
        <w:tc>
          <w:tcPr>
            <w:tcW w:w="1252" w:type="dxa"/>
          </w:tcPr>
          <w:p w14:paraId="038A9029" w14:textId="7E49AFF4" w:rsidR="00A813F1" w:rsidRPr="00E87235" w:rsidRDefault="00A813F1" w:rsidP="00835BA6">
            <w:pPr>
              <w:spacing w:after="0" w:line="240" w:lineRule="auto"/>
              <w:rPr>
                <w:rFonts w:ascii="Arial Narrow" w:hAnsi="Arial Narrow"/>
                <w:sz w:val="20"/>
              </w:rPr>
            </w:pPr>
            <w:r>
              <w:rPr>
                <w:rFonts w:ascii="Arial Narrow" w:hAnsi="Arial Narrow"/>
                <w:sz w:val="20"/>
              </w:rPr>
              <w:lastRenderedPageBreak/>
              <w:t xml:space="preserve">Yu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ExcludeAuth="1"&gt;&lt;Author&gt;Yu&lt;/Author&gt;&lt;Year&gt;2010&lt;/Year&gt;&lt;RecNum&gt;374&lt;/RecNum&gt;&lt;IDText&gt;2099-2105&lt;/IDText&gt;&lt;DisplayText&gt;(2010)&lt;/DisplayText&gt;&lt;record&gt;&lt;rec-number&gt;374&lt;/rec-number&gt;&lt;foreign-keys&gt;&lt;key app="EN" db-id="s2dftfxw1fvsr1efx58vfvxtvfwzxea0td02" timestamp="1511748101"&gt;374&lt;/key&gt;&lt;/foreign-keys&gt;&lt;ref-type name="Journal Article"&gt;17&lt;/ref-type&gt;&lt;contributors&gt;&lt;authors&gt;&lt;author&gt;Yu, B.&lt;/author&gt;&lt;author&gt;Douglas, N.&lt;/author&gt;&lt;author&gt;Ferin, M. J.&lt;/author&gt;&lt;author&gt;Nakhuda, G. S.&lt;/author&gt;&lt;author&gt;Crew, K.&lt;/author&gt;&lt;author&gt;Lobo, R. A.&lt;/author&gt;&lt;author&gt;Hershman, D. L.&lt;/author&gt;&lt;/authors&gt;&lt;/contributors&gt;&lt;titles&gt;&lt;title&gt;Changes in markers of ovarian reserve and endocrine function in young women with breast cancer undergoing adjuvant chemotherapy&lt;/title&gt;&lt;secondary-title&gt;Cancer&lt;/secondary-title&gt;&lt;/titles&gt;&lt;periodical&gt;&lt;full-title&gt;Cancer&lt;/full-title&gt;&lt;/periodical&gt;&lt;pages&gt;2099-2105&lt;/pages&gt;&lt;volume&gt;116&lt;/volume&gt;&lt;number&gt;9&lt;/number&gt;&lt;keywords&gt;&lt;keyword&gt;Self-Fertilization&lt;/keyword&gt;&lt;keyword&gt;Amenorrhea&lt;/keyword&gt;&lt;keyword&gt;Premenopause&lt;/keyword&gt;&lt;keyword&gt;Follicle Stimulating Hormone&lt;/keyword&gt;&lt;keyword&gt;Chemotherapy, Adjuvant&lt;/keyword&gt;&lt;keyword&gt;Breast Neoplasms&lt;/keyword&gt;&lt;/keywords&gt;&lt;dates&gt;&lt;year&gt;2010&lt;/year&gt;&lt;pub-dates&gt;&lt;date&gt;2010-1-1&lt;/date&gt;&lt;/pub-dates&gt;&lt;/dates&gt;&lt;accession-num&gt;rayyan-6679843&lt;/accession-num&gt;&lt;urls&gt;&lt;related-urls&gt;&lt;url&gt;http://www.embase.com/search/results?subaction=viewrecord&amp;amp;from=export&amp;amp;id=L358702374 http://dx.doi.org/10.1002/cncr.25037&lt;/url&gt;&lt;url&gt;http://onlinelibrary.wiley.com/store/10.1002/cncr.25037/asset/25037_ftp.pdf?v=1&amp;amp;t=j5niw4b0&amp;amp;s=e7188da725b5a09d82cd60cd3b8e414aa9f13e2c&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78" w:tooltip="Yu, 2010 #374" w:history="1">
              <w:r w:rsidR="00835BA6">
                <w:rPr>
                  <w:rFonts w:ascii="Arial Narrow" w:hAnsi="Arial Narrow"/>
                  <w:noProof/>
                  <w:sz w:val="20"/>
                </w:rPr>
                <w:t>2010</w:t>
              </w:r>
            </w:hyperlink>
            <w:r>
              <w:rPr>
                <w:rFonts w:ascii="Arial Narrow" w:hAnsi="Arial Narrow"/>
                <w:noProof/>
                <w:sz w:val="20"/>
              </w:rPr>
              <w:t>)</w:t>
            </w:r>
            <w:r>
              <w:rPr>
                <w:rFonts w:ascii="Arial Narrow" w:hAnsi="Arial Narrow"/>
                <w:sz w:val="20"/>
              </w:rPr>
              <w:fldChar w:fldCharType="end"/>
            </w:r>
          </w:p>
        </w:tc>
        <w:tc>
          <w:tcPr>
            <w:tcW w:w="1862" w:type="dxa"/>
          </w:tcPr>
          <w:p w14:paraId="75C9254C"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b/>
                <w:sz w:val="20"/>
              </w:rPr>
              <w:t>N=26</w:t>
            </w:r>
            <w:r w:rsidRPr="00E87235">
              <w:rPr>
                <w:rFonts w:ascii="Arial Narrow" w:hAnsi="Arial Narrow"/>
                <w:sz w:val="20"/>
              </w:rPr>
              <w:t xml:space="preserve"> women with breast cancer</w:t>
            </w:r>
          </w:p>
        </w:tc>
        <w:tc>
          <w:tcPr>
            <w:tcW w:w="850" w:type="dxa"/>
          </w:tcPr>
          <w:p w14:paraId="40A8BB7C"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1 year</w:t>
            </w:r>
          </w:p>
        </w:tc>
        <w:tc>
          <w:tcPr>
            <w:tcW w:w="1276" w:type="dxa"/>
          </w:tcPr>
          <w:p w14:paraId="242D6D06" w14:textId="77777777" w:rsidR="00A813F1" w:rsidRPr="00E87235" w:rsidRDefault="00A813F1" w:rsidP="00762873">
            <w:pPr>
              <w:spacing w:after="0" w:line="240" w:lineRule="auto"/>
              <w:ind w:right="-57"/>
              <w:rPr>
                <w:rFonts w:ascii="Arial Narrow" w:hAnsi="Arial Narrow"/>
                <w:sz w:val="20"/>
              </w:rPr>
            </w:pPr>
            <w:r>
              <w:rPr>
                <w:rFonts w:ascii="Arial Narrow" w:hAnsi="Arial Narrow"/>
                <w:sz w:val="20"/>
              </w:rPr>
              <w:t>M</w:t>
            </w:r>
            <w:r w:rsidRPr="00E87235">
              <w:rPr>
                <w:rFonts w:ascii="Arial Narrow" w:hAnsi="Arial Narrow"/>
                <w:sz w:val="20"/>
              </w:rPr>
              <w:t>edian</w:t>
            </w:r>
          </w:p>
        </w:tc>
        <w:tc>
          <w:tcPr>
            <w:tcW w:w="1559" w:type="dxa"/>
          </w:tcPr>
          <w:p w14:paraId="7DBC4502"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0.97 (n=11)</w:t>
            </w:r>
          </w:p>
        </w:tc>
        <w:tc>
          <w:tcPr>
            <w:tcW w:w="1418" w:type="dxa"/>
          </w:tcPr>
          <w:p w14:paraId="3AB06905" w14:textId="77777777" w:rsidR="00A813F1" w:rsidRPr="00E87235" w:rsidRDefault="00A813F1" w:rsidP="00762873">
            <w:pPr>
              <w:spacing w:after="0" w:line="240" w:lineRule="auto"/>
              <w:ind w:right="-57"/>
              <w:rPr>
                <w:rFonts w:ascii="Arial Narrow" w:hAnsi="Arial Narrow"/>
                <w:sz w:val="20"/>
              </w:rPr>
            </w:pPr>
            <w:r w:rsidRPr="00E87235">
              <w:rPr>
                <w:rFonts w:ascii="Arial Narrow" w:hAnsi="Arial Narrow"/>
                <w:sz w:val="20"/>
              </w:rPr>
              <w:t>0.98 (n=15)</w:t>
            </w:r>
          </w:p>
        </w:tc>
        <w:tc>
          <w:tcPr>
            <w:tcW w:w="992" w:type="dxa"/>
          </w:tcPr>
          <w:p w14:paraId="1CB9B212" w14:textId="2016D950" w:rsidR="00A813F1" w:rsidRPr="00926694" w:rsidRDefault="002C54E5" w:rsidP="00762873">
            <w:pPr>
              <w:spacing w:after="0" w:line="240" w:lineRule="auto"/>
              <w:ind w:right="-57"/>
              <w:rPr>
                <w:rFonts w:ascii="Arial Narrow" w:hAnsi="Arial Narrow"/>
                <w:sz w:val="20"/>
              </w:rPr>
            </w:pPr>
            <w:r>
              <w:rPr>
                <w:rFonts w:ascii="Arial Narrow" w:hAnsi="Arial Narrow"/>
                <w:sz w:val="20"/>
              </w:rPr>
              <w:t>NS</w:t>
            </w:r>
            <w:r w:rsidR="00926694">
              <w:rPr>
                <w:rFonts w:ascii="Arial Narrow" w:hAnsi="Arial Narrow"/>
                <w:sz w:val="20"/>
                <w:vertAlign w:val="superscript"/>
              </w:rPr>
              <w:t>b</w:t>
            </w:r>
          </w:p>
        </w:tc>
      </w:tr>
    </w:tbl>
    <w:p w14:paraId="549D3D65" w14:textId="57137EC8" w:rsidR="00DD53E7" w:rsidRPr="00DD53E7" w:rsidRDefault="002C54E5" w:rsidP="00A813F1">
      <w:pPr>
        <w:spacing w:after="0" w:line="240" w:lineRule="auto"/>
        <w:rPr>
          <w:rFonts w:ascii="Arial Narrow" w:hAnsi="Arial Narrow"/>
          <w:sz w:val="18"/>
          <w:szCs w:val="18"/>
        </w:rPr>
      </w:pPr>
      <w:r w:rsidRPr="002C54E5">
        <w:rPr>
          <w:rFonts w:ascii="Arial Narrow" w:hAnsi="Arial Narrow"/>
          <w:sz w:val="18"/>
          <w:szCs w:val="18"/>
        </w:rPr>
        <w:t>AMH = anti-Mϋllerian hormone; CRA = chemotherapy-related amenorrhea; NS = not significant</w:t>
      </w:r>
      <w:r>
        <w:rPr>
          <w:rFonts w:ascii="Arial Narrow" w:hAnsi="Arial Narrow"/>
          <w:sz w:val="18"/>
          <w:szCs w:val="18"/>
        </w:rPr>
        <w:t>; SD = standard deviation</w:t>
      </w:r>
    </w:p>
    <w:p w14:paraId="2E8FC926" w14:textId="442DE453" w:rsidR="00A813F1" w:rsidRDefault="00A813F1" w:rsidP="00A813F1">
      <w:pPr>
        <w:spacing w:after="0" w:line="240" w:lineRule="auto"/>
        <w:rPr>
          <w:rFonts w:ascii="Arial Narrow" w:hAnsi="Arial Narrow"/>
          <w:sz w:val="18"/>
          <w:szCs w:val="18"/>
        </w:rPr>
      </w:pPr>
      <w:r w:rsidRPr="00DD53E7">
        <w:rPr>
          <w:rFonts w:ascii="Arial Narrow" w:hAnsi="Arial Narrow"/>
          <w:sz w:val="18"/>
          <w:szCs w:val="18"/>
          <w:vertAlign w:val="superscript"/>
        </w:rPr>
        <w:t>a</w:t>
      </w:r>
      <w:r w:rsidRPr="00DD53E7">
        <w:rPr>
          <w:rFonts w:ascii="Arial Narrow" w:hAnsi="Arial Narrow"/>
          <w:sz w:val="18"/>
          <w:szCs w:val="18"/>
        </w:rPr>
        <w:t xml:space="preserve"> </w:t>
      </w:r>
      <w:r w:rsidR="00E65D17">
        <w:rPr>
          <w:rFonts w:ascii="Arial Narrow" w:hAnsi="Arial Narrow"/>
          <w:sz w:val="18"/>
          <w:szCs w:val="18"/>
        </w:rPr>
        <w:t>Wilcoxon two-sample test</w:t>
      </w:r>
    </w:p>
    <w:p w14:paraId="7859F779" w14:textId="372D469F" w:rsidR="00926694" w:rsidRPr="00E65D17" w:rsidRDefault="00E65D17" w:rsidP="00A813F1">
      <w:pPr>
        <w:spacing w:after="0" w:line="240" w:lineRule="auto"/>
        <w:rPr>
          <w:rFonts w:ascii="Arial Narrow" w:hAnsi="Arial Narrow"/>
          <w:sz w:val="18"/>
          <w:szCs w:val="18"/>
        </w:rPr>
      </w:pPr>
      <w:r>
        <w:rPr>
          <w:rFonts w:ascii="Arial Narrow" w:hAnsi="Arial Narrow"/>
          <w:sz w:val="18"/>
          <w:szCs w:val="18"/>
          <w:vertAlign w:val="superscript"/>
        </w:rPr>
        <w:t>b</w:t>
      </w:r>
      <w:r w:rsidR="00D50709">
        <w:rPr>
          <w:rFonts w:ascii="Arial Narrow" w:hAnsi="Arial Narrow"/>
          <w:sz w:val="18"/>
          <w:szCs w:val="18"/>
          <w:vertAlign w:val="superscript"/>
        </w:rPr>
        <w:t xml:space="preserve"> </w:t>
      </w:r>
      <w:r>
        <w:rPr>
          <w:rFonts w:ascii="Arial Narrow" w:hAnsi="Arial Narrow"/>
          <w:sz w:val="18"/>
          <w:szCs w:val="18"/>
        </w:rPr>
        <w:t xml:space="preserve">Student </w:t>
      </w:r>
      <w:r w:rsidR="00D50709">
        <w:rPr>
          <w:rFonts w:ascii="Arial Narrow" w:hAnsi="Arial Narrow"/>
          <w:sz w:val="18"/>
          <w:szCs w:val="18"/>
        </w:rPr>
        <w:t>t</w:t>
      </w:r>
      <w:r>
        <w:rPr>
          <w:rFonts w:ascii="Arial Narrow" w:hAnsi="Arial Narrow"/>
          <w:sz w:val="18"/>
          <w:szCs w:val="18"/>
        </w:rPr>
        <w:t>-test</w:t>
      </w:r>
    </w:p>
    <w:p w14:paraId="47B13C8A" w14:textId="2F9D0DF5" w:rsidR="00926694" w:rsidRDefault="00E65D17" w:rsidP="00D50709">
      <w:pPr>
        <w:spacing w:after="0" w:line="240" w:lineRule="auto"/>
        <w:rPr>
          <w:rFonts w:ascii="Arial Narrow" w:hAnsi="Arial Narrow"/>
          <w:sz w:val="18"/>
          <w:szCs w:val="18"/>
        </w:rPr>
      </w:pPr>
      <w:r>
        <w:rPr>
          <w:rFonts w:ascii="Arial Narrow" w:hAnsi="Arial Narrow"/>
          <w:sz w:val="18"/>
          <w:szCs w:val="18"/>
          <w:vertAlign w:val="superscript"/>
        </w:rPr>
        <w:t>c</w:t>
      </w:r>
      <w:r w:rsidR="00A813F1" w:rsidRPr="00DD53E7">
        <w:rPr>
          <w:rFonts w:ascii="Arial Narrow" w:hAnsi="Arial Narrow"/>
          <w:sz w:val="18"/>
          <w:szCs w:val="18"/>
        </w:rPr>
        <w:t xml:space="preserve"> The median value of patients with oligomenor</w:t>
      </w:r>
      <w:r w:rsidR="00FB7885" w:rsidRPr="00DD53E7">
        <w:rPr>
          <w:rFonts w:ascii="Arial Narrow" w:hAnsi="Arial Narrow"/>
          <w:sz w:val="18"/>
          <w:szCs w:val="18"/>
        </w:rPr>
        <w:t>rhea or amenorrhea at follow-up</w:t>
      </w:r>
    </w:p>
    <w:p w14:paraId="55858428" w14:textId="2ABC408D" w:rsidR="00926694" w:rsidRDefault="00926694" w:rsidP="00D50709">
      <w:pPr>
        <w:spacing w:after="0" w:line="240" w:lineRule="auto"/>
        <w:rPr>
          <w:rFonts w:ascii="Arial Narrow" w:hAnsi="Arial Narrow"/>
          <w:sz w:val="18"/>
          <w:szCs w:val="18"/>
        </w:rPr>
      </w:pPr>
      <w:r>
        <w:rPr>
          <w:rFonts w:ascii="Arial Narrow" w:hAnsi="Arial Narrow"/>
          <w:sz w:val="18"/>
          <w:szCs w:val="18"/>
          <w:vertAlign w:val="superscript"/>
        </w:rPr>
        <w:t>d</w:t>
      </w:r>
      <w:r>
        <w:rPr>
          <w:rFonts w:ascii="Arial Narrow" w:hAnsi="Arial Narrow"/>
          <w:sz w:val="18"/>
          <w:szCs w:val="18"/>
        </w:rPr>
        <w:t xml:space="preserve"> Mann-Whitney U</w:t>
      </w:r>
      <w:r w:rsidR="00916047">
        <w:rPr>
          <w:rFonts w:ascii="Arial Narrow" w:hAnsi="Arial Narrow"/>
          <w:sz w:val="18"/>
          <w:szCs w:val="18"/>
        </w:rPr>
        <w:t>-</w:t>
      </w:r>
      <w:r>
        <w:rPr>
          <w:rFonts w:ascii="Arial Narrow" w:hAnsi="Arial Narrow"/>
          <w:sz w:val="18"/>
          <w:szCs w:val="18"/>
        </w:rPr>
        <w:t>test</w:t>
      </w:r>
    </w:p>
    <w:p w14:paraId="633DB3FD" w14:textId="0C94E8DF" w:rsidR="00926694" w:rsidRDefault="00926694" w:rsidP="00D50709">
      <w:pPr>
        <w:spacing w:after="120" w:line="240" w:lineRule="auto"/>
        <w:rPr>
          <w:rFonts w:ascii="Arial Narrow" w:hAnsi="Arial Narrow"/>
          <w:sz w:val="18"/>
          <w:szCs w:val="18"/>
        </w:rPr>
      </w:pPr>
      <w:r>
        <w:rPr>
          <w:rFonts w:ascii="Arial Narrow" w:hAnsi="Arial Narrow"/>
          <w:sz w:val="18"/>
          <w:szCs w:val="18"/>
          <w:vertAlign w:val="superscript"/>
        </w:rPr>
        <w:t>e</w:t>
      </w:r>
      <w:r>
        <w:rPr>
          <w:rFonts w:ascii="Arial Narrow" w:hAnsi="Arial Narrow"/>
          <w:sz w:val="18"/>
          <w:szCs w:val="18"/>
        </w:rPr>
        <w:t>Wilcoxon rank sum test</w:t>
      </w:r>
    </w:p>
    <w:p w14:paraId="6BA42938" w14:textId="77777777" w:rsidR="00AC4BE5" w:rsidRPr="00DD53E7" w:rsidRDefault="00A813F1" w:rsidP="00AC4BE5">
      <w:pPr>
        <w:rPr>
          <w:rFonts w:ascii="Arial Narrow" w:hAnsi="Arial Narrow"/>
          <w:sz w:val="18"/>
          <w:szCs w:val="18"/>
        </w:rPr>
      </w:pPr>
      <w:r w:rsidRPr="00846BA5">
        <w:t>The studies also included one or more comparator tests and/or age, to determine whether baseline test values and/or age could predict CRA at follow-up. The results are for FSH (</w:t>
      </w:r>
      <w:r w:rsidR="001D0EAE" w:rsidRPr="00846BA5">
        <w:fldChar w:fldCharType="begin"/>
      </w:r>
      <w:r w:rsidR="001D0EAE" w:rsidRPr="00846BA5">
        <w:instrText xml:space="preserve"> REF _Ref498012766 \h </w:instrText>
      </w:r>
      <w:r w:rsidR="00846BA5">
        <w:instrText xml:space="preserve"> \* MERGEFORMAT </w:instrText>
      </w:r>
      <w:r w:rsidR="001D0EAE" w:rsidRPr="00846BA5">
        <w:fldChar w:fldCharType="separate"/>
      </w:r>
      <w:r w:rsidR="00AC4BE5" w:rsidRPr="00DD53E7">
        <w:t xml:space="preserve">Table </w:t>
      </w:r>
      <w:r w:rsidR="00AC4BE5">
        <w:t>42</w:t>
      </w:r>
      <w:r w:rsidR="001D0EAE" w:rsidRPr="00846BA5">
        <w:fldChar w:fldCharType="end"/>
      </w:r>
      <w:r w:rsidRPr="00846BA5">
        <w:t>), E2 (</w:t>
      </w:r>
      <w:r w:rsidR="00924B48">
        <w:fldChar w:fldCharType="begin"/>
      </w:r>
      <w:r w:rsidR="00924B48">
        <w:instrText xml:space="preserve"> REF _Ref501469610 \h </w:instrText>
      </w:r>
      <w:r w:rsidR="00924B48">
        <w:fldChar w:fldCharType="separate"/>
      </w:r>
      <w:r w:rsidR="00AC4BE5" w:rsidRPr="00DD53E7">
        <w:t xml:space="preserve">Table </w:t>
      </w:r>
      <w:r w:rsidR="00AC4BE5">
        <w:rPr>
          <w:noProof/>
        </w:rPr>
        <w:t>43</w:t>
      </w:r>
      <w:r w:rsidR="00924B48">
        <w:fldChar w:fldCharType="end"/>
      </w:r>
      <w:r w:rsidRPr="00846BA5">
        <w:t>), inhibin B (</w:t>
      </w:r>
      <w:r w:rsidR="001D0EAE" w:rsidRPr="00846BA5">
        <w:fldChar w:fldCharType="begin"/>
      </w:r>
      <w:r w:rsidR="001D0EAE" w:rsidRPr="00846BA5">
        <w:instrText xml:space="preserve"> REF _Ref498012807 \h </w:instrText>
      </w:r>
      <w:r w:rsidR="00846BA5">
        <w:instrText xml:space="preserve"> \* MERGEFORMAT </w:instrText>
      </w:r>
      <w:r w:rsidR="001D0EAE" w:rsidRPr="00846BA5">
        <w:fldChar w:fldCharType="separate"/>
      </w:r>
      <w:r w:rsidR="00AC4BE5" w:rsidRPr="00AC4BE5">
        <w:t xml:space="preserve">CRA </w:t>
      </w:r>
      <w:r w:rsidR="00AC4BE5" w:rsidRPr="00AC4BE5">
        <w:rPr>
          <w:noProof/>
        </w:rPr>
        <w:t>=</w:t>
      </w:r>
      <w:r w:rsidR="00AC4BE5" w:rsidRPr="002C54E5">
        <w:rPr>
          <w:rFonts w:ascii="Arial Narrow" w:hAnsi="Arial Narrow"/>
          <w:sz w:val="18"/>
          <w:szCs w:val="18"/>
        </w:rPr>
        <w:t xml:space="preserve"> chemotherapy-related amenorrhea; </w:t>
      </w:r>
      <w:r w:rsidR="00AC4BE5">
        <w:rPr>
          <w:rFonts w:ascii="Arial Narrow" w:hAnsi="Arial Narrow"/>
          <w:sz w:val="18"/>
          <w:szCs w:val="18"/>
        </w:rPr>
        <w:t xml:space="preserve">E2 = estradiol; </w:t>
      </w:r>
      <w:r w:rsidR="00AC4BE5" w:rsidRPr="002C54E5">
        <w:rPr>
          <w:rFonts w:ascii="Arial Narrow" w:hAnsi="Arial Narrow"/>
          <w:sz w:val="18"/>
          <w:szCs w:val="18"/>
        </w:rPr>
        <w:t>NS = not significant</w:t>
      </w:r>
      <w:r w:rsidR="00AC4BE5">
        <w:rPr>
          <w:rFonts w:ascii="Arial Narrow" w:hAnsi="Arial Narrow"/>
          <w:sz w:val="18"/>
          <w:szCs w:val="18"/>
        </w:rPr>
        <w:t>; SD = standard deviation</w:t>
      </w:r>
    </w:p>
    <w:p w14:paraId="6958EF17" w14:textId="77777777" w:rsidR="00AC4BE5" w:rsidRPr="00DD53E7" w:rsidRDefault="00AC4BE5" w:rsidP="00AC4BE5">
      <w:pPr>
        <w:rPr>
          <w:rFonts w:ascii="Arial Narrow" w:hAnsi="Arial Narrow"/>
          <w:sz w:val="18"/>
          <w:szCs w:val="18"/>
        </w:rPr>
      </w:pPr>
      <w:r>
        <w:t xml:space="preserve">Table </w:t>
      </w:r>
      <w:r>
        <w:rPr>
          <w:noProof/>
        </w:rPr>
        <w:t>44</w:t>
      </w:r>
      <w:r w:rsidR="001D0EAE" w:rsidRPr="00846BA5">
        <w:fldChar w:fldCharType="end"/>
      </w:r>
      <w:r w:rsidR="00A813F1" w:rsidRPr="00846BA5">
        <w:t>) and AFC (</w:t>
      </w:r>
      <w:r w:rsidR="001D0EAE" w:rsidRPr="00846BA5">
        <w:fldChar w:fldCharType="begin"/>
      </w:r>
      <w:r w:rsidR="001D0EAE" w:rsidRPr="00846BA5">
        <w:instrText xml:space="preserve"> REF _Ref498012817 \h </w:instrText>
      </w:r>
      <w:r w:rsidR="00846BA5">
        <w:instrText xml:space="preserve"> \* MERGEFORMAT </w:instrText>
      </w:r>
      <w:r w:rsidR="001D0EAE" w:rsidRPr="00846BA5">
        <w:fldChar w:fldCharType="separate"/>
      </w:r>
      <w:r w:rsidRPr="00AC4BE5">
        <w:t xml:space="preserve">CRA </w:t>
      </w:r>
      <w:r w:rsidRPr="00AC4BE5">
        <w:rPr>
          <w:noProof/>
        </w:rPr>
        <w:t>=</w:t>
      </w:r>
      <w:r w:rsidRPr="002C54E5">
        <w:rPr>
          <w:rFonts w:ascii="Arial Narrow" w:hAnsi="Arial Narrow"/>
          <w:sz w:val="18"/>
          <w:szCs w:val="18"/>
        </w:rPr>
        <w:t xml:space="preserve"> </w:t>
      </w:r>
      <w:r>
        <w:rPr>
          <w:rFonts w:ascii="Arial Narrow" w:hAnsi="Arial Narrow"/>
          <w:sz w:val="18"/>
          <w:szCs w:val="18"/>
        </w:rPr>
        <w:t xml:space="preserve">chemotherapy-related amenorrhea; </w:t>
      </w:r>
      <w:r w:rsidRPr="002C54E5">
        <w:rPr>
          <w:rFonts w:ascii="Arial Narrow" w:hAnsi="Arial Narrow"/>
          <w:sz w:val="18"/>
          <w:szCs w:val="18"/>
        </w:rPr>
        <w:t>NS = not significant</w:t>
      </w:r>
      <w:r>
        <w:rPr>
          <w:rFonts w:ascii="Arial Narrow" w:hAnsi="Arial Narrow"/>
          <w:sz w:val="18"/>
          <w:szCs w:val="18"/>
        </w:rPr>
        <w:t>; SD = standard deviation</w:t>
      </w:r>
    </w:p>
    <w:p w14:paraId="0F5D06FF" w14:textId="77777777" w:rsidR="00AC4BE5" w:rsidRPr="00DD53E7" w:rsidRDefault="00AC4BE5" w:rsidP="00AC4BE5">
      <w:pPr>
        <w:rPr>
          <w:rFonts w:ascii="Arial Narrow" w:hAnsi="Arial Narrow"/>
          <w:sz w:val="18"/>
          <w:szCs w:val="18"/>
        </w:rPr>
      </w:pPr>
      <w:r>
        <w:t xml:space="preserve">Table </w:t>
      </w:r>
      <w:r>
        <w:rPr>
          <w:noProof/>
        </w:rPr>
        <w:t>45</w:t>
      </w:r>
      <w:r w:rsidR="001D0EAE" w:rsidRPr="00846BA5">
        <w:fldChar w:fldCharType="end"/>
      </w:r>
      <w:r w:rsidR="00A813F1" w:rsidRPr="00846BA5">
        <w:t>) measurements, and age at baseline (</w:t>
      </w:r>
      <w:r w:rsidR="001D0EAE" w:rsidRPr="00846BA5">
        <w:fldChar w:fldCharType="begin"/>
      </w:r>
      <w:r w:rsidR="001D0EAE" w:rsidRPr="00846BA5">
        <w:instrText xml:space="preserve"> REF _Ref498012780 \h </w:instrText>
      </w:r>
      <w:r w:rsidR="00846BA5" w:rsidRPr="00846BA5">
        <w:instrText xml:space="preserve"> \* MERGEFORMAT </w:instrText>
      </w:r>
      <w:r w:rsidR="001D0EAE" w:rsidRPr="00846BA5">
        <w:fldChar w:fldCharType="separate"/>
      </w:r>
      <w:r w:rsidRPr="00AC4BE5">
        <w:t xml:space="preserve">AFC </w:t>
      </w:r>
      <w:r w:rsidRPr="00AC4BE5">
        <w:rPr>
          <w:noProof/>
        </w:rPr>
        <w:t>=</w:t>
      </w:r>
      <w:r>
        <w:rPr>
          <w:rFonts w:ascii="Arial Narrow" w:hAnsi="Arial Narrow"/>
          <w:sz w:val="18"/>
          <w:szCs w:val="18"/>
        </w:rPr>
        <w:t xml:space="preserve"> antral follicle count; </w:t>
      </w:r>
      <w:r w:rsidRPr="002C54E5">
        <w:rPr>
          <w:rFonts w:ascii="Arial Narrow" w:hAnsi="Arial Narrow"/>
          <w:sz w:val="18"/>
          <w:szCs w:val="18"/>
        </w:rPr>
        <w:t xml:space="preserve">CRA = </w:t>
      </w:r>
      <w:r>
        <w:rPr>
          <w:rFonts w:ascii="Arial Narrow" w:hAnsi="Arial Narrow"/>
          <w:sz w:val="18"/>
          <w:szCs w:val="18"/>
        </w:rPr>
        <w:t>chemotherapy-related amenorrhea; SD = standard deviation</w:t>
      </w:r>
    </w:p>
    <w:p w14:paraId="1868EE42" w14:textId="015CE4CD" w:rsidR="00A813F1" w:rsidRPr="00DE1A5A" w:rsidRDefault="00AC4BE5" w:rsidP="00846BA5">
      <w:pPr>
        <w:rPr>
          <w:rFonts w:ascii="Arial Narrow" w:hAnsi="Arial Narrow"/>
          <w:sz w:val="18"/>
          <w:szCs w:val="18"/>
        </w:rPr>
      </w:pPr>
      <w:r>
        <w:t xml:space="preserve">Table </w:t>
      </w:r>
      <w:r>
        <w:rPr>
          <w:noProof/>
        </w:rPr>
        <w:t>46</w:t>
      </w:r>
      <w:r w:rsidR="001D0EAE" w:rsidRPr="00846BA5">
        <w:fldChar w:fldCharType="end"/>
      </w:r>
      <w:r w:rsidR="00A813F1" w:rsidRPr="00846BA5">
        <w:t xml:space="preserve">). Of </w:t>
      </w:r>
      <w:r w:rsidR="00846BA5">
        <w:t xml:space="preserve">the </w:t>
      </w:r>
      <w:r w:rsidR="00A813F1" w:rsidRPr="00846BA5">
        <w:t xml:space="preserve">four studies measuring baseline FSH in addition to AMH, two studies (total n=54) identified significantly higher baseline FSH levels in women with CRA at follow-up </w:t>
      </w:r>
      <w:r w:rsidR="00846BA5">
        <w:t xml:space="preserve">of </w:t>
      </w:r>
      <w:r w:rsidR="00A813F1" w:rsidRPr="00846BA5">
        <w:t xml:space="preserve">either one or </w:t>
      </w:r>
      <w:r w:rsidR="00846BA5">
        <w:t>five years</w:t>
      </w:r>
      <w:r w:rsidR="00A813F1" w:rsidRPr="00846BA5">
        <w:t>. Two other studies (total n</w:t>
      </w:r>
      <w:r w:rsidR="00EB382C">
        <w:t>=</w:t>
      </w:r>
      <w:r w:rsidR="00A813F1" w:rsidRPr="00846BA5">
        <w:t>81) found no relationship between b</w:t>
      </w:r>
      <w:r w:rsidR="00385A07">
        <w:t>aseline FSH levels and CRA at 1-</w:t>
      </w:r>
      <w:r w:rsidR="00A813F1" w:rsidRPr="00846BA5">
        <w:t>year follow-up.</w:t>
      </w:r>
    </w:p>
    <w:p w14:paraId="31BA67FD" w14:textId="08AE6C4F" w:rsidR="00A00B06" w:rsidRDefault="00A813F1" w:rsidP="00846BA5">
      <w:r>
        <w:t>Of the two studies measuring E2 levels at baseline, only one study (n</w:t>
      </w:r>
      <w:r w:rsidR="00EB382C">
        <w:t>=</w:t>
      </w:r>
      <w:r>
        <w:t>21) found a significantly higher baseline E2 level in women with a menstrual cycle at follow-up.</w:t>
      </w:r>
    </w:p>
    <w:p w14:paraId="1738BAC0" w14:textId="58A4D763" w:rsidR="007518CF" w:rsidRDefault="00385A07" w:rsidP="00846BA5">
      <w:r>
        <w:t>Of three studies including inhibin B in the analyses, one study found that baseline i</w:t>
      </w:r>
      <w:r w:rsidR="00A813F1">
        <w:t>nhibin B was significantly lower in women with CRA at follow</w:t>
      </w:r>
      <w:r w:rsidR="00DE6DD5">
        <w:t>-</w:t>
      </w:r>
      <w:r w:rsidR="00A813F1">
        <w:t>up (n=21). The other two studies (total n=88) did not find a significant difference.</w:t>
      </w:r>
    </w:p>
    <w:p w14:paraId="069C035B" w14:textId="77777777" w:rsidR="007518CF" w:rsidRDefault="00A813F1" w:rsidP="00A813F1">
      <w:pPr>
        <w:jc w:val="both"/>
      </w:pPr>
      <w:r>
        <w:t>When looking at the two studies reporting AFC values, both studies showed significantly lower AFC counts in patients with amenorrhea at follow-up. Furthermore, higher age was significantly associated with CRA at follow-up in all studies (4/4).</w:t>
      </w:r>
    </w:p>
    <w:p w14:paraId="0CFDFCD8" w14:textId="4579ADB9" w:rsidR="00A813F1" w:rsidRDefault="00A813F1" w:rsidP="00DD53E7">
      <w:pPr>
        <w:pStyle w:val="Caption"/>
        <w:keepNext/>
        <w:ind w:left="993" w:hanging="993"/>
      </w:pPr>
      <w:bookmarkStart w:id="307" w:name="_Ref498012766"/>
      <w:bookmarkStart w:id="308" w:name="_Toc502833060"/>
      <w:r w:rsidRPr="00DD53E7">
        <w:t xml:space="preserve">Table </w:t>
      </w:r>
      <w:r w:rsidR="00AC4BE5">
        <w:fldChar w:fldCharType="begin"/>
      </w:r>
      <w:r w:rsidR="00AC4BE5">
        <w:instrText xml:space="preserve"> SEQ Table \* ARABIC </w:instrText>
      </w:r>
      <w:r w:rsidR="00AC4BE5">
        <w:fldChar w:fldCharType="separate"/>
      </w:r>
      <w:r w:rsidR="00AC4BE5">
        <w:rPr>
          <w:noProof/>
        </w:rPr>
        <w:t>42</w:t>
      </w:r>
      <w:r w:rsidR="00AC4BE5">
        <w:rPr>
          <w:noProof/>
        </w:rPr>
        <w:fldChar w:fldCharType="end"/>
      </w:r>
      <w:bookmarkEnd w:id="307"/>
      <w:r w:rsidRPr="00DD53E7">
        <w:tab/>
        <w:t>Baseline FSH levels in breast cancer patients with CRA at follow-up compared with baseline FSH levels in patients without CRA</w:t>
      </w:r>
      <w:bookmarkEnd w:id="308"/>
    </w:p>
    <w:tbl>
      <w:tblPr>
        <w:tblStyle w:val="TableGrid4"/>
        <w:tblW w:w="9209" w:type="dxa"/>
        <w:tblLook w:val="04A0" w:firstRow="1" w:lastRow="0" w:firstColumn="1" w:lastColumn="0" w:noHBand="0" w:noVBand="1"/>
        <w:tblCaption w:val="Baseline FSH levels in breast cancer patients with CRA at follow-up compared with baseline FSH levels in patients without CRA"/>
        <w:tblDescription w:val="Baseline FSH levels in breast cancer patients with CRA at follow-up compared with baseline FSH levels in patients without CRA"/>
      </w:tblPr>
      <w:tblGrid>
        <w:gridCol w:w="1129"/>
        <w:gridCol w:w="1985"/>
        <w:gridCol w:w="992"/>
        <w:gridCol w:w="1708"/>
        <w:gridCol w:w="1272"/>
        <w:gridCol w:w="1273"/>
        <w:gridCol w:w="850"/>
      </w:tblGrid>
      <w:tr w:rsidR="00A813F1" w:rsidRPr="001508F9" w14:paraId="13F1A33C" w14:textId="77777777" w:rsidTr="00762873">
        <w:trPr>
          <w:tblHeader/>
        </w:trPr>
        <w:tc>
          <w:tcPr>
            <w:tcW w:w="1129" w:type="dxa"/>
          </w:tcPr>
          <w:p w14:paraId="06D9982E" w14:textId="77777777" w:rsidR="00A813F1" w:rsidRPr="001508F9" w:rsidRDefault="00A813F1" w:rsidP="00762873">
            <w:pPr>
              <w:spacing w:after="0" w:line="240" w:lineRule="auto"/>
              <w:ind w:right="-57"/>
              <w:rPr>
                <w:rFonts w:ascii="Arial Narrow" w:hAnsi="Arial Narrow"/>
                <w:b/>
                <w:sz w:val="20"/>
              </w:rPr>
            </w:pPr>
            <w:r w:rsidRPr="001508F9">
              <w:rPr>
                <w:rFonts w:ascii="Arial Narrow" w:hAnsi="Arial Narrow"/>
                <w:b/>
                <w:sz w:val="20"/>
              </w:rPr>
              <w:t>Study</w:t>
            </w:r>
          </w:p>
        </w:tc>
        <w:tc>
          <w:tcPr>
            <w:tcW w:w="1985" w:type="dxa"/>
          </w:tcPr>
          <w:p w14:paraId="64AFC88B" w14:textId="77777777" w:rsidR="00A813F1" w:rsidRPr="001508F9" w:rsidRDefault="00A813F1" w:rsidP="00762873">
            <w:pPr>
              <w:spacing w:after="0" w:line="240" w:lineRule="auto"/>
              <w:ind w:right="-57"/>
              <w:rPr>
                <w:rFonts w:ascii="Arial Narrow" w:hAnsi="Arial Narrow"/>
                <w:b/>
                <w:sz w:val="20"/>
              </w:rPr>
            </w:pPr>
            <w:r w:rsidRPr="001508F9">
              <w:rPr>
                <w:rFonts w:ascii="Arial Narrow" w:hAnsi="Arial Narrow"/>
                <w:b/>
                <w:sz w:val="20"/>
              </w:rPr>
              <w:t>Population</w:t>
            </w:r>
          </w:p>
        </w:tc>
        <w:tc>
          <w:tcPr>
            <w:tcW w:w="992" w:type="dxa"/>
          </w:tcPr>
          <w:p w14:paraId="46AD604D" w14:textId="77777777" w:rsidR="00A813F1" w:rsidRPr="001508F9" w:rsidRDefault="00A813F1" w:rsidP="00762873">
            <w:pPr>
              <w:spacing w:after="0" w:line="240" w:lineRule="auto"/>
              <w:ind w:right="-57"/>
              <w:rPr>
                <w:rFonts w:ascii="Arial Narrow" w:hAnsi="Arial Narrow"/>
                <w:b/>
                <w:sz w:val="20"/>
              </w:rPr>
            </w:pPr>
            <w:r w:rsidRPr="001508F9">
              <w:rPr>
                <w:rFonts w:ascii="Arial Narrow" w:hAnsi="Arial Narrow"/>
                <w:b/>
                <w:sz w:val="20"/>
              </w:rPr>
              <w:t>Follow-up</w:t>
            </w:r>
          </w:p>
        </w:tc>
        <w:tc>
          <w:tcPr>
            <w:tcW w:w="1708" w:type="dxa"/>
          </w:tcPr>
          <w:p w14:paraId="045441B8" w14:textId="77777777" w:rsidR="00A813F1" w:rsidRPr="001508F9" w:rsidRDefault="00A813F1" w:rsidP="00762873">
            <w:pPr>
              <w:spacing w:after="0" w:line="240" w:lineRule="auto"/>
              <w:ind w:right="-57"/>
              <w:rPr>
                <w:rFonts w:ascii="Arial Narrow" w:hAnsi="Arial Narrow"/>
                <w:b/>
                <w:sz w:val="20"/>
              </w:rPr>
            </w:pPr>
            <w:r>
              <w:rPr>
                <w:rFonts w:ascii="Arial Narrow" w:hAnsi="Arial Narrow"/>
                <w:b/>
                <w:sz w:val="20"/>
              </w:rPr>
              <w:t xml:space="preserve">Baseline </w:t>
            </w:r>
            <w:r w:rsidRPr="001508F9">
              <w:rPr>
                <w:rFonts w:ascii="Arial Narrow" w:hAnsi="Arial Narrow"/>
                <w:b/>
                <w:sz w:val="20"/>
              </w:rPr>
              <w:t>FSH measurement</w:t>
            </w:r>
          </w:p>
        </w:tc>
        <w:tc>
          <w:tcPr>
            <w:tcW w:w="1272" w:type="dxa"/>
          </w:tcPr>
          <w:p w14:paraId="365AB2B5" w14:textId="77777777" w:rsidR="007518CF" w:rsidRDefault="00A813F1" w:rsidP="00762873">
            <w:pPr>
              <w:spacing w:after="0" w:line="240" w:lineRule="auto"/>
              <w:ind w:right="-57"/>
              <w:rPr>
                <w:rFonts w:ascii="Arial Narrow" w:hAnsi="Arial Narrow"/>
                <w:b/>
                <w:sz w:val="20"/>
              </w:rPr>
            </w:pPr>
            <w:r w:rsidRPr="001508F9">
              <w:rPr>
                <w:rFonts w:ascii="Arial Narrow" w:hAnsi="Arial Narrow"/>
                <w:b/>
                <w:sz w:val="20"/>
              </w:rPr>
              <w:t>CRA</w:t>
            </w:r>
          </w:p>
          <w:p w14:paraId="0A8AC640" w14:textId="38372387" w:rsidR="00A813F1" w:rsidRPr="001508F9" w:rsidRDefault="00A813F1" w:rsidP="00762873">
            <w:pPr>
              <w:spacing w:after="0" w:line="240" w:lineRule="auto"/>
              <w:ind w:right="-57"/>
              <w:rPr>
                <w:rFonts w:ascii="Arial Narrow" w:hAnsi="Arial Narrow"/>
                <w:b/>
                <w:sz w:val="20"/>
              </w:rPr>
            </w:pPr>
            <w:r>
              <w:rPr>
                <w:rFonts w:ascii="Arial Narrow" w:hAnsi="Arial Narrow"/>
                <w:b/>
                <w:sz w:val="20"/>
              </w:rPr>
              <w:t>(FSH in IU/L)</w:t>
            </w:r>
          </w:p>
        </w:tc>
        <w:tc>
          <w:tcPr>
            <w:tcW w:w="1273" w:type="dxa"/>
          </w:tcPr>
          <w:p w14:paraId="08E448FD" w14:textId="77777777" w:rsidR="00A813F1" w:rsidRDefault="00A813F1" w:rsidP="00762873">
            <w:pPr>
              <w:spacing w:after="0" w:line="240" w:lineRule="auto"/>
              <w:ind w:right="-57"/>
              <w:rPr>
                <w:rFonts w:ascii="Arial Narrow" w:hAnsi="Arial Narrow"/>
                <w:b/>
                <w:sz w:val="20"/>
              </w:rPr>
            </w:pPr>
            <w:r w:rsidRPr="001508F9">
              <w:rPr>
                <w:rFonts w:ascii="Arial Narrow" w:hAnsi="Arial Narrow"/>
                <w:b/>
                <w:sz w:val="20"/>
              </w:rPr>
              <w:t>No CRA</w:t>
            </w:r>
          </w:p>
          <w:p w14:paraId="38D0CD2E" w14:textId="77777777" w:rsidR="00A813F1" w:rsidRPr="001508F9" w:rsidRDefault="00A813F1" w:rsidP="00762873">
            <w:pPr>
              <w:spacing w:after="0" w:line="240" w:lineRule="auto"/>
              <w:ind w:right="-57"/>
              <w:rPr>
                <w:rFonts w:ascii="Arial Narrow" w:hAnsi="Arial Narrow"/>
                <w:b/>
                <w:sz w:val="20"/>
              </w:rPr>
            </w:pPr>
            <w:r>
              <w:rPr>
                <w:rFonts w:ascii="Arial Narrow" w:hAnsi="Arial Narrow"/>
                <w:b/>
                <w:sz w:val="20"/>
              </w:rPr>
              <w:t>(FSH in IU/L)</w:t>
            </w:r>
          </w:p>
        </w:tc>
        <w:tc>
          <w:tcPr>
            <w:tcW w:w="850" w:type="dxa"/>
          </w:tcPr>
          <w:p w14:paraId="3D5C2B30" w14:textId="0F09C791" w:rsidR="00A813F1" w:rsidRPr="001508F9" w:rsidRDefault="006F069F" w:rsidP="00762873">
            <w:pPr>
              <w:spacing w:after="0" w:line="240" w:lineRule="auto"/>
              <w:ind w:right="-57"/>
              <w:rPr>
                <w:rFonts w:ascii="Arial Narrow" w:hAnsi="Arial Narrow"/>
                <w:b/>
                <w:sz w:val="20"/>
              </w:rPr>
            </w:pPr>
            <w:r>
              <w:rPr>
                <w:rFonts w:ascii="Arial Narrow" w:hAnsi="Arial Narrow"/>
                <w:b/>
                <w:sz w:val="20"/>
              </w:rPr>
              <w:t>p</w:t>
            </w:r>
            <w:r w:rsidR="00A813F1" w:rsidRPr="001508F9">
              <w:rPr>
                <w:rFonts w:ascii="Arial Narrow" w:hAnsi="Arial Narrow"/>
                <w:b/>
                <w:sz w:val="20"/>
              </w:rPr>
              <w:t>-value</w:t>
            </w:r>
          </w:p>
        </w:tc>
      </w:tr>
      <w:tr w:rsidR="00A813F1" w:rsidRPr="001508F9" w14:paraId="1971642D" w14:textId="77777777" w:rsidTr="00762873">
        <w:trPr>
          <w:trHeight w:val="603"/>
        </w:trPr>
        <w:tc>
          <w:tcPr>
            <w:tcW w:w="1129" w:type="dxa"/>
          </w:tcPr>
          <w:p w14:paraId="3810039F" w14:textId="37940340" w:rsidR="00A813F1" w:rsidRPr="001508F9" w:rsidRDefault="00A813F1" w:rsidP="00835BA6">
            <w:pPr>
              <w:spacing w:after="0" w:line="240" w:lineRule="auto"/>
              <w:ind w:right="-57"/>
              <w:rPr>
                <w:rFonts w:ascii="Arial Narrow" w:hAnsi="Arial Narrow"/>
                <w:sz w:val="20"/>
              </w:rPr>
            </w:pPr>
            <w:r>
              <w:rPr>
                <w:rFonts w:ascii="Arial Narrow" w:hAnsi="Arial Narrow"/>
                <w:sz w:val="20"/>
              </w:rPr>
              <w:t xml:space="preserve">Anders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ExcludeAuth="1"&gt;&lt;Author&gt;Anders&lt;/Author&gt;&lt;Year&gt;2008&lt;/Year&gt;&lt;RecNum&gt;25&lt;/RecNum&gt;&lt;IDText&gt;286-295&lt;/IDText&gt;&lt;DisplayText&gt;(2008)&lt;/DisplayText&gt;&lt;record&gt;&lt;rec-number&gt;25&lt;/rec-number&gt;&lt;foreign-keys&gt;&lt;key app="EN" db-id="s2dftfxw1fvsr1efx58vfvxtvfwzxea0td02" timestamp="1511748062"&gt;25&lt;/key&gt;&lt;/foreign-keys&gt;&lt;ref-type name="Journal Article"&gt;17&lt;/ref-type&gt;&lt;contributors&gt;&lt;authors&gt;&lt;author&gt;Anders, C.&lt;/author&gt;&lt;author&gt;Marcom, P. K.&lt;/author&gt;&lt;author&gt;Peterson, B.&lt;/author&gt;&lt;author&gt;Gu, L.&lt;/author&gt;&lt;author&gt;Unruhe, S.&lt;/author&gt;&lt;author&gt;Welch, R.&lt;/author&gt;&lt;author&gt;Lyons, P.&lt;/author&gt;&lt;author&gt;Kimmick, G.&lt;/author&gt;&lt;author&gt;Shaw, H.&lt;/author&gt;&lt;author&gt;Snyder, S.&lt;/author&gt;&lt;author&gt;Antenos, M.&lt;/author&gt;&lt;author&gt;Woodruff, T.&lt;/author&gt;&lt;author&gt;Blackwell, K.&lt;/author&gt;&lt;/authors&gt;&lt;/contributors&gt;&lt;titles&gt;&lt;title&gt;A pilot study of predictive markers of chemotherapy-related amenorrhea among premenopausal women with early stage breast cancer&lt;/title&gt;&lt;secondary-title&gt;Cancer Investigation&lt;/secondary-title&gt;&lt;/titles&gt;&lt;periodical&gt;&lt;full-title&gt;Cancer Investigation&lt;/full-title&gt;&lt;/periodical&gt;&lt;pages&gt;286-295&lt;/pages&gt;&lt;volume&gt;26&lt;/volume&gt;&lt;number&gt;3&lt;/number&gt;&lt;keywords&gt;&lt;keyword&gt;Follicle Stimulating Hormone&lt;/keyword&gt;&lt;keyword&gt;Estradiol&lt;/keyword&gt;&lt;keyword&gt;Premenopause&lt;/keyword&gt;&lt;keyword&gt;Amenorrhea&lt;/keyword&gt;&lt;keyword&gt;Breast Neoplasms&lt;/keyword&gt;&lt;keyword&gt;Pilot Projects&lt;/keyword&gt;&lt;/keywords&gt;&lt;dates&gt;&lt;year&gt;2008&lt;/year&gt;&lt;pub-dates&gt;&lt;date&gt;2008-1-1&lt;/date&gt;&lt;/pub-dates&gt;&lt;/dates&gt;&lt;isbn&gt;0735-7907 1532-4192&lt;/isbn&gt;&lt;accession-num&gt;rayyan-6671976&lt;/accession-num&gt;&lt;urls&gt;&lt;related-urls&gt;&lt;url&gt;http://www.embase.com/search/results?subaction=viewrecord&amp;amp;from=export&amp;amp;id=L351329008 http://dx.doi.org/10.1080/07357900701829777&lt;/url&gt;&lt;url&gt;http://www.tandfonline.com/doi/pdf/10.1080/07357900701829777?needAccess=true&lt;/url&gt;&lt;/related-urls&gt;&lt;/urls&gt;&lt;custom1&gt;adriamycin herceptin(Genentech) taxotere(Sanofi Aventis) 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5" w:tooltip="Anders, 2008 #25" w:history="1">
              <w:r w:rsidR="00835BA6">
                <w:rPr>
                  <w:rFonts w:ascii="Arial Narrow" w:hAnsi="Arial Narrow"/>
                  <w:noProof/>
                  <w:sz w:val="20"/>
                </w:rPr>
                <w:t>2008</w:t>
              </w:r>
            </w:hyperlink>
            <w:r>
              <w:rPr>
                <w:rFonts w:ascii="Arial Narrow" w:hAnsi="Arial Narrow"/>
                <w:noProof/>
                <w:sz w:val="20"/>
              </w:rPr>
              <w:t>)</w:t>
            </w:r>
            <w:r>
              <w:rPr>
                <w:rFonts w:ascii="Arial Narrow" w:hAnsi="Arial Narrow"/>
                <w:sz w:val="20"/>
              </w:rPr>
              <w:fldChar w:fldCharType="end"/>
            </w:r>
          </w:p>
        </w:tc>
        <w:tc>
          <w:tcPr>
            <w:tcW w:w="1985" w:type="dxa"/>
          </w:tcPr>
          <w:p w14:paraId="7D6C93EC" w14:textId="3B008E3F" w:rsidR="00A813F1" w:rsidRPr="006F069F" w:rsidRDefault="006F069F" w:rsidP="00762873">
            <w:pPr>
              <w:spacing w:after="0" w:line="240" w:lineRule="auto"/>
              <w:ind w:right="-57"/>
              <w:rPr>
                <w:rFonts w:ascii="Arial Narrow" w:hAnsi="Arial Narrow"/>
                <w:b/>
                <w:sz w:val="20"/>
              </w:rPr>
            </w:pPr>
            <w:r>
              <w:rPr>
                <w:rFonts w:ascii="Arial Narrow" w:hAnsi="Arial Narrow"/>
                <w:b/>
                <w:sz w:val="20"/>
              </w:rPr>
              <w:t xml:space="preserve">N=21 </w:t>
            </w:r>
            <w:r>
              <w:rPr>
                <w:rFonts w:ascii="Arial Narrow" w:hAnsi="Arial Narrow"/>
                <w:sz w:val="20"/>
              </w:rPr>
              <w:t>w</w:t>
            </w:r>
            <w:r w:rsidR="00A813F1" w:rsidRPr="001508F9">
              <w:rPr>
                <w:rFonts w:ascii="Arial Narrow" w:hAnsi="Arial Narrow"/>
                <w:sz w:val="20"/>
              </w:rPr>
              <w:t>om</w:t>
            </w:r>
            <w:r w:rsidR="00385A07">
              <w:rPr>
                <w:rFonts w:ascii="Arial Narrow" w:hAnsi="Arial Narrow"/>
                <w:sz w:val="20"/>
              </w:rPr>
              <w:t>en with early breast cancer age 18–55 years</w:t>
            </w:r>
          </w:p>
        </w:tc>
        <w:tc>
          <w:tcPr>
            <w:tcW w:w="992" w:type="dxa"/>
          </w:tcPr>
          <w:p w14:paraId="4973CEFA" w14:textId="7777777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12 months</w:t>
            </w:r>
          </w:p>
        </w:tc>
        <w:tc>
          <w:tcPr>
            <w:tcW w:w="1708" w:type="dxa"/>
          </w:tcPr>
          <w:p w14:paraId="7AD82B9A" w14:textId="77777777" w:rsidR="00A813F1" w:rsidRPr="001508F9" w:rsidRDefault="00A813F1" w:rsidP="00762873">
            <w:pPr>
              <w:spacing w:after="0" w:line="240" w:lineRule="auto"/>
              <w:ind w:right="-57"/>
              <w:rPr>
                <w:rFonts w:ascii="Arial Narrow" w:hAnsi="Arial Narrow"/>
                <w:sz w:val="20"/>
              </w:rPr>
            </w:pPr>
            <w:r>
              <w:rPr>
                <w:rFonts w:ascii="Arial Narrow" w:hAnsi="Arial Narrow"/>
                <w:sz w:val="20"/>
              </w:rPr>
              <w:t>M</w:t>
            </w:r>
            <w:r w:rsidRPr="001508F9">
              <w:rPr>
                <w:rFonts w:ascii="Arial Narrow" w:hAnsi="Arial Narrow"/>
                <w:sz w:val="20"/>
              </w:rPr>
              <w:t>edian (range)</w:t>
            </w:r>
          </w:p>
        </w:tc>
        <w:tc>
          <w:tcPr>
            <w:tcW w:w="1272" w:type="dxa"/>
          </w:tcPr>
          <w:p w14:paraId="520DAA88" w14:textId="6D39AAF8" w:rsidR="00A813F1" w:rsidRPr="001508F9" w:rsidRDefault="00385A07" w:rsidP="00762873">
            <w:pPr>
              <w:spacing w:after="0" w:line="240" w:lineRule="auto"/>
              <w:ind w:right="-57"/>
              <w:rPr>
                <w:rFonts w:ascii="Arial Narrow" w:hAnsi="Arial Narrow"/>
                <w:sz w:val="20"/>
              </w:rPr>
            </w:pPr>
            <w:r>
              <w:rPr>
                <w:rFonts w:ascii="Arial Narrow" w:hAnsi="Arial Narrow"/>
                <w:sz w:val="20"/>
              </w:rPr>
              <w:t>2.1 (0–</w:t>
            </w:r>
            <w:r w:rsidR="00A813F1">
              <w:rPr>
                <w:rFonts w:ascii="Arial Narrow" w:hAnsi="Arial Narrow"/>
                <w:sz w:val="20"/>
              </w:rPr>
              <w:t>25.3)</w:t>
            </w:r>
          </w:p>
        </w:tc>
        <w:tc>
          <w:tcPr>
            <w:tcW w:w="1273" w:type="dxa"/>
          </w:tcPr>
          <w:p w14:paraId="7153F959" w14:textId="3FA428BA" w:rsidR="00A813F1" w:rsidRPr="001508F9" w:rsidRDefault="00385A07" w:rsidP="00762873">
            <w:pPr>
              <w:spacing w:after="0" w:line="240" w:lineRule="auto"/>
              <w:ind w:right="-57"/>
              <w:rPr>
                <w:rFonts w:ascii="Arial Narrow" w:hAnsi="Arial Narrow"/>
                <w:sz w:val="20"/>
              </w:rPr>
            </w:pPr>
            <w:r>
              <w:rPr>
                <w:rFonts w:ascii="Arial Narrow" w:hAnsi="Arial Narrow"/>
                <w:sz w:val="20"/>
              </w:rPr>
              <w:t>0 (0–</w:t>
            </w:r>
            <w:r w:rsidR="00A813F1">
              <w:rPr>
                <w:rFonts w:ascii="Arial Narrow" w:hAnsi="Arial Narrow"/>
                <w:sz w:val="20"/>
              </w:rPr>
              <w:t>1.1)</w:t>
            </w:r>
          </w:p>
        </w:tc>
        <w:tc>
          <w:tcPr>
            <w:tcW w:w="850" w:type="dxa"/>
          </w:tcPr>
          <w:p w14:paraId="3D91B249" w14:textId="7777777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0.16</w:t>
            </w:r>
          </w:p>
        </w:tc>
      </w:tr>
      <w:tr w:rsidR="00A813F1" w:rsidRPr="001508F9" w14:paraId="44EC3F3F" w14:textId="77777777" w:rsidTr="00762873">
        <w:tc>
          <w:tcPr>
            <w:tcW w:w="1129" w:type="dxa"/>
          </w:tcPr>
          <w:p w14:paraId="2E1CDB08" w14:textId="120F8428" w:rsidR="00A813F1" w:rsidRPr="001508F9" w:rsidRDefault="00A813F1" w:rsidP="00835BA6">
            <w:pPr>
              <w:spacing w:after="0" w:line="240" w:lineRule="auto"/>
              <w:ind w:right="-57"/>
              <w:rPr>
                <w:rFonts w:ascii="Arial Narrow" w:hAnsi="Arial Narrow"/>
                <w:sz w:val="20"/>
              </w:rPr>
            </w:pPr>
            <w:r w:rsidRPr="00E87235">
              <w:rPr>
                <w:rFonts w:ascii="Arial Narrow" w:hAnsi="Arial Narrow"/>
                <w:sz w:val="20"/>
              </w:rPr>
              <w:t>Ander</w:t>
            </w:r>
            <w:r>
              <w:rPr>
                <w:rFonts w:ascii="Arial Narrow" w:hAnsi="Arial Narrow"/>
                <w:sz w:val="20"/>
              </w:rPr>
              <w:t>son &amp; Cameron.</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6" w:tooltip="Anderson, 2011 #27" w:history="1">
              <w:r w:rsidR="00835BA6">
                <w:rPr>
                  <w:rFonts w:ascii="Arial Narrow" w:hAnsi="Arial Narrow"/>
                  <w:noProof/>
                  <w:sz w:val="20"/>
                </w:rPr>
                <w:t>2011</w:t>
              </w:r>
            </w:hyperlink>
            <w:r>
              <w:rPr>
                <w:rFonts w:ascii="Arial Narrow" w:hAnsi="Arial Narrow"/>
                <w:noProof/>
                <w:sz w:val="20"/>
              </w:rPr>
              <w:t>)</w:t>
            </w:r>
            <w:r>
              <w:rPr>
                <w:rFonts w:ascii="Arial Narrow" w:hAnsi="Arial Narrow"/>
                <w:sz w:val="20"/>
              </w:rPr>
              <w:fldChar w:fldCharType="end"/>
            </w:r>
          </w:p>
        </w:tc>
        <w:tc>
          <w:tcPr>
            <w:tcW w:w="1985" w:type="dxa"/>
          </w:tcPr>
          <w:p w14:paraId="67BCB599" w14:textId="50AFF108" w:rsidR="00A813F1" w:rsidRPr="006F069F" w:rsidRDefault="006F069F" w:rsidP="00762873">
            <w:pPr>
              <w:spacing w:after="0" w:line="240" w:lineRule="auto"/>
              <w:ind w:right="-57"/>
              <w:rPr>
                <w:rFonts w:ascii="Arial Narrow" w:hAnsi="Arial Narrow"/>
                <w:b/>
                <w:sz w:val="20"/>
              </w:rPr>
            </w:pPr>
            <w:r>
              <w:rPr>
                <w:rFonts w:ascii="Arial Narrow" w:hAnsi="Arial Narrow"/>
                <w:b/>
                <w:sz w:val="20"/>
              </w:rPr>
              <w:t xml:space="preserve">N=33 </w:t>
            </w:r>
            <w:r>
              <w:rPr>
                <w:rFonts w:ascii="Arial Narrow" w:hAnsi="Arial Narrow"/>
                <w:sz w:val="20"/>
              </w:rPr>
              <w:t>w</w:t>
            </w:r>
            <w:r w:rsidR="00A813F1" w:rsidRPr="001508F9">
              <w:rPr>
                <w:rFonts w:ascii="Arial Narrow" w:hAnsi="Arial Narrow"/>
                <w:sz w:val="20"/>
              </w:rPr>
              <w:t>omen with early breast cancer</w:t>
            </w:r>
          </w:p>
        </w:tc>
        <w:tc>
          <w:tcPr>
            <w:tcW w:w="992" w:type="dxa"/>
          </w:tcPr>
          <w:p w14:paraId="4D8F9A1B" w14:textId="7777777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5 years</w:t>
            </w:r>
          </w:p>
        </w:tc>
        <w:tc>
          <w:tcPr>
            <w:tcW w:w="1708" w:type="dxa"/>
          </w:tcPr>
          <w:p w14:paraId="1917CA63" w14:textId="3AD55912"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Mean</w:t>
            </w:r>
            <w:r w:rsidR="00CB05BE" w:rsidRPr="00CB05BE">
              <w:rPr>
                <w:rFonts w:ascii="Arial Narrow" w:hAnsi="Arial Narrow"/>
                <w:sz w:val="20"/>
              </w:rPr>
              <w:t> ± </w:t>
            </w:r>
            <w:r w:rsidRPr="001508F9">
              <w:rPr>
                <w:rFonts w:ascii="Arial Narrow" w:hAnsi="Arial Narrow"/>
                <w:sz w:val="20"/>
              </w:rPr>
              <w:t>SD</w:t>
            </w:r>
          </w:p>
        </w:tc>
        <w:tc>
          <w:tcPr>
            <w:tcW w:w="1272" w:type="dxa"/>
          </w:tcPr>
          <w:p w14:paraId="40BC03DE" w14:textId="575433D8"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13.1</w:t>
            </w:r>
            <w:r w:rsidR="00CB05BE" w:rsidRPr="00CB05BE">
              <w:rPr>
                <w:rFonts w:ascii="Arial Narrow" w:hAnsi="Arial Narrow"/>
                <w:sz w:val="20"/>
              </w:rPr>
              <w:t> ± </w:t>
            </w:r>
            <w:r w:rsidRPr="001508F9">
              <w:rPr>
                <w:rFonts w:ascii="Arial Narrow" w:hAnsi="Arial Narrow"/>
                <w:sz w:val="20"/>
              </w:rPr>
              <w:t>1.8</w:t>
            </w:r>
          </w:p>
        </w:tc>
        <w:tc>
          <w:tcPr>
            <w:tcW w:w="1273" w:type="dxa"/>
          </w:tcPr>
          <w:p w14:paraId="07ED3591" w14:textId="79B2BEB2" w:rsidR="00A813F1" w:rsidRPr="001508F9" w:rsidRDefault="00A813F1" w:rsidP="00762873">
            <w:pPr>
              <w:spacing w:after="0" w:line="240" w:lineRule="auto"/>
              <w:ind w:right="-57"/>
              <w:rPr>
                <w:rFonts w:ascii="Arial Narrow" w:hAnsi="Arial Narrow"/>
                <w:sz w:val="20"/>
              </w:rPr>
            </w:pPr>
            <w:r>
              <w:rPr>
                <w:rFonts w:ascii="Arial Narrow" w:hAnsi="Arial Narrow"/>
                <w:sz w:val="20"/>
              </w:rPr>
              <w:t>5.2</w:t>
            </w:r>
            <w:r w:rsidR="00CB05BE" w:rsidRPr="00CB05BE">
              <w:rPr>
                <w:rFonts w:ascii="Arial Narrow" w:hAnsi="Arial Narrow"/>
                <w:sz w:val="20"/>
              </w:rPr>
              <w:t> ± </w:t>
            </w:r>
            <w:r>
              <w:rPr>
                <w:rFonts w:ascii="Arial Narrow" w:hAnsi="Arial Narrow"/>
                <w:sz w:val="20"/>
              </w:rPr>
              <w:t>0.7</w:t>
            </w:r>
          </w:p>
        </w:tc>
        <w:tc>
          <w:tcPr>
            <w:tcW w:w="850" w:type="dxa"/>
          </w:tcPr>
          <w:p w14:paraId="771A3EE8" w14:textId="5177D894" w:rsidR="00A813F1" w:rsidRPr="001508F9" w:rsidRDefault="00DD53E7" w:rsidP="00762873">
            <w:pPr>
              <w:spacing w:after="0" w:line="240" w:lineRule="auto"/>
              <w:ind w:right="-57"/>
              <w:rPr>
                <w:rFonts w:ascii="Arial Narrow" w:hAnsi="Arial Narrow"/>
                <w:sz w:val="20"/>
              </w:rPr>
            </w:pPr>
            <w:r>
              <w:rPr>
                <w:rFonts w:ascii="Arial Narrow" w:hAnsi="Arial Narrow"/>
                <w:sz w:val="20"/>
              </w:rPr>
              <w:t>0.0008</w:t>
            </w:r>
          </w:p>
        </w:tc>
      </w:tr>
      <w:tr w:rsidR="00A813F1" w:rsidRPr="001508F9" w14:paraId="4C20366F" w14:textId="77777777" w:rsidTr="00762873">
        <w:tc>
          <w:tcPr>
            <w:tcW w:w="1129" w:type="dxa"/>
          </w:tcPr>
          <w:p w14:paraId="36431C32" w14:textId="3814F9BE" w:rsidR="00A813F1" w:rsidRPr="001508F9" w:rsidRDefault="00A813F1" w:rsidP="00835BA6">
            <w:pPr>
              <w:spacing w:after="0" w:line="240" w:lineRule="auto"/>
              <w:rPr>
                <w:rFonts w:ascii="Arial Narrow" w:hAnsi="Arial Narrow"/>
                <w:sz w:val="20"/>
              </w:rPr>
            </w:pPr>
            <w:r>
              <w:rPr>
                <w:rFonts w:ascii="Arial Narrow" w:hAnsi="Arial Narrow"/>
                <w:sz w:val="20"/>
              </w:rPr>
              <w:t>Anderson et al.</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7" w:tooltip="Anderson, 2013 #28" w:history="1">
              <w:r w:rsidR="00835BA6">
                <w:rPr>
                  <w:rFonts w:ascii="Arial Narrow" w:hAnsi="Arial Narrow"/>
                  <w:noProof/>
                  <w:sz w:val="20"/>
                </w:rPr>
                <w:t>2013</w:t>
              </w:r>
            </w:hyperlink>
            <w:r>
              <w:rPr>
                <w:rFonts w:ascii="Arial Narrow" w:hAnsi="Arial Narrow"/>
                <w:noProof/>
                <w:sz w:val="20"/>
              </w:rPr>
              <w:t>)</w:t>
            </w:r>
            <w:r>
              <w:rPr>
                <w:rFonts w:ascii="Arial Narrow" w:hAnsi="Arial Narrow"/>
                <w:sz w:val="20"/>
              </w:rPr>
              <w:fldChar w:fldCharType="end"/>
            </w:r>
          </w:p>
        </w:tc>
        <w:tc>
          <w:tcPr>
            <w:tcW w:w="1985" w:type="dxa"/>
          </w:tcPr>
          <w:p w14:paraId="479D6881" w14:textId="7377CC26" w:rsidR="00A813F1" w:rsidRPr="001508F9" w:rsidRDefault="00A813F1" w:rsidP="00762873">
            <w:pPr>
              <w:spacing w:after="0" w:line="240" w:lineRule="auto"/>
              <w:ind w:right="-57"/>
              <w:rPr>
                <w:rFonts w:ascii="Arial Narrow" w:hAnsi="Arial Narrow"/>
                <w:sz w:val="20"/>
              </w:rPr>
            </w:pPr>
            <w:r w:rsidRPr="001508F9">
              <w:rPr>
                <w:rFonts w:ascii="Arial Narrow" w:hAnsi="Arial Narrow"/>
                <w:b/>
                <w:sz w:val="20"/>
              </w:rPr>
              <w:t>N=55</w:t>
            </w:r>
            <w:r w:rsidR="00385A07">
              <w:rPr>
                <w:rFonts w:ascii="Arial Narrow" w:hAnsi="Arial Narrow"/>
                <w:sz w:val="20"/>
              </w:rPr>
              <w:t xml:space="preserve"> at 1-</w:t>
            </w:r>
            <w:r w:rsidRPr="001508F9">
              <w:rPr>
                <w:rFonts w:ascii="Arial Narrow" w:hAnsi="Arial Narrow"/>
                <w:sz w:val="20"/>
              </w:rPr>
              <w:t xml:space="preserve">year, </w:t>
            </w:r>
            <w:r w:rsidRPr="001508F9">
              <w:rPr>
                <w:rFonts w:ascii="Arial Narrow" w:hAnsi="Arial Narrow"/>
                <w:b/>
                <w:sz w:val="20"/>
              </w:rPr>
              <w:t>N=46</w:t>
            </w:r>
            <w:r w:rsidR="00385A07">
              <w:rPr>
                <w:rFonts w:ascii="Arial Narrow" w:hAnsi="Arial Narrow"/>
                <w:sz w:val="20"/>
              </w:rPr>
              <w:t xml:space="preserve"> at 2-</w:t>
            </w:r>
            <w:r w:rsidRPr="001508F9">
              <w:rPr>
                <w:rFonts w:ascii="Arial Narrow" w:hAnsi="Arial Narrow"/>
                <w:sz w:val="20"/>
              </w:rPr>
              <w:t>year follow-up</w:t>
            </w:r>
          </w:p>
          <w:p w14:paraId="7CBEFB7F" w14:textId="496C16F5"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Pre</w:t>
            </w:r>
            <w:r w:rsidR="003036C4">
              <w:rPr>
                <w:rFonts w:ascii="Arial Narrow" w:hAnsi="Arial Narrow"/>
                <w:sz w:val="20"/>
              </w:rPr>
              <w:t>-menopausal</w:t>
            </w:r>
            <w:r w:rsidRPr="001508F9">
              <w:rPr>
                <w:rFonts w:ascii="Arial Narrow" w:hAnsi="Arial Narrow"/>
                <w:sz w:val="20"/>
              </w:rPr>
              <w:t xml:space="preserve"> women with early breast cancer</w:t>
            </w:r>
          </w:p>
        </w:tc>
        <w:tc>
          <w:tcPr>
            <w:tcW w:w="992" w:type="dxa"/>
          </w:tcPr>
          <w:p w14:paraId="56D7800E" w14:textId="77777777" w:rsidR="007518CF" w:rsidRDefault="00A813F1" w:rsidP="00762873">
            <w:pPr>
              <w:spacing w:after="0" w:line="240" w:lineRule="auto"/>
              <w:ind w:right="-57"/>
              <w:rPr>
                <w:rFonts w:ascii="Arial Narrow" w:hAnsi="Arial Narrow"/>
                <w:sz w:val="20"/>
              </w:rPr>
            </w:pPr>
            <w:r w:rsidRPr="001508F9">
              <w:rPr>
                <w:rFonts w:ascii="Arial Narrow" w:hAnsi="Arial Narrow"/>
                <w:sz w:val="20"/>
              </w:rPr>
              <w:t>1 year</w:t>
            </w:r>
          </w:p>
          <w:p w14:paraId="69CD9D5A" w14:textId="50869A3A"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2 years</w:t>
            </w:r>
          </w:p>
        </w:tc>
        <w:tc>
          <w:tcPr>
            <w:tcW w:w="1708" w:type="dxa"/>
          </w:tcPr>
          <w:p w14:paraId="101A79D6" w14:textId="1EA3641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Mean</w:t>
            </w:r>
            <w:r w:rsidR="00CB05BE" w:rsidRPr="00CB05BE">
              <w:rPr>
                <w:rFonts w:ascii="Arial Narrow" w:hAnsi="Arial Narrow"/>
                <w:sz w:val="20"/>
              </w:rPr>
              <w:t> ± </w:t>
            </w:r>
            <w:r w:rsidRPr="001508F9">
              <w:rPr>
                <w:rFonts w:ascii="Arial Narrow" w:hAnsi="Arial Narrow"/>
                <w:sz w:val="20"/>
              </w:rPr>
              <w:t>SD</w:t>
            </w:r>
          </w:p>
        </w:tc>
        <w:tc>
          <w:tcPr>
            <w:tcW w:w="1272" w:type="dxa"/>
          </w:tcPr>
          <w:p w14:paraId="62C0CF0C" w14:textId="255A1BDD"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4.9</w:t>
            </w:r>
            <w:r w:rsidR="00CB05BE" w:rsidRPr="00CB05BE">
              <w:rPr>
                <w:rFonts w:ascii="Arial Narrow" w:hAnsi="Arial Narrow"/>
                <w:sz w:val="20"/>
              </w:rPr>
              <w:t> ± </w:t>
            </w:r>
            <w:r w:rsidRPr="001508F9">
              <w:rPr>
                <w:rFonts w:ascii="Arial Narrow" w:hAnsi="Arial Narrow"/>
                <w:sz w:val="20"/>
              </w:rPr>
              <w:t>0.6</w:t>
            </w:r>
          </w:p>
          <w:p w14:paraId="19D3E411" w14:textId="4C26299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5.6</w:t>
            </w:r>
            <w:r w:rsidR="00CB05BE" w:rsidRPr="00CB05BE">
              <w:rPr>
                <w:rFonts w:ascii="Arial Narrow" w:hAnsi="Arial Narrow"/>
                <w:sz w:val="20"/>
              </w:rPr>
              <w:t> ± </w:t>
            </w:r>
            <w:r w:rsidRPr="001508F9">
              <w:rPr>
                <w:rFonts w:ascii="Arial Narrow" w:hAnsi="Arial Narrow"/>
                <w:sz w:val="20"/>
              </w:rPr>
              <w:t>0.8</w:t>
            </w:r>
            <w:r w:rsidRPr="001508F9">
              <w:rPr>
                <w:rFonts w:ascii="Arial Narrow" w:hAnsi="Arial Narrow"/>
                <w:sz w:val="20"/>
              </w:rPr>
              <w:tab/>
            </w:r>
          </w:p>
        </w:tc>
        <w:tc>
          <w:tcPr>
            <w:tcW w:w="1273" w:type="dxa"/>
          </w:tcPr>
          <w:p w14:paraId="70E11872" w14:textId="48BDFD33" w:rsidR="00A813F1" w:rsidRPr="001508F9" w:rsidRDefault="00A813F1" w:rsidP="00762873">
            <w:pPr>
              <w:spacing w:after="0" w:line="240" w:lineRule="auto"/>
              <w:rPr>
                <w:rFonts w:ascii="Arial Narrow" w:hAnsi="Arial Narrow"/>
                <w:sz w:val="20"/>
              </w:rPr>
            </w:pPr>
            <w:r w:rsidRPr="001508F9">
              <w:rPr>
                <w:rFonts w:ascii="Arial Narrow" w:hAnsi="Arial Narrow"/>
                <w:sz w:val="20"/>
              </w:rPr>
              <w:t>3.6</w:t>
            </w:r>
            <w:r w:rsidR="00CB05BE" w:rsidRPr="00CB05BE">
              <w:rPr>
                <w:rFonts w:ascii="Arial Narrow" w:hAnsi="Arial Narrow"/>
                <w:sz w:val="20"/>
              </w:rPr>
              <w:t> ± </w:t>
            </w:r>
            <w:r w:rsidRPr="001508F9">
              <w:rPr>
                <w:rFonts w:ascii="Arial Narrow" w:hAnsi="Arial Narrow"/>
                <w:sz w:val="20"/>
              </w:rPr>
              <w:t>0.9</w:t>
            </w:r>
          </w:p>
          <w:p w14:paraId="0673B711" w14:textId="1DA5F04F" w:rsidR="00A813F1" w:rsidRPr="001508F9" w:rsidRDefault="00A813F1" w:rsidP="00762873">
            <w:pPr>
              <w:spacing w:after="0" w:line="240" w:lineRule="auto"/>
              <w:rPr>
                <w:rFonts w:ascii="Arial Narrow" w:hAnsi="Arial Narrow"/>
                <w:sz w:val="20"/>
              </w:rPr>
            </w:pPr>
            <w:r w:rsidRPr="001508F9">
              <w:rPr>
                <w:rFonts w:ascii="Arial Narrow" w:hAnsi="Arial Narrow"/>
                <w:sz w:val="20"/>
              </w:rPr>
              <w:t>3.3</w:t>
            </w:r>
            <w:r w:rsidR="00CB05BE" w:rsidRPr="00CB05BE">
              <w:rPr>
                <w:rFonts w:ascii="Arial Narrow" w:hAnsi="Arial Narrow"/>
                <w:sz w:val="20"/>
              </w:rPr>
              <w:t> ± </w:t>
            </w:r>
            <w:r w:rsidRPr="001508F9">
              <w:rPr>
                <w:rFonts w:ascii="Arial Narrow" w:hAnsi="Arial Narrow"/>
                <w:sz w:val="20"/>
              </w:rPr>
              <w:t>0.5</w:t>
            </w:r>
            <w:r w:rsidRPr="001508F9">
              <w:rPr>
                <w:rFonts w:ascii="Arial Narrow" w:hAnsi="Arial Narrow"/>
                <w:sz w:val="20"/>
              </w:rPr>
              <w:tab/>
            </w:r>
          </w:p>
        </w:tc>
        <w:tc>
          <w:tcPr>
            <w:tcW w:w="850" w:type="dxa"/>
          </w:tcPr>
          <w:p w14:paraId="2042BF26" w14:textId="7777777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NS</w:t>
            </w:r>
          </w:p>
          <w:p w14:paraId="3BABE295" w14:textId="7777777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NS</w:t>
            </w:r>
          </w:p>
        </w:tc>
      </w:tr>
      <w:tr w:rsidR="00A813F1" w:rsidRPr="001508F9" w14:paraId="44F1F4CB" w14:textId="77777777" w:rsidTr="00762873">
        <w:tc>
          <w:tcPr>
            <w:tcW w:w="1129" w:type="dxa"/>
          </w:tcPr>
          <w:p w14:paraId="0AD52508" w14:textId="74FAC6A0" w:rsidR="00A813F1" w:rsidRPr="001508F9" w:rsidRDefault="00A813F1" w:rsidP="00835BA6">
            <w:pPr>
              <w:spacing w:after="0" w:line="240" w:lineRule="auto"/>
              <w:rPr>
                <w:rFonts w:ascii="Arial Narrow" w:hAnsi="Arial Narrow"/>
                <w:sz w:val="20"/>
              </w:rPr>
            </w:pPr>
            <w:r>
              <w:rPr>
                <w:rFonts w:ascii="Arial Narrow" w:hAnsi="Arial Narrow"/>
                <w:sz w:val="20"/>
              </w:rPr>
              <w:t xml:space="preserve">Yu et al. </w:t>
            </w:r>
            <w:r>
              <w:rPr>
                <w:rFonts w:ascii="Arial Narrow" w:hAnsi="Arial Narrow"/>
                <w:sz w:val="20"/>
              </w:rPr>
              <w:lastRenderedPageBreak/>
              <w:fldChar w:fldCharType="begin"/>
            </w:r>
            <w:r w:rsidR="00577E24">
              <w:rPr>
                <w:rFonts w:ascii="Arial Narrow" w:hAnsi="Arial Narrow"/>
                <w:sz w:val="20"/>
              </w:rPr>
              <w:instrText xml:space="preserve"> ADDIN EN.CITE &lt;EndNote&gt;&lt;Cite ExcludeAuth="1"&gt;&lt;Author&gt;Yu&lt;/Author&gt;&lt;Year&gt;2010&lt;/Year&gt;&lt;RecNum&gt;374&lt;/RecNum&gt;&lt;IDText&gt;2099-2105&lt;/IDText&gt;&lt;DisplayText&gt;(2010)&lt;/DisplayText&gt;&lt;record&gt;&lt;rec-number&gt;374&lt;/rec-number&gt;&lt;foreign-keys&gt;&lt;key app="EN" db-id="s2dftfxw1fvsr1efx58vfvxtvfwzxea0td02" timestamp="1511748101"&gt;374&lt;/key&gt;&lt;/foreign-keys&gt;&lt;ref-type name="Journal Article"&gt;17&lt;/ref-type&gt;&lt;contributors&gt;&lt;authors&gt;&lt;author&gt;Yu, B.&lt;/author&gt;&lt;author&gt;Douglas, N.&lt;/author&gt;&lt;author&gt;Ferin, M. J.&lt;/author&gt;&lt;author&gt;Nakhuda, G. S.&lt;/author&gt;&lt;author&gt;Crew, K.&lt;/author&gt;&lt;author&gt;Lobo, R. A.&lt;/author&gt;&lt;author&gt;Hershman, D. L.&lt;/author&gt;&lt;/authors&gt;&lt;/contributors&gt;&lt;titles&gt;&lt;title&gt;Changes in markers of ovarian reserve and endocrine function in young women with breast cancer undergoing adjuvant chemotherapy&lt;/title&gt;&lt;secondary-title&gt;Cancer&lt;/secondary-title&gt;&lt;/titles&gt;&lt;periodical&gt;&lt;full-title&gt;Cancer&lt;/full-title&gt;&lt;/periodical&gt;&lt;pages&gt;2099-2105&lt;/pages&gt;&lt;volume&gt;116&lt;/volume&gt;&lt;number&gt;9&lt;/number&gt;&lt;keywords&gt;&lt;keyword&gt;Self-Fertilization&lt;/keyword&gt;&lt;keyword&gt;Amenorrhea&lt;/keyword&gt;&lt;keyword&gt;Premenopause&lt;/keyword&gt;&lt;keyword&gt;Follicle Stimulating Hormone&lt;/keyword&gt;&lt;keyword&gt;Chemotherapy, Adjuvant&lt;/keyword&gt;&lt;keyword&gt;Breast Neoplasms&lt;/keyword&gt;&lt;/keywords&gt;&lt;dates&gt;&lt;year&gt;2010&lt;/year&gt;&lt;pub-dates&gt;&lt;date&gt;2010-1-1&lt;/date&gt;&lt;/pub-dates&gt;&lt;/dates&gt;&lt;accession-num&gt;rayyan-6679843&lt;/accession-num&gt;&lt;urls&gt;&lt;related-urls&gt;&lt;url&gt;http://www.embase.com/search/results?subaction=viewrecord&amp;amp;from=export&amp;amp;id=L358702374 http://dx.doi.org/10.1002/cncr.25037&lt;/url&gt;&lt;url&gt;http://onlinelibrary.wiley.com/store/10.1002/cncr.25037/asset/25037_ftp.pdf?v=1&amp;amp;t=j5niw4b0&amp;amp;s=e7188da725b5a09d82cd60cd3b8e414aa9f13e2c&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78" w:tooltip="Yu, 2010 #374" w:history="1">
              <w:r w:rsidR="00835BA6">
                <w:rPr>
                  <w:rFonts w:ascii="Arial Narrow" w:hAnsi="Arial Narrow"/>
                  <w:noProof/>
                  <w:sz w:val="20"/>
                </w:rPr>
                <w:t>2010</w:t>
              </w:r>
            </w:hyperlink>
            <w:r>
              <w:rPr>
                <w:rFonts w:ascii="Arial Narrow" w:hAnsi="Arial Narrow"/>
                <w:noProof/>
                <w:sz w:val="20"/>
              </w:rPr>
              <w:t>)</w:t>
            </w:r>
            <w:r>
              <w:rPr>
                <w:rFonts w:ascii="Arial Narrow" w:hAnsi="Arial Narrow"/>
                <w:sz w:val="20"/>
              </w:rPr>
              <w:fldChar w:fldCharType="end"/>
            </w:r>
          </w:p>
        </w:tc>
        <w:tc>
          <w:tcPr>
            <w:tcW w:w="1985" w:type="dxa"/>
          </w:tcPr>
          <w:p w14:paraId="2DFA5C2E" w14:textId="2AAF54CB" w:rsidR="00A813F1" w:rsidRPr="001508F9" w:rsidRDefault="00A813F1" w:rsidP="00762873">
            <w:pPr>
              <w:spacing w:after="0" w:line="240" w:lineRule="auto"/>
              <w:ind w:right="-57"/>
              <w:rPr>
                <w:rFonts w:ascii="Arial Narrow" w:hAnsi="Arial Narrow"/>
                <w:sz w:val="20"/>
              </w:rPr>
            </w:pPr>
            <w:r w:rsidRPr="001508F9">
              <w:rPr>
                <w:rFonts w:ascii="Arial Narrow" w:hAnsi="Arial Narrow"/>
                <w:b/>
                <w:sz w:val="20"/>
              </w:rPr>
              <w:lastRenderedPageBreak/>
              <w:t>N=26</w:t>
            </w:r>
            <w:r w:rsidR="006F069F">
              <w:rPr>
                <w:rFonts w:ascii="Arial Narrow" w:hAnsi="Arial Narrow"/>
                <w:sz w:val="20"/>
              </w:rPr>
              <w:t xml:space="preserve"> </w:t>
            </w:r>
            <w:r w:rsidR="006F069F">
              <w:rPr>
                <w:rFonts w:ascii="Arial Narrow" w:hAnsi="Arial Narrow"/>
                <w:b/>
                <w:sz w:val="20"/>
              </w:rPr>
              <w:t>w</w:t>
            </w:r>
            <w:r w:rsidRPr="001508F9">
              <w:rPr>
                <w:rFonts w:ascii="Arial Narrow" w:hAnsi="Arial Narrow"/>
                <w:sz w:val="20"/>
              </w:rPr>
              <w:t xml:space="preserve">omen with breast </w:t>
            </w:r>
            <w:r w:rsidRPr="001508F9">
              <w:rPr>
                <w:rFonts w:ascii="Arial Narrow" w:hAnsi="Arial Narrow"/>
                <w:sz w:val="20"/>
              </w:rPr>
              <w:lastRenderedPageBreak/>
              <w:t>cancer</w:t>
            </w:r>
          </w:p>
        </w:tc>
        <w:tc>
          <w:tcPr>
            <w:tcW w:w="992" w:type="dxa"/>
          </w:tcPr>
          <w:p w14:paraId="78AF13FE" w14:textId="7777777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lastRenderedPageBreak/>
              <w:t>1 year</w:t>
            </w:r>
          </w:p>
        </w:tc>
        <w:tc>
          <w:tcPr>
            <w:tcW w:w="1708" w:type="dxa"/>
          </w:tcPr>
          <w:p w14:paraId="6F9EFBD2" w14:textId="77777777" w:rsidR="00A813F1" w:rsidRPr="001508F9" w:rsidRDefault="00A813F1" w:rsidP="00762873">
            <w:pPr>
              <w:spacing w:after="0" w:line="240" w:lineRule="auto"/>
              <w:ind w:right="-57"/>
              <w:rPr>
                <w:rFonts w:ascii="Arial Narrow" w:hAnsi="Arial Narrow"/>
                <w:sz w:val="20"/>
              </w:rPr>
            </w:pPr>
            <w:r>
              <w:rPr>
                <w:rFonts w:ascii="Arial Narrow" w:hAnsi="Arial Narrow"/>
                <w:sz w:val="20"/>
              </w:rPr>
              <w:t>M</w:t>
            </w:r>
            <w:r w:rsidRPr="001508F9">
              <w:rPr>
                <w:rFonts w:ascii="Arial Narrow" w:hAnsi="Arial Narrow"/>
                <w:sz w:val="20"/>
              </w:rPr>
              <w:t>edian</w:t>
            </w:r>
          </w:p>
        </w:tc>
        <w:tc>
          <w:tcPr>
            <w:tcW w:w="1272" w:type="dxa"/>
          </w:tcPr>
          <w:p w14:paraId="412F8D91" w14:textId="77777777" w:rsidR="00A813F1" w:rsidRPr="001508F9" w:rsidRDefault="00A813F1" w:rsidP="00762873">
            <w:pPr>
              <w:spacing w:after="0" w:line="240" w:lineRule="auto"/>
              <w:ind w:right="-57"/>
              <w:rPr>
                <w:rFonts w:ascii="Arial Narrow" w:hAnsi="Arial Narrow"/>
                <w:sz w:val="20"/>
              </w:rPr>
            </w:pPr>
            <w:r>
              <w:rPr>
                <w:rFonts w:ascii="Arial Narrow" w:hAnsi="Arial Narrow"/>
                <w:sz w:val="20"/>
              </w:rPr>
              <w:t>4.5</w:t>
            </w:r>
            <w:r w:rsidRPr="001508F9">
              <w:rPr>
                <w:rFonts w:ascii="Arial Narrow" w:hAnsi="Arial Narrow"/>
                <w:sz w:val="20"/>
              </w:rPr>
              <w:t xml:space="preserve"> (n=11)</w:t>
            </w:r>
          </w:p>
        </w:tc>
        <w:tc>
          <w:tcPr>
            <w:tcW w:w="1273" w:type="dxa"/>
          </w:tcPr>
          <w:p w14:paraId="5856CB44" w14:textId="77777777" w:rsidR="00A813F1" w:rsidRPr="001508F9" w:rsidRDefault="00A813F1" w:rsidP="00762873">
            <w:pPr>
              <w:spacing w:after="0" w:line="240" w:lineRule="auto"/>
              <w:rPr>
                <w:rFonts w:ascii="Arial Narrow" w:hAnsi="Arial Narrow"/>
                <w:sz w:val="20"/>
              </w:rPr>
            </w:pPr>
            <w:r>
              <w:rPr>
                <w:rFonts w:ascii="Arial Narrow" w:hAnsi="Arial Narrow"/>
                <w:sz w:val="20"/>
              </w:rPr>
              <w:t xml:space="preserve">6.8 </w:t>
            </w:r>
            <w:r w:rsidRPr="001508F9">
              <w:rPr>
                <w:rFonts w:ascii="Arial Narrow" w:hAnsi="Arial Narrow"/>
                <w:sz w:val="20"/>
              </w:rPr>
              <w:t>(n=15)</w:t>
            </w:r>
          </w:p>
        </w:tc>
        <w:tc>
          <w:tcPr>
            <w:tcW w:w="850" w:type="dxa"/>
          </w:tcPr>
          <w:p w14:paraId="14C0D682" w14:textId="77777777" w:rsidR="00A813F1" w:rsidRPr="001508F9" w:rsidRDefault="00A813F1" w:rsidP="00762873">
            <w:pPr>
              <w:spacing w:after="0" w:line="240" w:lineRule="auto"/>
              <w:ind w:right="-57"/>
              <w:rPr>
                <w:rFonts w:ascii="Arial Narrow" w:hAnsi="Arial Narrow"/>
                <w:sz w:val="20"/>
              </w:rPr>
            </w:pPr>
            <w:r w:rsidRPr="001508F9">
              <w:rPr>
                <w:rFonts w:ascii="Arial Narrow" w:hAnsi="Arial Narrow"/>
                <w:sz w:val="20"/>
              </w:rPr>
              <w:t>NS</w:t>
            </w:r>
          </w:p>
        </w:tc>
      </w:tr>
    </w:tbl>
    <w:p w14:paraId="134CE82D" w14:textId="771C60AD" w:rsidR="002C54E5" w:rsidRPr="00DD53E7" w:rsidRDefault="002C54E5" w:rsidP="002C54E5">
      <w:pPr>
        <w:spacing w:line="240" w:lineRule="auto"/>
        <w:rPr>
          <w:rFonts w:ascii="Arial Narrow" w:hAnsi="Arial Narrow"/>
          <w:sz w:val="18"/>
          <w:szCs w:val="18"/>
        </w:rPr>
      </w:pPr>
      <w:bookmarkStart w:id="309" w:name="_Ref498012800"/>
      <w:r w:rsidRPr="002C54E5">
        <w:rPr>
          <w:rFonts w:ascii="Arial Narrow" w:hAnsi="Arial Narrow"/>
          <w:sz w:val="18"/>
          <w:szCs w:val="18"/>
        </w:rPr>
        <w:lastRenderedPageBreak/>
        <w:t xml:space="preserve">CRA = chemotherapy-related amenorrhea; </w:t>
      </w:r>
      <w:r>
        <w:rPr>
          <w:rFonts w:ascii="Arial Narrow" w:hAnsi="Arial Narrow"/>
          <w:sz w:val="18"/>
          <w:szCs w:val="18"/>
        </w:rPr>
        <w:t>FSH = follicle</w:t>
      </w:r>
      <w:r w:rsidR="00DE6DD5">
        <w:rPr>
          <w:rFonts w:ascii="Arial Narrow" w:hAnsi="Arial Narrow"/>
          <w:sz w:val="18"/>
          <w:szCs w:val="18"/>
        </w:rPr>
        <w:t>-</w:t>
      </w:r>
      <w:r>
        <w:rPr>
          <w:rFonts w:ascii="Arial Narrow" w:hAnsi="Arial Narrow"/>
          <w:sz w:val="18"/>
          <w:szCs w:val="18"/>
        </w:rPr>
        <w:t xml:space="preserve">stimulating hormone; </w:t>
      </w:r>
      <w:r w:rsidRPr="002C54E5">
        <w:rPr>
          <w:rFonts w:ascii="Arial Narrow" w:hAnsi="Arial Narrow"/>
          <w:sz w:val="18"/>
          <w:szCs w:val="18"/>
        </w:rPr>
        <w:t>NS = not significant</w:t>
      </w:r>
      <w:r>
        <w:rPr>
          <w:rFonts w:ascii="Arial Narrow" w:hAnsi="Arial Narrow"/>
          <w:sz w:val="18"/>
          <w:szCs w:val="18"/>
        </w:rPr>
        <w:t>; SD = standard deviation</w:t>
      </w:r>
    </w:p>
    <w:p w14:paraId="3788F665" w14:textId="376792D4" w:rsidR="00A813F1" w:rsidRDefault="00A813F1" w:rsidP="00DD53E7">
      <w:pPr>
        <w:pStyle w:val="Caption"/>
        <w:keepNext/>
        <w:ind w:left="993" w:hanging="993"/>
      </w:pPr>
      <w:bookmarkStart w:id="310" w:name="_Ref501469610"/>
      <w:bookmarkStart w:id="311" w:name="_Toc502833061"/>
      <w:r w:rsidRPr="00DD53E7">
        <w:t xml:space="preserve">Table </w:t>
      </w:r>
      <w:r w:rsidR="00AC4BE5">
        <w:fldChar w:fldCharType="begin"/>
      </w:r>
      <w:r w:rsidR="00AC4BE5">
        <w:instrText xml:space="preserve"> SEQ Table \* ARABIC </w:instrText>
      </w:r>
      <w:r w:rsidR="00AC4BE5">
        <w:fldChar w:fldCharType="separate"/>
      </w:r>
      <w:r w:rsidR="00AC4BE5">
        <w:rPr>
          <w:noProof/>
        </w:rPr>
        <w:t>43</w:t>
      </w:r>
      <w:r w:rsidR="00AC4BE5">
        <w:rPr>
          <w:noProof/>
        </w:rPr>
        <w:fldChar w:fldCharType="end"/>
      </w:r>
      <w:bookmarkEnd w:id="309"/>
      <w:bookmarkEnd w:id="310"/>
      <w:r w:rsidRPr="00DD53E7">
        <w:tab/>
        <w:t>Baseline E2 levels</w:t>
      </w:r>
      <w:r w:rsidRPr="004D6766">
        <w:t xml:space="preserve"> in breast cancer patients w</w:t>
      </w:r>
      <w:r>
        <w:t>ith CRA at follow-up compared with baseline E2</w:t>
      </w:r>
      <w:r w:rsidRPr="004D6766">
        <w:t xml:space="preserve"> levels in patients without CRA</w:t>
      </w:r>
      <w:bookmarkEnd w:id="311"/>
    </w:p>
    <w:tbl>
      <w:tblPr>
        <w:tblStyle w:val="TableGrid5"/>
        <w:tblW w:w="9209" w:type="dxa"/>
        <w:tblLook w:val="04A0" w:firstRow="1" w:lastRow="0" w:firstColumn="1" w:lastColumn="0" w:noHBand="0" w:noVBand="1"/>
        <w:tblCaption w:val="Baseline E2 levels in breast cancer patients with CRA at follow-up compared with baseline E2 levels in patients without CRA"/>
        <w:tblDescription w:val="Baseline E2 levels in breast cancer patients with CRA at follow-up compared with baseline E2 levels in patients without CRA"/>
      </w:tblPr>
      <w:tblGrid>
        <w:gridCol w:w="1122"/>
        <w:gridCol w:w="1814"/>
        <w:gridCol w:w="984"/>
        <w:gridCol w:w="1550"/>
        <w:gridCol w:w="1396"/>
        <w:gridCol w:w="1397"/>
        <w:gridCol w:w="946"/>
      </w:tblGrid>
      <w:tr w:rsidR="00A813F1" w:rsidRPr="001B439F" w14:paraId="0B62308A" w14:textId="77777777" w:rsidTr="009C25E2">
        <w:trPr>
          <w:trHeight w:val="551"/>
          <w:tblHeader/>
        </w:trPr>
        <w:tc>
          <w:tcPr>
            <w:tcW w:w="1122" w:type="dxa"/>
          </w:tcPr>
          <w:p w14:paraId="1C615104" w14:textId="77777777" w:rsidR="00A813F1" w:rsidRPr="001B439F" w:rsidRDefault="00A813F1" w:rsidP="00762873">
            <w:pPr>
              <w:spacing w:after="0" w:line="240" w:lineRule="auto"/>
              <w:ind w:right="-57"/>
              <w:rPr>
                <w:rFonts w:ascii="Arial Narrow" w:hAnsi="Arial Narrow"/>
                <w:b/>
                <w:sz w:val="20"/>
              </w:rPr>
            </w:pPr>
            <w:r w:rsidRPr="001B439F">
              <w:rPr>
                <w:rFonts w:ascii="Arial Narrow" w:hAnsi="Arial Narrow"/>
                <w:b/>
                <w:sz w:val="20"/>
              </w:rPr>
              <w:t>Study</w:t>
            </w:r>
          </w:p>
        </w:tc>
        <w:tc>
          <w:tcPr>
            <w:tcW w:w="1814" w:type="dxa"/>
          </w:tcPr>
          <w:p w14:paraId="5C6DD580" w14:textId="77777777" w:rsidR="00A813F1" w:rsidRPr="001B439F" w:rsidRDefault="00A813F1" w:rsidP="00762873">
            <w:pPr>
              <w:spacing w:after="0" w:line="240" w:lineRule="auto"/>
              <w:ind w:right="-57"/>
              <w:rPr>
                <w:rFonts w:ascii="Arial Narrow" w:hAnsi="Arial Narrow"/>
                <w:b/>
                <w:sz w:val="20"/>
              </w:rPr>
            </w:pPr>
            <w:r w:rsidRPr="001B439F">
              <w:rPr>
                <w:rFonts w:ascii="Arial Narrow" w:hAnsi="Arial Narrow"/>
                <w:b/>
                <w:sz w:val="20"/>
              </w:rPr>
              <w:t>Population</w:t>
            </w:r>
          </w:p>
        </w:tc>
        <w:tc>
          <w:tcPr>
            <w:tcW w:w="984" w:type="dxa"/>
          </w:tcPr>
          <w:p w14:paraId="7CA4818A" w14:textId="77777777" w:rsidR="00A813F1" w:rsidRPr="001B439F" w:rsidRDefault="00A813F1" w:rsidP="00762873">
            <w:pPr>
              <w:spacing w:after="0" w:line="240" w:lineRule="auto"/>
              <w:ind w:right="-57"/>
              <w:rPr>
                <w:rFonts w:ascii="Arial Narrow" w:hAnsi="Arial Narrow"/>
                <w:b/>
                <w:sz w:val="20"/>
              </w:rPr>
            </w:pPr>
            <w:r w:rsidRPr="001B439F">
              <w:rPr>
                <w:rFonts w:ascii="Arial Narrow" w:hAnsi="Arial Narrow"/>
                <w:b/>
                <w:sz w:val="20"/>
              </w:rPr>
              <w:t>Follow-up</w:t>
            </w:r>
          </w:p>
        </w:tc>
        <w:tc>
          <w:tcPr>
            <w:tcW w:w="1550" w:type="dxa"/>
          </w:tcPr>
          <w:p w14:paraId="4E0A7681" w14:textId="77777777" w:rsidR="00A813F1" w:rsidRPr="001B439F" w:rsidRDefault="00A813F1" w:rsidP="00762873">
            <w:pPr>
              <w:spacing w:after="0" w:line="240" w:lineRule="auto"/>
              <w:ind w:right="-57"/>
              <w:rPr>
                <w:rFonts w:ascii="Arial Narrow" w:hAnsi="Arial Narrow"/>
                <w:b/>
                <w:sz w:val="20"/>
              </w:rPr>
            </w:pPr>
            <w:r>
              <w:rPr>
                <w:rFonts w:ascii="Arial Narrow" w:hAnsi="Arial Narrow"/>
                <w:b/>
                <w:sz w:val="20"/>
              </w:rPr>
              <w:t xml:space="preserve">Baseline </w:t>
            </w:r>
            <w:r w:rsidRPr="001B439F">
              <w:rPr>
                <w:rFonts w:ascii="Arial Narrow" w:hAnsi="Arial Narrow"/>
                <w:b/>
                <w:sz w:val="20"/>
              </w:rPr>
              <w:t>E2 measurement</w:t>
            </w:r>
          </w:p>
        </w:tc>
        <w:tc>
          <w:tcPr>
            <w:tcW w:w="1396" w:type="dxa"/>
          </w:tcPr>
          <w:p w14:paraId="027117F2" w14:textId="77777777" w:rsidR="00A813F1" w:rsidRPr="001B439F" w:rsidRDefault="00A813F1" w:rsidP="00762873">
            <w:pPr>
              <w:spacing w:after="0" w:line="240" w:lineRule="auto"/>
              <w:ind w:right="-57"/>
              <w:rPr>
                <w:rFonts w:ascii="Arial Narrow" w:hAnsi="Arial Narrow"/>
                <w:b/>
                <w:sz w:val="20"/>
              </w:rPr>
            </w:pPr>
            <w:r w:rsidRPr="001B439F">
              <w:rPr>
                <w:rFonts w:ascii="Arial Narrow" w:hAnsi="Arial Narrow"/>
                <w:b/>
                <w:sz w:val="20"/>
              </w:rPr>
              <w:t>CRA</w:t>
            </w:r>
          </w:p>
        </w:tc>
        <w:tc>
          <w:tcPr>
            <w:tcW w:w="1397" w:type="dxa"/>
          </w:tcPr>
          <w:p w14:paraId="47B053AA" w14:textId="77777777" w:rsidR="00A813F1" w:rsidRPr="001B439F" w:rsidRDefault="00A813F1" w:rsidP="00762873">
            <w:pPr>
              <w:spacing w:after="0" w:line="240" w:lineRule="auto"/>
              <w:ind w:right="-57"/>
              <w:rPr>
                <w:rFonts w:ascii="Arial Narrow" w:hAnsi="Arial Narrow"/>
                <w:b/>
                <w:sz w:val="20"/>
              </w:rPr>
            </w:pPr>
            <w:r w:rsidRPr="001B439F">
              <w:rPr>
                <w:rFonts w:ascii="Arial Narrow" w:hAnsi="Arial Narrow"/>
                <w:b/>
                <w:sz w:val="20"/>
              </w:rPr>
              <w:t>No CRA</w:t>
            </w:r>
          </w:p>
        </w:tc>
        <w:tc>
          <w:tcPr>
            <w:tcW w:w="946" w:type="dxa"/>
          </w:tcPr>
          <w:p w14:paraId="528675CE" w14:textId="76492587" w:rsidR="00A813F1" w:rsidRPr="001B439F" w:rsidRDefault="006F069F" w:rsidP="00762873">
            <w:pPr>
              <w:spacing w:after="0" w:line="240" w:lineRule="auto"/>
              <w:ind w:right="-57"/>
              <w:rPr>
                <w:rFonts w:ascii="Arial Narrow" w:hAnsi="Arial Narrow"/>
                <w:b/>
                <w:sz w:val="20"/>
              </w:rPr>
            </w:pPr>
            <w:r>
              <w:rPr>
                <w:rFonts w:ascii="Arial Narrow" w:hAnsi="Arial Narrow"/>
                <w:b/>
                <w:sz w:val="20"/>
              </w:rPr>
              <w:t>p-value</w:t>
            </w:r>
          </w:p>
        </w:tc>
      </w:tr>
      <w:tr w:rsidR="00A813F1" w:rsidRPr="001B439F" w14:paraId="39C2C426" w14:textId="77777777" w:rsidTr="009C25E2">
        <w:trPr>
          <w:trHeight w:val="843"/>
        </w:trPr>
        <w:tc>
          <w:tcPr>
            <w:tcW w:w="1122" w:type="dxa"/>
          </w:tcPr>
          <w:p w14:paraId="50ECC34C" w14:textId="74113B3F" w:rsidR="00A813F1" w:rsidRPr="001B439F" w:rsidRDefault="00A813F1" w:rsidP="00835BA6">
            <w:pPr>
              <w:spacing w:after="0" w:line="240" w:lineRule="auto"/>
              <w:ind w:right="-57"/>
              <w:rPr>
                <w:rFonts w:ascii="Arial Narrow" w:hAnsi="Arial Narrow"/>
                <w:sz w:val="20"/>
              </w:rPr>
            </w:pPr>
            <w:r>
              <w:rPr>
                <w:rFonts w:ascii="Arial Narrow" w:hAnsi="Arial Narrow"/>
                <w:sz w:val="20"/>
              </w:rPr>
              <w:t xml:space="preserve">Anders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ExcludeAuth="1"&gt;&lt;Author&gt;Anders&lt;/Author&gt;&lt;Year&gt;2008&lt;/Year&gt;&lt;RecNum&gt;25&lt;/RecNum&gt;&lt;IDText&gt;286-295&lt;/IDText&gt;&lt;DisplayText&gt;(2008)&lt;/DisplayText&gt;&lt;record&gt;&lt;rec-number&gt;25&lt;/rec-number&gt;&lt;foreign-keys&gt;&lt;key app="EN" db-id="s2dftfxw1fvsr1efx58vfvxtvfwzxea0td02" timestamp="1511748062"&gt;25&lt;/key&gt;&lt;/foreign-keys&gt;&lt;ref-type name="Journal Article"&gt;17&lt;/ref-type&gt;&lt;contributors&gt;&lt;authors&gt;&lt;author&gt;Anders, C.&lt;/author&gt;&lt;author&gt;Marcom, P. K.&lt;/author&gt;&lt;author&gt;Peterson, B.&lt;/author&gt;&lt;author&gt;Gu, L.&lt;/author&gt;&lt;author&gt;Unruhe, S.&lt;/author&gt;&lt;author&gt;Welch, R.&lt;/author&gt;&lt;author&gt;Lyons, P.&lt;/author&gt;&lt;author&gt;Kimmick, G.&lt;/author&gt;&lt;author&gt;Shaw, H.&lt;/author&gt;&lt;author&gt;Snyder, S.&lt;/author&gt;&lt;author&gt;Antenos, M.&lt;/author&gt;&lt;author&gt;Woodruff, T.&lt;/author&gt;&lt;author&gt;Blackwell, K.&lt;/author&gt;&lt;/authors&gt;&lt;/contributors&gt;&lt;titles&gt;&lt;title&gt;A pilot study of predictive markers of chemotherapy-related amenorrhea among premenopausal women with early stage breast cancer&lt;/title&gt;&lt;secondary-title&gt;Cancer Investigation&lt;/secondary-title&gt;&lt;/titles&gt;&lt;periodical&gt;&lt;full-title&gt;Cancer Investigation&lt;/full-title&gt;&lt;/periodical&gt;&lt;pages&gt;286-295&lt;/pages&gt;&lt;volume&gt;26&lt;/volume&gt;&lt;number&gt;3&lt;/number&gt;&lt;keywords&gt;&lt;keyword&gt;Follicle Stimulating Hormone&lt;/keyword&gt;&lt;keyword&gt;Estradiol&lt;/keyword&gt;&lt;keyword&gt;Premenopause&lt;/keyword&gt;&lt;keyword&gt;Amenorrhea&lt;/keyword&gt;&lt;keyword&gt;Breast Neoplasms&lt;/keyword&gt;&lt;keyword&gt;Pilot Projects&lt;/keyword&gt;&lt;/keywords&gt;&lt;dates&gt;&lt;year&gt;2008&lt;/year&gt;&lt;pub-dates&gt;&lt;date&gt;2008-1-1&lt;/date&gt;&lt;/pub-dates&gt;&lt;/dates&gt;&lt;isbn&gt;0735-7907 1532-4192&lt;/isbn&gt;&lt;accession-num&gt;rayyan-6671976&lt;/accession-num&gt;&lt;urls&gt;&lt;related-urls&gt;&lt;url&gt;http://www.embase.com/search/results?subaction=viewrecord&amp;amp;from=export&amp;amp;id=L351329008 http://dx.doi.org/10.1080/07357900701829777&lt;/url&gt;&lt;url&gt;http://www.tandfonline.com/doi/pdf/10.1080/07357900701829777?needAccess=true&lt;/url&gt;&lt;/related-urls&gt;&lt;/urls&gt;&lt;custom1&gt;adriamycin herceptin(Genentech) taxotere(Sanofi Aventis) 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5" w:tooltip="Anders, 2008 #25" w:history="1">
              <w:r w:rsidR="00835BA6">
                <w:rPr>
                  <w:rFonts w:ascii="Arial Narrow" w:hAnsi="Arial Narrow"/>
                  <w:noProof/>
                  <w:sz w:val="20"/>
                </w:rPr>
                <w:t>2008</w:t>
              </w:r>
            </w:hyperlink>
            <w:r>
              <w:rPr>
                <w:rFonts w:ascii="Arial Narrow" w:hAnsi="Arial Narrow"/>
                <w:noProof/>
                <w:sz w:val="20"/>
              </w:rPr>
              <w:t>)</w:t>
            </w:r>
            <w:r>
              <w:rPr>
                <w:rFonts w:ascii="Arial Narrow" w:hAnsi="Arial Narrow"/>
                <w:sz w:val="20"/>
              </w:rPr>
              <w:fldChar w:fldCharType="end"/>
            </w:r>
          </w:p>
        </w:tc>
        <w:tc>
          <w:tcPr>
            <w:tcW w:w="1814" w:type="dxa"/>
          </w:tcPr>
          <w:p w14:paraId="5F604B3D" w14:textId="1837EC20" w:rsidR="00A813F1" w:rsidRPr="006F069F" w:rsidRDefault="006F069F" w:rsidP="00762873">
            <w:pPr>
              <w:spacing w:after="0" w:line="240" w:lineRule="auto"/>
              <w:ind w:right="-57"/>
              <w:rPr>
                <w:rFonts w:ascii="Arial Narrow" w:hAnsi="Arial Narrow"/>
                <w:b/>
                <w:sz w:val="20"/>
              </w:rPr>
            </w:pPr>
            <w:r>
              <w:rPr>
                <w:rFonts w:ascii="Arial Narrow" w:hAnsi="Arial Narrow"/>
                <w:b/>
                <w:sz w:val="20"/>
              </w:rPr>
              <w:t xml:space="preserve">N=21 </w:t>
            </w:r>
            <w:r>
              <w:rPr>
                <w:rFonts w:ascii="Arial Narrow" w:hAnsi="Arial Narrow"/>
                <w:sz w:val="20"/>
              </w:rPr>
              <w:t>women with early breast cancer age 18–</w:t>
            </w:r>
            <w:r w:rsidR="00A813F1" w:rsidRPr="001B439F">
              <w:rPr>
                <w:rFonts w:ascii="Arial Narrow" w:hAnsi="Arial Narrow"/>
                <w:sz w:val="20"/>
              </w:rPr>
              <w:t>55 years)</w:t>
            </w:r>
          </w:p>
        </w:tc>
        <w:tc>
          <w:tcPr>
            <w:tcW w:w="984" w:type="dxa"/>
          </w:tcPr>
          <w:p w14:paraId="0C335CEC" w14:textId="77777777"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12 months</w:t>
            </w:r>
          </w:p>
        </w:tc>
        <w:tc>
          <w:tcPr>
            <w:tcW w:w="1550" w:type="dxa"/>
          </w:tcPr>
          <w:p w14:paraId="29808395" w14:textId="77777777" w:rsidR="00A813F1" w:rsidRPr="001B439F" w:rsidRDefault="00A813F1" w:rsidP="00762873">
            <w:pPr>
              <w:spacing w:after="0" w:line="240" w:lineRule="auto"/>
              <w:ind w:right="-57"/>
              <w:rPr>
                <w:rFonts w:ascii="Arial Narrow" w:hAnsi="Arial Narrow"/>
                <w:sz w:val="20"/>
              </w:rPr>
            </w:pPr>
            <w:r>
              <w:rPr>
                <w:rFonts w:ascii="Arial Narrow" w:hAnsi="Arial Narrow"/>
                <w:sz w:val="20"/>
              </w:rPr>
              <w:t>M</w:t>
            </w:r>
            <w:r w:rsidRPr="001B439F">
              <w:rPr>
                <w:rFonts w:ascii="Arial Narrow" w:hAnsi="Arial Narrow"/>
                <w:sz w:val="20"/>
              </w:rPr>
              <w:t>edian (range)</w:t>
            </w:r>
          </w:p>
        </w:tc>
        <w:tc>
          <w:tcPr>
            <w:tcW w:w="1396" w:type="dxa"/>
          </w:tcPr>
          <w:p w14:paraId="4244A74C" w14:textId="0EBD7F5A"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83.3 (31.3</w:t>
            </w:r>
            <w:r w:rsidR="006F069F">
              <w:rPr>
                <w:rFonts w:ascii="Arial Narrow" w:hAnsi="Arial Narrow"/>
                <w:sz w:val="20"/>
              </w:rPr>
              <w:t>–</w:t>
            </w:r>
            <w:r w:rsidRPr="001B439F">
              <w:rPr>
                <w:rFonts w:ascii="Arial Narrow" w:hAnsi="Arial Narrow"/>
                <w:sz w:val="20"/>
              </w:rPr>
              <w:t>383.4) pg/mL</w:t>
            </w:r>
          </w:p>
        </w:tc>
        <w:tc>
          <w:tcPr>
            <w:tcW w:w="1397" w:type="dxa"/>
          </w:tcPr>
          <w:p w14:paraId="5ED2E2FA" w14:textId="44316B4B"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112.0 (41.8</w:t>
            </w:r>
            <w:r w:rsidR="006F069F">
              <w:rPr>
                <w:rFonts w:ascii="Arial Narrow" w:hAnsi="Arial Narrow"/>
                <w:sz w:val="20"/>
              </w:rPr>
              <w:t>–</w:t>
            </w:r>
            <w:r w:rsidRPr="001B439F">
              <w:rPr>
                <w:rFonts w:ascii="Arial Narrow" w:hAnsi="Arial Narrow"/>
                <w:sz w:val="20"/>
              </w:rPr>
              <w:t>160.4) pg/mL</w:t>
            </w:r>
          </w:p>
        </w:tc>
        <w:tc>
          <w:tcPr>
            <w:tcW w:w="946" w:type="dxa"/>
          </w:tcPr>
          <w:p w14:paraId="5B5A7EE3" w14:textId="77777777"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 xml:space="preserve">0.96 </w:t>
            </w:r>
          </w:p>
        </w:tc>
      </w:tr>
      <w:tr w:rsidR="00A813F1" w:rsidRPr="001B439F" w14:paraId="19A0D546" w14:textId="77777777" w:rsidTr="009C25E2">
        <w:trPr>
          <w:trHeight w:val="838"/>
        </w:trPr>
        <w:tc>
          <w:tcPr>
            <w:tcW w:w="1122" w:type="dxa"/>
          </w:tcPr>
          <w:p w14:paraId="7FEBBF0A" w14:textId="42FF2C77" w:rsidR="00A813F1" w:rsidRPr="001B439F" w:rsidRDefault="00A813F1" w:rsidP="00835BA6">
            <w:pPr>
              <w:spacing w:after="0" w:line="240" w:lineRule="auto"/>
              <w:ind w:right="-57"/>
              <w:rPr>
                <w:rFonts w:ascii="Arial Narrow" w:hAnsi="Arial Narrow"/>
                <w:sz w:val="20"/>
              </w:rPr>
            </w:pPr>
            <w:r w:rsidRPr="00E87235">
              <w:rPr>
                <w:rFonts w:ascii="Arial Narrow" w:hAnsi="Arial Narrow"/>
                <w:sz w:val="20"/>
              </w:rPr>
              <w:t>Ander</w:t>
            </w:r>
            <w:r>
              <w:rPr>
                <w:rFonts w:ascii="Arial Narrow" w:hAnsi="Arial Narrow"/>
                <w:sz w:val="20"/>
              </w:rPr>
              <w:t>son &amp; Cameron.</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6" w:tooltip="Anderson, 2011 #27" w:history="1">
              <w:r w:rsidR="00835BA6">
                <w:rPr>
                  <w:rFonts w:ascii="Arial Narrow" w:hAnsi="Arial Narrow"/>
                  <w:noProof/>
                  <w:sz w:val="20"/>
                </w:rPr>
                <w:t>2011</w:t>
              </w:r>
            </w:hyperlink>
            <w:r>
              <w:rPr>
                <w:rFonts w:ascii="Arial Narrow" w:hAnsi="Arial Narrow"/>
                <w:noProof/>
                <w:sz w:val="20"/>
              </w:rPr>
              <w:t>)</w:t>
            </w:r>
            <w:r>
              <w:rPr>
                <w:rFonts w:ascii="Arial Narrow" w:hAnsi="Arial Narrow"/>
                <w:sz w:val="20"/>
              </w:rPr>
              <w:fldChar w:fldCharType="end"/>
            </w:r>
          </w:p>
        </w:tc>
        <w:tc>
          <w:tcPr>
            <w:tcW w:w="1814" w:type="dxa"/>
          </w:tcPr>
          <w:p w14:paraId="120CEFA7" w14:textId="77777777" w:rsidR="00A813F1" w:rsidRPr="001B439F" w:rsidRDefault="00A813F1" w:rsidP="00762873">
            <w:pPr>
              <w:spacing w:after="0" w:line="240" w:lineRule="auto"/>
              <w:ind w:right="-57"/>
              <w:rPr>
                <w:rFonts w:ascii="Arial Narrow" w:hAnsi="Arial Narrow"/>
                <w:b/>
                <w:sz w:val="20"/>
              </w:rPr>
            </w:pPr>
            <w:r w:rsidRPr="001B439F">
              <w:rPr>
                <w:rFonts w:ascii="Arial Narrow" w:hAnsi="Arial Narrow"/>
                <w:b/>
                <w:sz w:val="20"/>
              </w:rPr>
              <w:t>N=33</w:t>
            </w:r>
          </w:p>
          <w:p w14:paraId="15528774" w14:textId="77777777"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Women with early breast cancer</w:t>
            </w:r>
          </w:p>
        </w:tc>
        <w:tc>
          <w:tcPr>
            <w:tcW w:w="984" w:type="dxa"/>
          </w:tcPr>
          <w:p w14:paraId="1A231FF2" w14:textId="77777777"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5 years</w:t>
            </w:r>
          </w:p>
        </w:tc>
        <w:tc>
          <w:tcPr>
            <w:tcW w:w="1550" w:type="dxa"/>
          </w:tcPr>
          <w:p w14:paraId="508D403C" w14:textId="73B64234"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Mean</w:t>
            </w:r>
            <w:r w:rsidR="00CB05BE" w:rsidRPr="00CB05BE">
              <w:rPr>
                <w:rFonts w:ascii="Arial Narrow" w:hAnsi="Arial Narrow"/>
                <w:sz w:val="20"/>
              </w:rPr>
              <w:t> ± </w:t>
            </w:r>
            <w:r w:rsidRPr="001B439F">
              <w:rPr>
                <w:rFonts w:ascii="Arial Narrow" w:hAnsi="Arial Narrow"/>
                <w:sz w:val="20"/>
              </w:rPr>
              <w:t>SD</w:t>
            </w:r>
          </w:p>
        </w:tc>
        <w:tc>
          <w:tcPr>
            <w:tcW w:w="1396" w:type="dxa"/>
          </w:tcPr>
          <w:p w14:paraId="55E615E9" w14:textId="2C102F5D"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265</w:t>
            </w:r>
            <w:r w:rsidR="00CB05BE" w:rsidRPr="00CB05BE">
              <w:rPr>
                <w:rFonts w:ascii="Arial Narrow" w:hAnsi="Arial Narrow"/>
                <w:sz w:val="20"/>
              </w:rPr>
              <w:t> ± </w:t>
            </w:r>
            <w:r w:rsidRPr="001B439F">
              <w:rPr>
                <w:rFonts w:ascii="Arial Narrow" w:hAnsi="Arial Narrow"/>
                <w:sz w:val="20"/>
              </w:rPr>
              <w:t xml:space="preserve">19 </w:t>
            </w:r>
            <w:r>
              <w:rPr>
                <w:rFonts w:ascii="Arial Narrow" w:hAnsi="Arial Narrow"/>
                <w:sz w:val="20"/>
              </w:rPr>
              <w:t>p</w:t>
            </w:r>
            <w:r w:rsidRPr="001B439F">
              <w:rPr>
                <w:rFonts w:ascii="Arial Narrow" w:hAnsi="Arial Narrow"/>
                <w:sz w:val="20"/>
              </w:rPr>
              <w:t>mol/L</w:t>
            </w:r>
          </w:p>
        </w:tc>
        <w:tc>
          <w:tcPr>
            <w:tcW w:w="1397" w:type="dxa"/>
          </w:tcPr>
          <w:p w14:paraId="76E37CDC" w14:textId="090CA416" w:rsidR="00A813F1" w:rsidRPr="001B439F" w:rsidRDefault="00A813F1" w:rsidP="00762873">
            <w:pPr>
              <w:spacing w:after="0" w:line="240" w:lineRule="auto"/>
              <w:ind w:right="-57"/>
              <w:rPr>
                <w:rFonts w:ascii="Arial Narrow" w:hAnsi="Arial Narrow"/>
                <w:sz w:val="20"/>
              </w:rPr>
            </w:pPr>
            <w:r w:rsidRPr="001B439F">
              <w:rPr>
                <w:rFonts w:ascii="Arial Narrow" w:hAnsi="Arial Narrow"/>
                <w:sz w:val="20"/>
              </w:rPr>
              <w:t>292</w:t>
            </w:r>
            <w:r w:rsidR="00CB05BE" w:rsidRPr="00CB05BE">
              <w:rPr>
                <w:rFonts w:ascii="Arial Narrow" w:hAnsi="Arial Narrow"/>
                <w:sz w:val="20"/>
              </w:rPr>
              <w:t> ± </w:t>
            </w:r>
            <w:r w:rsidRPr="001B439F">
              <w:rPr>
                <w:rFonts w:ascii="Arial Narrow" w:hAnsi="Arial Narrow"/>
                <w:sz w:val="20"/>
              </w:rPr>
              <w:t>31</w:t>
            </w:r>
            <w:r>
              <w:rPr>
                <w:rFonts w:ascii="Arial Narrow" w:hAnsi="Arial Narrow"/>
                <w:sz w:val="20"/>
              </w:rPr>
              <w:t xml:space="preserve"> </w:t>
            </w:r>
            <w:r w:rsidRPr="001B439F">
              <w:rPr>
                <w:rFonts w:ascii="Arial Narrow" w:hAnsi="Arial Narrow"/>
                <w:sz w:val="20"/>
              </w:rPr>
              <w:t>pmol/L</w:t>
            </w:r>
          </w:p>
        </w:tc>
        <w:tc>
          <w:tcPr>
            <w:tcW w:w="946" w:type="dxa"/>
          </w:tcPr>
          <w:p w14:paraId="1039EF5F" w14:textId="3998C1DF" w:rsidR="00A813F1" w:rsidRPr="001B439F" w:rsidRDefault="002C54E5" w:rsidP="00762873">
            <w:pPr>
              <w:spacing w:after="0" w:line="240" w:lineRule="auto"/>
              <w:ind w:right="-57"/>
              <w:rPr>
                <w:rFonts w:ascii="Arial Narrow" w:hAnsi="Arial Narrow"/>
                <w:sz w:val="20"/>
              </w:rPr>
            </w:pPr>
            <w:r>
              <w:rPr>
                <w:rFonts w:ascii="Arial Narrow" w:hAnsi="Arial Narrow"/>
                <w:sz w:val="20"/>
              </w:rPr>
              <w:t>NS</w:t>
            </w:r>
          </w:p>
        </w:tc>
      </w:tr>
    </w:tbl>
    <w:p w14:paraId="79C9ACF9" w14:textId="24D7F13B" w:rsidR="002C54E5" w:rsidRPr="00DD53E7" w:rsidRDefault="002C54E5" w:rsidP="002C54E5">
      <w:pPr>
        <w:spacing w:line="240" w:lineRule="auto"/>
        <w:rPr>
          <w:rFonts w:ascii="Arial Narrow" w:hAnsi="Arial Narrow"/>
          <w:sz w:val="18"/>
          <w:szCs w:val="18"/>
        </w:rPr>
      </w:pPr>
      <w:bookmarkStart w:id="312" w:name="_Ref498012807"/>
      <w:r w:rsidRPr="002C54E5">
        <w:rPr>
          <w:rFonts w:ascii="Arial Narrow" w:hAnsi="Arial Narrow"/>
          <w:sz w:val="18"/>
          <w:szCs w:val="18"/>
        </w:rPr>
        <w:t xml:space="preserve">CRA = chemotherapy-related amenorrhea; </w:t>
      </w:r>
      <w:r>
        <w:rPr>
          <w:rFonts w:ascii="Arial Narrow" w:hAnsi="Arial Narrow"/>
          <w:sz w:val="18"/>
          <w:szCs w:val="18"/>
        </w:rPr>
        <w:t xml:space="preserve">E2 = estradiol; </w:t>
      </w:r>
      <w:r w:rsidRPr="002C54E5">
        <w:rPr>
          <w:rFonts w:ascii="Arial Narrow" w:hAnsi="Arial Narrow"/>
          <w:sz w:val="18"/>
          <w:szCs w:val="18"/>
        </w:rPr>
        <w:t>NS = not significant</w:t>
      </w:r>
      <w:r>
        <w:rPr>
          <w:rFonts w:ascii="Arial Narrow" w:hAnsi="Arial Narrow"/>
          <w:sz w:val="18"/>
          <w:szCs w:val="18"/>
        </w:rPr>
        <w:t>; SD = standard deviation</w:t>
      </w:r>
    </w:p>
    <w:p w14:paraId="2BE25BD7" w14:textId="5C4753D2" w:rsidR="00A813F1" w:rsidRDefault="00A813F1" w:rsidP="00DD53E7">
      <w:pPr>
        <w:pStyle w:val="Caption"/>
        <w:keepNext/>
        <w:ind w:left="993" w:hanging="993"/>
      </w:pPr>
      <w:bookmarkStart w:id="313" w:name="_Toc502833062"/>
      <w:r>
        <w:t xml:space="preserve">Table </w:t>
      </w:r>
      <w:r w:rsidR="00AC4BE5">
        <w:fldChar w:fldCharType="begin"/>
      </w:r>
      <w:r w:rsidR="00AC4BE5">
        <w:instrText xml:space="preserve"> SEQ Table \* ARABIC </w:instrText>
      </w:r>
      <w:r w:rsidR="00AC4BE5">
        <w:fldChar w:fldCharType="separate"/>
      </w:r>
      <w:r w:rsidR="00AC4BE5">
        <w:rPr>
          <w:noProof/>
        </w:rPr>
        <w:t>44</w:t>
      </w:r>
      <w:r w:rsidR="00AC4BE5">
        <w:rPr>
          <w:noProof/>
        </w:rPr>
        <w:fldChar w:fldCharType="end"/>
      </w:r>
      <w:bookmarkEnd w:id="312"/>
      <w:r>
        <w:tab/>
        <w:t xml:space="preserve">Baseline </w:t>
      </w:r>
      <w:r w:rsidR="003C2616">
        <w:t>inhibin B</w:t>
      </w:r>
      <w:r w:rsidRPr="00690EAF">
        <w:t xml:space="preserve"> levels in breast cancer patients </w:t>
      </w:r>
      <w:r>
        <w:t xml:space="preserve">with CRA at follow-up compared with baseline </w:t>
      </w:r>
      <w:r w:rsidR="003C2616">
        <w:t>inhibin B</w:t>
      </w:r>
      <w:r w:rsidRPr="00690EAF">
        <w:t xml:space="preserve"> levels in patients without CRA</w:t>
      </w:r>
      <w:bookmarkEnd w:id="313"/>
    </w:p>
    <w:tbl>
      <w:tblPr>
        <w:tblStyle w:val="TableGrid6"/>
        <w:tblW w:w="9209" w:type="dxa"/>
        <w:tblLook w:val="04A0" w:firstRow="1" w:lastRow="0" w:firstColumn="1" w:lastColumn="0" w:noHBand="0" w:noVBand="1"/>
        <w:tblCaption w:val="Baseline Inhibin B levels in breast cancer patients with CRA at follow-up compared with baseline Inhibin B levels in patients without CRA"/>
        <w:tblDescription w:val="Baseline Inhibin B levels in breast cancer patients with CRA at follow-up compared with baseline Inhibin B levels in patients without CRA"/>
      </w:tblPr>
      <w:tblGrid>
        <w:gridCol w:w="1340"/>
        <w:gridCol w:w="2117"/>
        <w:gridCol w:w="956"/>
        <w:gridCol w:w="1283"/>
        <w:gridCol w:w="1331"/>
        <w:gridCol w:w="1332"/>
        <w:gridCol w:w="850"/>
      </w:tblGrid>
      <w:tr w:rsidR="00A813F1" w:rsidRPr="00BC084A" w14:paraId="3D801D50" w14:textId="77777777" w:rsidTr="009C25E2">
        <w:trPr>
          <w:trHeight w:val="782"/>
          <w:tblHeader/>
        </w:trPr>
        <w:tc>
          <w:tcPr>
            <w:tcW w:w="1340" w:type="dxa"/>
          </w:tcPr>
          <w:p w14:paraId="25EA2405" w14:textId="77777777" w:rsidR="00A813F1" w:rsidRPr="00BC084A" w:rsidRDefault="00A813F1" w:rsidP="00762873">
            <w:pPr>
              <w:spacing w:after="0" w:line="240" w:lineRule="auto"/>
              <w:ind w:right="-57"/>
              <w:rPr>
                <w:rFonts w:ascii="Arial Narrow" w:hAnsi="Arial Narrow"/>
                <w:b/>
                <w:sz w:val="20"/>
              </w:rPr>
            </w:pPr>
            <w:r w:rsidRPr="00BC084A">
              <w:rPr>
                <w:rFonts w:ascii="Arial Narrow" w:hAnsi="Arial Narrow"/>
                <w:b/>
                <w:sz w:val="20"/>
              </w:rPr>
              <w:t>Study</w:t>
            </w:r>
          </w:p>
        </w:tc>
        <w:tc>
          <w:tcPr>
            <w:tcW w:w="2117" w:type="dxa"/>
          </w:tcPr>
          <w:p w14:paraId="22749049" w14:textId="77777777" w:rsidR="00A813F1" w:rsidRPr="00BC084A" w:rsidRDefault="00A813F1" w:rsidP="00762873">
            <w:pPr>
              <w:spacing w:after="0" w:line="240" w:lineRule="auto"/>
              <w:ind w:right="-57"/>
              <w:rPr>
                <w:rFonts w:ascii="Arial Narrow" w:hAnsi="Arial Narrow"/>
                <w:b/>
                <w:sz w:val="20"/>
              </w:rPr>
            </w:pPr>
            <w:r w:rsidRPr="00BC084A">
              <w:rPr>
                <w:rFonts w:ascii="Arial Narrow" w:hAnsi="Arial Narrow"/>
                <w:b/>
                <w:sz w:val="20"/>
              </w:rPr>
              <w:t>Population</w:t>
            </w:r>
          </w:p>
        </w:tc>
        <w:tc>
          <w:tcPr>
            <w:tcW w:w="956" w:type="dxa"/>
          </w:tcPr>
          <w:p w14:paraId="6CD00A65" w14:textId="77777777" w:rsidR="00A813F1" w:rsidRPr="00BC084A" w:rsidRDefault="00A813F1" w:rsidP="00762873">
            <w:pPr>
              <w:spacing w:after="0" w:line="240" w:lineRule="auto"/>
              <w:ind w:right="-57"/>
              <w:rPr>
                <w:rFonts w:ascii="Arial Narrow" w:hAnsi="Arial Narrow"/>
                <w:b/>
                <w:sz w:val="20"/>
              </w:rPr>
            </w:pPr>
            <w:r w:rsidRPr="00BC084A">
              <w:rPr>
                <w:rFonts w:ascii="Arial Narrow" w:hAnsi="Arial Narrow"/>
                <w:b/>
                <w:sz w:val="20"/>
              </w:rPr>
              <w:t>Follow-up</w:t>
            </w:r>
          </w:p>
        </w:tc>
        <w:tc>
          <w:tcPr>
            <w:tcW w:w="1283" w:type="dxa"/>
          </w:tcPr>
          <w:p w14:paraId="042BC8A5" w14:textId="0DF13B02" w:rsidR="00A813F1" w:rsidRPr="00BC084A" w:rsidRDefault="00A813F1" w:rsidP="00762873">
            <w:pPr>
              <w:spacing w:after="0" w:line="240" w:lineRule="auto"/>
              <w:ind w:right="-57"/>
              <w:rPr>
                <w:rFonts w:ascii="Arial Narrow" w:hAnsi="Arial Narrow"/>
                <w:b/>
                <w:sz w:val="20"/>
              </w:rPr>
            </w:pPr>
            <w:r>
              <w:rPr>
                <w:rFonts w:ascii="Arial Narrow" w:hAnsi="Arial Narrow"/>
                <w:b/>
                <w:sz w:val="20"/>
              </w:rPr>
              <w:t xml:space="preserve">Baseline </w:t>
            </w:r>
            <w:r w:rsidR="003C2616">
              <w:rPr>
                <w:rFonts w:ascii="Arial Narrow" w:hAnsi="Arial Narrow"/>
                <w:b/>
                <w:sz w:val="20"/>
              </w:rPr>
              <w:t>inhibin B</w:t>
            </w:r>
            <w:r w:rsidRPr="00BC084A">
              <w:rPr>
                <w:rFonts w:ascii="Arial Narrow" w:hAnsi="Arial Narrow"/>
                <w:b/>
                <w:sz w:val="20"/>
              </w:rPr>
              <w:t xml:space="preserve"> measurement</w:t>
            </w:r>
          </w:p>
        </w:tc>
        <w:tc>
          <w:tcPr>
            <w:tcW w:w="1331" w:type="dxa"/>
          </w:tcPr>
          <w:p w14:paraId="1EBD1079" w14:textId="77777777" w:rsidR="00A813F1" w:rsidRDefault="00A813F1" w:rsidP="00762873">
            <w:pPr>
              <w:spacing w:after="0" w:line="240" w:lineRule="auto"/>
              <w:ind w:right="-57"/>
              <w:rPr>
                <w:rFonts w:ascii="Arial Narrow" w:hAnsi="Arial Narrow"/>
                <w:b/>
                <w:sz w:val="20"/>
              </w:rPr>
            </w:pPr>
            <w:r w:rsidRPr="00BC084A">
              <w:rPr>
                <w:rFonts w:ascii="Arial Narrow" w:hAnsi="Arial Narrow"/>
                <w:b/>
                <w:sz w:val="20"/>
              </w:rPr>
              <w:t>CRA</w:t>
            </w:r>
          </w:p>
          <w:p w14:paraId="562DC414" w14:textId="61FEFC2D" w:rsidR="00A813F1" w:rsidRPr="00BC084A" w:rsidRDefault="00A813F1" w:rsidP="00762873">
            <w:pPr>
              <w:spacing w:after="0" w:line="240" w:lineRule="auto"/>
              <w:ind w:right="-57"/>
              <w:rPr>
                <w:rFonts w:ascii="Arial Narrow" w:hAnsi="Arial Narrow"/>
                <w:b/>
                <w:sz w:val="20"/>
              </w:rPr>
            </w:pPr>
            <w:r>
              <w:rPr>
                <w:rFonts w:ascii="Arial Narrow" w:hAnsi="Arial Narrow"/>
                <w:b/>
                <w:sz w:val="20"/>
              </w:rPr>
              <w:t>(</w:t>
            </w:r>
            <w:r w:rsidR="003C2616">
              <w:rPr>
                <w:rFonts w:ascii="Arial Narrow" w:hAnsi="Arial Narrow"/>
                <w:b/>
                <w:sz w:val="20"/>
              </w:rPr>
              <w:t>inhibin B</w:t>
            </w:r>
            <w:r>
              <w:rPr>
                <w:rFonts w:ascii="Arial Narrow" w:hAnsi="Arial Narrow"/>
                <w:b/>
                <w:sz w:val="20"/>
              </w:rPr>
              <w:t xml:space="preserve"> in pg/mL)</w:t>
            </w:r>
          </w:p>
        </w:tc>
        <w:tc>
          <w:tcPr>
            <w:tcW w:w="1332" w:type="dxa"/>
          </w:tcPr>
          <w:p w14:paraId="34C8101A" w14:textId="77777777" w:rsidR="00A813F1" w:rsidRDefault="00A813F1" w:rsidP="00762873">
            <w:pPr>
              <w:spacing w:after="0" w:line="240" w:lineRule="auto"/>
              <w:ind w:right="-57"/>
              <w:rPr>
                <w:rFonts w:ascii="Arial Narrow" w:hAnsi="Arial Narrow"/>
                <w:b/>
                <w:sz w:val="20"/>
              </w:rPr>
            </w:pPr>
            <w:r w:rsidRPr="00BC084A">
              <w:rPr>
                <w:rFonts w:ascii="Arial Narrow" w:hAnsi="Arial Narrow"/>
                <w:b/>
                <w:sz w:val="20"/>
              </w:rPr>
              <w:t>No CRA</w:t>
            </w:r>
          </w:p>
          <w:p w14:paraId="7A1E914E" w14:textId="13657D5B" w:rsidR="00A813F1" w:rsidRPr="00BC084A" w:rsidRDefault="00A813F1" w:rsidP="00762873">
            <w:pPr>
              <w:spacing w:after="0" w:line="240" w:lineRule="auto"/>
              <w:ind w:right="-57"/>
              <w:rPr>
                <w:rFonts w:ascii="Arial Narrow" w:hAnsi="Arial Narrow"/>
                <w:b/>
                <w:sz w:val="20"/>
              </w:rPr>
            </w:pPr>
            <w:r>
              <w:rPr>
                <w:rFonts w:ascii="Arial Narrow" w:hAnsi="Arial Narrow"/>
                <w:b/>
                <w:sz w:val="20"/>
              </w:rPr>
              <w:t>(</w:t>
            </w:r>
            <w:r w:rsidR="003C2616">
              <w:rPr>
                <w:rFonts w:ascii="Arial Narrow" w:hAnsi="Arial Narrow"/>
                <w:b/>
                <w:sz w:val="20"/>
              </w:rPr>
              <w:t>inhibin B</w:t>
            </w:r>
            <w:r>
              <w:rPr>
                <w:rFonts w:ascii="Arial Narrow" w:hAnsi="Arial Narrow"/>
                <w:b/>
                <w:sz w:val="20"/>
              </w:rPr>
              <w:t xml:space="preserve"> in pg/mL)</w:t>
            </w:r>
          </w:p>
        </w:tc>
        <w:tc>
          <w:tcPr>
            <w:tcW w:w="850" w:type="dxa"/>
          </w:tcPr>
          <w:p w14:paraId="01B951B4" w14:textId="2DED6732" w:rsidR="00A813F1" w:rsidRPr="00BC084A" w:rsidRDefault="006F069F" w:rsidP="00762873">
            <w:pPr>
              <w:spacing w:after="0" w:line="240" w:lineRule="auto"/>
              <w:ind w:right="-57"/>
              <w:rPr>
                <w:rFonts w:ascii="Arial Narrow" w:hAnsi="Arial Narrow"/>
                <w:b/>
                <w:sz w:val="20"/>
              </w:rPr>
            </w:pPr>
            <w:r>
              <w:rPr>
                <w:rFonts w:ascii="Arial Narrow" w:hAnsi="Arial Narrow"/>
                <w:b/>
                <w:sz w:val="20"/>
              </w:rPr>
              <w:t>p-value</w:t>
            </w:r>
          </w:p>
        </w:tc>
      </w:tr>
      <w:tr w:rsidR="00A813F1" w:rsidRPr="00BC084A" w14:paraId="2EC71262" w14:textId="77777777" w:rsidTr="009C25E2">
        <w:trPr>
          <w:trHeight w:val="992"/>
        </w:trPr>
        <w:tc>
          <w:tcPr>
            <w:tcW w:w="1340" w:type="dxa"/>
          </w:tcPr>
          <w:p w14:paraId="76F1655F" w14:textId="33E97B47" w:rsidR="00A813F1" w:rsidRPr="00BC084A" w:rsidRDefault="00A813F1" w:rsidP="00835BA6">
            <w:pPr>
              <w:spacing w:after="0" w:line="240" w:lineRule="auto"/>
              <w:ind w:right="-57"/>
              <w:rPr>
                <w:rFonts w:ascii="Arial Narrow" w:hAnsi="Arial Narrow"/>
                <w:sz w:val="20"/>
              </w:rPr>
            </w:pPr>
            <w:r>
              <w:rPr>
                <w:rFonts w:ascii="Arial Narrow" w:hAnsi="Arial Narrow"/>
                <w:sz w:val="20"/>
              </w:rPr>
              <w:t xml:space="preserve">Anders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ExcludeAuth="1"&gt;&lt;Author&gt;Anders&lt;/Author&gt;&lt;Year&gt;2008&lt;/Year&gt;&lt;RecNum&gt;25&lt;/RecNum&gt;&lt;IDText&gt;286-295&lt;/IDText&gt;&lt;DisplayText&gt;(2008)&lt;/DisplayText&gt;&lt;record&gt;&lt;rec-number&gt;25&lt;/rec-number&gt;&lt;foreign-keys&gt;&lt;key app="EN" db-id="s2dftfxw1fvsr1efx58vfvxtvfwzxea0td02" timestamp="1511748062"&gt;25&lt;/key&gt;&lt;/foreign-keys&gt;&lt;ref-type name="Journal Article"&gt;17&lt;/ref-type&gt;&lt;contributors&gt;&lt;authors&gt;&lt;author&gt;Anders, C.&lt;/author&gt;&lt;author&gt;Marcom, P. K.&lt;/author&gt;&lt;author&gt;Peterson, B.&lt;/author&gt;&lt;author&gt;Gu, L.&lt;/author&gt;&lt;author&gt;Unruhe, S.&lt;/author&gt;&lt;author&gt;Welch, R.&lt;/author&gt;&lt;author&gt;Lyons, P.&lt;/author&gt;&lt;author&gt;Kimmick, G.&lt;/author&gt;&lt;author&gt;Shaw, H.&lt;/author&gt;&lt;author&gt;Snyder, S.&lt;/author&gt;&lt;author&gt;Antenos, M.&lt;/author&gt;&lt;author&gt;Woodruff, T.&lt;/author&gt;&lt;author&gt;Blackwell, K.&lt;/author&gt;&lt;/authors&gt;&lt;/contributors&gt;&lt;titles&gt;&lt;title&gt;A pilot study of predictive markers of chemotherapy-related amenorrhea among premenopausal women with early stage breast cancer&lt;/title&gt;&lt;secondary-title&gt;Cancer Investigation&lt;/secondary-title&gt;&lt;/titles&gt;&lt;periodical&gt;&lt;full-title&gt;Cancer Investigation&lt;/full-title&gt;&lt;/periodical&gt;&lt;pages&gt;286-295&lt;/pages&gt;&lt;volume&gt;26&lt;/volume&gt;&lt;number&gt;3&lt;/number&gt;&lt;keywords&gt;&lt;keyword&gt;Follicle Stimulating Hormone&lt;/keyword&gt;&lt;keyword&gt;Estradiol&lt;/keyword&gt;&lt;keyword&gt;Premenopause&lt;/keyword&gt;&lt;keyword&gt;Amenorrhea&lt;/keyword&gt;&lt;keyword&gt;Breast Neoplasms&lt;/keyword&gt;&lt;keyword&gt;Pilot Projects&lt;/keyword&gt;&lt;/keywords&gt;&lt;dates&gt;&lt;year&gt;2008&lt;/year&gt;&lt;pub-dates&gt;&lt;date&gt;2008-1-1&lt;/date&gt;&lt;/pub-dates&gt;&lt;/dates&gt;&lt;isbn&gt;0735-7907 1532-4192&lt;/isbn&gt;&lt;accession-num&gt;rayyan-6671976&lt;/accession-num&gt;&lt;urls&gt;&lt;related-urls&gt;&lt;url&gt;http://www.embase.com/search/results?subaction=viewrecord&amp;amp;from=export&amp;amp;id=L351329008 http://dx.doi.org/10.1080/07357900701829777&lt;/url&gt;&lt;url&gt;http://www.tandfonline.com/doi/pdf/10.1080/07357900701829777?needAccess=true&lt;/url&gt;&lt;/related-urls&gt;&lt;/urls&gt;&lt;custom1&gt;adriamycin herceptin(Genentech) taxotere(Sanofi Aventis) 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5" w:tooltip="Anders, 2008 #25" w:history="1">
              <w:r w:rsidR="00835BA6">
                <w:rPr>
                  <w:rFonts w:ascii="Arial Narrow" w:hAnsi="Arial Narrow"/>
                  <w:noProof/>
                  <w:sz w:val="20"/>
                </w:rPr>
                <w:t>2008</w:t>
              </w:r>
            </w:hyperlink>
            <w:r>
              <w:rPr>
                <w:rFonts w:ascii="Arial Narrow" w:hAnsi="Arial Narrow"/>
                <w:noProof/>
                <w:sz w:val="20"/>
              </w:rPr>
              <w:t>)</w:t>
            </w:r>
            <w:r>
              <w:rPr>
                <w:rFonts w:ascii="Arial Narrow" w:hAnsi="Arial Narrow"/>
                <w:sz w:val="20"/>
              </w:rPr>
              <w:fldChar w:fldCharType="end"/>
            </w:r>
          </w:p>
        </w:tc>
        <w:tc>
          <w:tcPr>
            <w:tcW w:w="2117" w:type="dxa"/>
          </w:tcPr>
          <w:p w14:paraId="73060EB5" w14:textId="372F3C20" w:rsidR="00A813F1" w:rsidRPr="006F069F" w:rsidRDefault="006F069F" w:rsidP="00762873">
            <w:pPr>
              <w:spacing w:after="0" w:line="240" w:lineRule="auto"/>
              <w:ind w:right="-57"/>
              <w:rPr>
                <w:rFonts w:ascii="Arial Narrow" w:hAnsi="Arial Narrow"/>
                <w:b/>
                <w:sz w:val="20"/>
              </w:rPr>
            </w:pPr>
            <w:r>
              <w:rPr>
                <w:rFonts w:ascii="Arial Narrow" w:hAnsi="Arial Narrow"/>
                <w:b/>
                <w:sz w:val="20"/>
              </w:rPr>
              <w:t xml:space="preserve">N=21 </w:t>
            </w:r>
            <w:r>
              <w:rPr>
                <w:rFonts w:ascii="Arial Narrow" w:hAnsi="Arial Narrow"/>
                <w:sz w:val="20"/>
              </w:rPr>
              <w:t>w</w:t>
            </w:r>
            <w:r w:rsidR="00A813F1" w:rsidRPr="00BC084A">
              <w:rPr>
                <w:rFonts w:ascii="Arial Narrow" w:hAnsi="Arial Narrow"/>
                <w:sz w:val="20"/>
              </w:rPr>
              <w:t>omen with early breast cancer (18-55 years)</w:t>
            </w:r>
          </w:p>
        </w:tc>
        <w:tc>
          <w:tcPr>
            <w:tcW w:w="956" w:type="dxa"/>
          </w:tcPr>
          <w:p w14:paraId="4A6F2E17" w14:textId="77777777"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12 months</w:t>
            </w:r>
          </w:p>
        </w:tc>
        <w:tc>
          <w:tcPr>
            <w:tcW w:w="1283" w:type="dxa"/>
          </w:tcPr>
          <w:p w14:paraId="2647F768" w14:textId="77777777" w:rsidR="00A813F1" w:rsidRPr="00BC084A" w:rsidRDefault="00A813F1" w:rsidP="00762873">
            <w:pPr>
              <w:spacing w:after="0" w:line="240" w:lineRule="auto"/>
              <w:ind w:right="-57"/>
              <w:rPr>
                <w:rFonts w:ascii="Arial Narrow" w:hAnsi="Arial Narrow"/>
                <w:sz w:val="20"/>
              </w:rPr>
            </w:pPr>
            <w:r>
              <w:rPr>
                <w:rFonts w:ascii="Arial Narrow" w:hAnsi="Arial Narrow"/>
                <w:sz w:val="20"/>
              </w:rPr>
              <w:t>M</w:t>
            </w:r>
            <w:r w:rsidRPr="00BC084A">
              <w:rPr>
                <w:rFonts w:ascii="Arial Narrow" w:hAnsi="Arial Narrow"/>
                <w:sz w:val="20"/>
              </w:rPr>
              <w:t>edian (range)</w:t>
            </w:r>
          </w:p>
        </w:tc>
        <w:tc>
          <w:tcPr>
            <w:tcW w:w="1331" w:type="dxa"/>
          </w:tcPr>
          <w:p w14:paraId="31EB1C76" w14:textId="7E83FA33" w:rsidR="00A813F1" w:rsidRPr="00BC084A" w:rsidRDefault="00E927FC" w:rsidP="00762873">
            <w:pPr>
              <w:spacing w:after="0" w:line="240" w:lineRule="auto"/>
              <w:ind w:right="-57"/>
              <w:rPr>
                <w:rFonts w:ascii="Arial Narrow" w:hAnsi="Arial Narrow"/>
                <w:sz w:val="20"/>
              </w:rPr>
            </w:pPr>
            <w:r>
              <w:rPr>
                <w:rFonts w:ascii="Arial Narrow" w:hAnsi="Arial Narrow"/>
                <w:sz w:val="20"/>
              </w:rPr>
              <w:t>33.2 (0–</w:t>
            </w:r>
            <w:r w:rsidR="00A813F1" w:rsidRPr="00BC084A">
              <w:rPr>
                <w:rFonts w:ascii="Arial Narrow" w:hAnsi="Arial Narrow"/>
                <w:sz w:val="20"/>
              </w:rPr>
              <w:t>187.6)</w:t>
            </w:r>
          </w:p>
        </w:tc>
        <w:tc>
          <w:tcPr>
            <w:tcW w:w="1332" w:type="dxa"/>
          </w:tcPr>
          <w:p w14:paraId="23AF9FE1" w14:textId="142BE218" w:rsidR="00A813F1" w:rsidRPr="00BC084A" w:rsidRDefault="00E927FC" w:rsidP="00762873">
            <w:pPr>
              <w:spacing w:after="0" w:line="240" w:lineRule="auto"/>
              <w:ind w:right="-57"/>
              <w:rPr>
                <w:rFonts w:ascii="Arial Narrow" w:hAnsi="Arial Narrow"/>
                <w:sz w:val="20"/>
              </w:rPr>
            </w:pPr>
            <w:r>
              <w:rPr>
                <w:rFonts w:ascii="Arial Narrow" w:hAnsi="Arial Narrow"/>
                <w:sz w:val="20"/>
              </w:rPr>
              <w:t>108.8 (28.6–</w:t>
            </w:r>
            <w:r w:rsidR="00A813F1" w:rsidRPr="00BC084A">
              <w:rPr>
                <w:rFonts w:ascii="Arial Narrow" w:hAnsi="Arial Narrow"/>
                <w:sz w:val="20"/>
              </w:rPr>
              <w:t>425.2)</w:t>
            </w:r>
          </w:p>
        </w:tc>
        <w:tc>
          <w:tcPr>
            <w:tcW w:w="850" w:type="dxa"/>
          </w:tcPr>
          <w:p w14:paraId="23953961" w14:textId="77777777"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0.03</w:t>
            </w:r>
          </w:p>
        </w:tc>
      </w:tr>
      <w:tr w:rsidR="00A813F1" w:rsidRPr="00BC084A" w14:paraId="223C4250" w14:textId="77777777" w:rsidTr="009C25E2">
        <w:trPr>
          <w:trHeight w:val="978"/>
        </w:trPr>
        <w:tc>
          <w:tcPr>
            <w:tcW w:w="1340" w:type="dxa"/>
          </w:tcPr>
          <w:p w14:paraId="261912C5" w14:textId="772CABF0" w:rsidR="00A813F1" w:rsidRPr="00BC084A" w:rsidRDefault="00A813F1" w:rsidP="00835BA6">
            <w:pPr>
              <w:spacing w:after="0" w:line="240" w:lineRule="auto"/>
              <w:ind w:right="-57"/>
              <w:rPr>
                <w:rFonts w:ascii="Arial Narrow" w:hAnsi="Arial Narrow"/>
                <w:sz w:val="20"/>
              </w:rPr>
            </w:pPr>
            <w:r w:rsidRPr="00E87235">
              <w:rPr>
                <w:rFonts w:ascii="Arial Narrow" w:hAnsi="Arial Narrow"/>
                <w:sz w:val="20"/>
              </w:rPr>
              <w:t>Ander</w:t>
            </w:r>
            <w:r>
              <w:rPr>
                <w:rFonts w:ascii="Arial Narrow" w:hAnsi="Arial Narrow"/>
                <w:sz w:val="20"/>
              </w:rPr>
              <w:t>son &amp; Cameron.</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6" w:tooltip="Anderson, 2011 #27" w:history="1">
              <w:r w:rsidR="00835BA6">
                <w:rPr>
                  <w:rFonts w:ascii="Arial Narrow" w:hAnsi="Arial Narrow"/>
                  <w:noProof/>
                  <w:sz w:val="20"/>
                </w:rPr>
                <w:t>2011</w:t>
              </w:r>
            </w:hyperlink>
            <w:r>
              <w:rPr>
                <w:rFonts w:ascii="Arial Narrow" w:hAnsi="Arial Narrow"/>
                <w:noProof/>
                <w:sz w:val="20"/>
              </w:rPr>
              <w:t>)</w:t>
            </w:r>
            <w:r>
              <w:rPr>
                <w:rFonts w:ascii="Arial Narrow" w:hAnsi="Arial Narrow"/>
                <w:sz w:val="20"/>
              </w:rPr>
              <w:fldChar w:fldCharType="end"/>
            </w:r>
          </w:p>
        </w:tc>
        <w:tc>
          <w:tcPr>
            <w:tcW w:w="2117" w:type="dxa"/>
          </w:tcPr>
          <w:p w14:paraId="18B48495" w14:textId="2EF56D0C" w:rsidR="00A813F1" w:rsidRPr="006F069F" w:rsidRDefault="006F069F" w:rsidP="00762873">
            <w:pPr>
              <w:spacing w:after="0" w:line="240" w:lineRule="auto"/>
              <w:ind w:right="-57"/>
              <w:rPr>
                <w:rFonts w:ascii="Arial Narrow" w:hAnsi="Arial Narrow"/>
                <w:b/>
                <w:sz w:val="20"/>
              </w:rPr>
            </w:pPr>
            <w:r>
              <w:rPr>
                <w:rFonts w:ascii="Arial Narrow" w:hAnsi="Arial Narrow"/>
                <w:b/>
                <w:sz w:val="20"/>
              </w:rPr>
              <w:t xml:space="preserve">N=33 </w:t>
            </w:r>
            <w:r>
              <w:rPr>
                <w:rFonts w:ascii="Arial Narrow" w:hAnsi="Arial Narrow"/>
                <w:sz w:val="20"/>
              </w:rPr>
              <w:t>w</w:t>
            </w:r>
            <w:r w:rsidR="00A813F1" w:rsidRPr="00BC084A">
              <w:rPr>
                <w:rFonts w:ascii="Arial Narrow" w:hAnsi="Arial Narrow"/>
                <w:sz w:val="20"/>
              </w:rPr>
              <w:t>omen with early breast cancer</w:t>
            </w:r>
          </w:p>
        </w:tc>
        <w:tc>
          <w:tcPr>
            <w:tcW w:w="956" w:type="dxa"/>
          </w:tcPr>
          <w:p w14:paraId="604F12FB" w14:textId="77777777"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5 years</w:t>
            </w:r>
          </w:p>
        </w:tc>
        <w:tc>
          <w:tcPr>
            <w:tcW w:w="1283" w:type="dxa"/>
          </w:tcPr>
          <w:p w14:paraId="549812A1" w14:textId="1CE5C777"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Mean</w:t>
            </w:r>
            <w:r w:rsidR="00CB05BE" w:rsidRPr="00CB05BE">
              <w:rPr>
                <w:rFonts w:ascii="Arial Narrow" w:hAnsi="Arial Narrow"/>
                <w:sz w:val="20"/>
              </w:rPr>
              <w:t> ± </w:t>
            </w:r>
            <w:r w:rsidRPr="00BC084A">
              <w:rPr>
                <w:rFonts w:ascii="Arial Narrow" w:hAnsi="Arial Narrow"/>
                <w:sz w:val="20"/>
              </w:rPr>
              <w:t>SD</w:t>
            </w:r>
          </w:p>
        </w:tc>
        <w:tc>
          <w:tcPr>
            <w:tcW w:w="1331" w:type="dxa"/>
          </w:tcPr>
          <w:p w14:paraId="690F9675" w14:textId="4CCBE104"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51.8</w:t>
            </w:r>
            <w:r w:rsidR="00CB05BE" w:rsidRPr="00CB05BE">
              <w:rPr>
                <w:rFonts w:ascii="Arial Narrow" w:hAnsi="Arial Narrow"/>
                <w:sz w:val="20"/>
              </w:rPr>
              <w:t> ± </w:t>
            </w:r>
            <w:r w:rsidRPr="00BC084A">
              <w:rPr>
                <w:rFonts w:ascii="Arial Narrow" w:hAnsi="Arial Narrow"/>
                <w:sz w:val="20"/>
              </w:rPr>
              <w:t xml:space="preserve">7.9 </w:t>
            </w:r>
          </w:p>
        </w:tc>
        <w:tc>
          <w:tcPr>
            <w:tcW w:w="1332" w:type="dxa"/>
          </w:tcPr>
          <w:p w14:paraId="160BFCE5" w14:textId="215F7AD7"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68.9</w:t>
            </w:r>
            <w:r w:rsidR="00CB05BE" w:rsidRPr="00CB05BE">
              <w:rPr>
                <w:rFonts w:ascii="Arial Narrow" w:hAnsi="Arial Narrow"/>
                <w:sz w:val="20"/>
              </w:rPr>
              <w:t> ± </w:t>
            </w:r>
            <w:r w:rsidRPr="00BC084A">
              <w:rPr>
                <w:rFonts w:ascii="Arial Narrow" w:hAnsi="Arial Narrow"/>
                <w:sz w:val="20"/>
              </w:rPr>
              <w:t xml:space="preserve">11.6 </w:t>
            </w:r>
          </w:p>
        </w:tc>
        <w:tc>
          <w:tcPr>
            <w:tcW w:w="850" w:type="dxa"/>
          </w:tcPr>
          <w:p w14:paraId="64F1905E" w14:textId="77777777"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NS</w:t>
            </w:r>
          </w:p>
        </w:tc>
      </w:tr>
      <w:tr w:rsidR="00A813F1" w:rsidRPr="00BC084A" w14:paraId="069BCAFF" w14:textId="77777777" w:rsidTr="009C25E2">
        <w:trPr>
          <w:trHeight w:val="984"/>
        </w:trPr>
        <w:tc>
          <w:tcPr>
            <w:tcW w:w="1340" w:type="dxa"/>
          </w:tcPr>
          <w:p w14:paraId="7CC8BA92" w14:textId="165203AF" w:rsidR="00A813F1" w:rsidRPr="00BC084A" w:rsidRDefault="00A813F1" w:rsidP="00835BA6">
            <w:pPr>
              <w:spacing w:after="0" w:line="240" w:lineRule="auto"/>
              <w:rPr>
                <w:rFonts w:ascii="Arial Narrow" w:hAnsi="Arial Narrow"/>
                <w:sz w:val="20"/>
              </w:rPr>
            </w:pPr>
            <w:r>
              <w:rPr>
                <w:rFonts w:ascii="Arial Narrow" w:hAnsi="Arial Narrow"/>
                <w:sz w:val="20"/>
              </w:rPr>
              <w:t>Anderson et al.</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7" w:tooltip="Anderson, 2013 #28" w:history="1">
              <w:r w:rsidR="00835BA6">
                <w:rPr>
                  <w:rFonts w:ascii="Arial Narrow" w:hAnsi="Arial Narrow"/>
                  <w:noProof/>
                  <w:sz w:val="20"/>
                </w:rPr>
                <w:t>2013</w:t>
              </w:r>
            </w:hyperlink>
            <w:r>
              <w:rPr>
                <w:rFonts w:ascii="Arial Narrow" w:hAnsi="Arial Narrow"/>
                <w:noProof/>
                <w:sz w:val="20"/>
              </w:rPr>
              <w:t>)</w:t>
            </w:r>
            <w:r>
              <w:rPr>
                <w:rFonts w:ascii="Arial Narrow" w:hAnsi="Arial Narrow"/>
                <w:sz w:val="20"/>
              </w:rPr>
              <w:fldChar w:fldCharType="end"/>
            </w:r>
          </w:p>
        </w:tc>
        <w:tc>
          <w:tcPr>
            <w:tcW w:w="2117" w:type="dxa"/>
          </w:tcPr>
          <w:p w14:paraId="3BAA6621" w14:textId="39100521" w:rsidR="00A813F1" w:rsidRPr="00BC084A" w:rsidRDefault="00A813F1" w:rsidP="00762873">
            <w:pPr>
              <w:spacing w:after="0" w:line="240" w:lineRule="auto"/>
              <w:ind w:right="-57"/>
              <w:rPr>
                <w:rFonts w:ascii="Arial Narrow" w:hAnsi="Arial Narrow"/>
                <w:sz w:val="20"/>
              </w:rPr>
            </w:pPr>
            <w:r w:rsidRPr="00BC084A">
              <w:rPr>
                <w:rFonts w:ascii="Arial Narrow" w:hAnsi="Arial Narrow"/>
                <w:b/>
                <w:sz w:val="20"/>
              </w:rPr>
              <w:t>N=55</w:t>
            </w:r>
            <w:r w:rsidR="006F069F">
              <w:rPr>
                <w:rFonts w:ascii="Arial Narrow" w:hAnsi="Arial Narrow"/>
                <w:sz w:val="20"/>
              </w:rPr>
              <w:t xml:space="preserve"> at 1-</w:t>
            </w:r>
            <w:r w:rsidRPr="00BC084A">
              <w:rPr>
                <w:rFonts w:ascii="Arial Narrow" w:hAnsi="Arial Narrow"/>
                <w:sz w:val="20"/>
              </w:rPr>
              <w:t xml:space="preserve">year, </w:t>
            </w:r>
            <w:r w:rsidRPr="00BC084A">
              <w:rPr>
                <w:rFonts w:ascii="Arial Narrow" w:hAnsi="Arial Narrow"/>
                <w:b/>
                <w:sz w:val="20"/>
              </w:rPr>
              <w:t>N=46</w:t>
            </w:r>
            <w:r w:rsidR="006F069F">
              <w:rPr>
                <w:rFonts w:ascii="Arial Narrow" w:hAnsi="Arial Narrow"/>
                <w:sz w:val="20"/>
              </w:rPr>
              <w:t xml:space="preserve"> at 2-</w:t>
            </w:r>
            <w:r w:rsidRPr="00BC084A">
              <w:rPr>
                <w:rFonts w:ascii="Arial Narrow" w:hAnsi="Arial Narrow"/>
                <w:sz w:val="20"/>
              </w:rPr>
              <w:t>year follow-up</w:t>
            </w:r>
          </w:p>
          <w:p w14:paraId="131CD9D5" w14:textId="253A19E6"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Pre</w:t>
            </w:r>
            <w:r w:rsidR="003036C4">
              <w:rPr>
                <w:rFonts w:ascii="Arial Narrow" w:hAnsi="Arial Narrow"/>
                <w:sz w:val="20"/>
              </w:rPr>
              <w:t>-menopausal</w:t>
            </w:r>
            <w:r w:rsidRPr="00BC084A">
              <w:rPr>
                <w:rFonts w:ascii="Arial Narrow" w:hAnsi="Arial Narrow"/>
                <w:sz w:val="20"/>
              </w:rPr>
              <w:t xml:space="preserve"> women with early breast cancer</w:t>
            </w:r>
          </w:p>
        </w:tc>
        <w:tc>
          <w:tcPr>
            <w:tcW w:w="956" w:type="dxa"/>
          </w:tcPr>
          <w:p w14:paraId="72A20438" w14:textId="77777777" w:rsidR="007518CF" w:rsidRDefault="00A813F1" w:rsidP="00762873">
            <w:pPr>
              <w:spacing w:after="0" w:line="240" w:lineRule="auto"/>
              <w:ind w:right="-57"/>
              <w:rPr>
                <w:rFonts w:ascii="Arial Narrow" w:hAnsi="Arial Narrow"/>
                <w:sz w:val="20"/>
              </w:rPr>
            </w:pPr>
            <w:r w:rsidRPr="00BC084A">
              <w:rPr>
                <w:rFonts w:ascii="Arial Narrow" w:hAnsi="Arial Narrow"/>
                <w:sz w:val="20"/>
              </w:rPr>
              <w:t>1 year</w:t>
            </w:r>
          </w:p>
          <w:p w14:paraId="4D791854" w14:textId="245882E3"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2 years</w:t>
            </w:r>
          </w:p>
        </w:tc>
        <w:tc>
          <w:tcPr>
            <w:tcW w:w="1283" w:type="dxa"/>
          </w:tcPr>
          <w:p w14:paraId="5B0670C6" w14:textId="4C6D25DC"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Mean</w:t>
            </w:r>
            <w:r w:rsidR="00CB05BE" w:rsidRPr="00CB05BE">
              <w:rPr>
                <w:rFonts w:ascii="Arial Narrow" w:hAnsi="Arial Narrow"/>
                <w:sz w:val="20"/>
              </w:rPr>
              <w:t> ± </w:t>
            </w:r>
            <w:r w:rsidR="00DD53E7">
              <w:rPr>
                <w:rFonts w:ascii="Arial Narrow" w:hAnsi="Arial Narrow"/>
                <w:sz w:val="20"/>
              </w:rPr>
              <w:t>SD</w:t>
            </w:r>
          </w:p>
        </w:tc>
        <w:tc>
          <w:tcPr>
            <w:tcW w:w="1331" w:type="dxa"/>
          </w:tcPr>
          <w:p w14:paraId="39865D92" w14:textId="24A0A956" w:rsidR="007518CF" w:rsidRDefault="00A813F1" w:rsidP="00762873">
            <w:pPr>
              <w:spacing w:after="0" w:line="240" w:lineRule="auto"/>
              <w:ind w:right="-57"/>
              <w:rPr>
                <w:rFonts w:ascii="Arial Narrow" w:hAnsi="Arial Narrow"/>
                <w:sz w:val="20"/>
              </w:rPr>
            </w:pPr>
            <w:r w:rsidRPr="00BC084A">
              <w:rPr>
                <w:rFonts w:ascii="Arial Narrow" w:hAnsi="Arial Narrow"/>
                <w:sz w:val="20"/>
              </w:rPr>
              <w:t>37.6</w:t>
            </w:r>
            <w:r w:rsidR="00CB05BE" w:rsidRPr="00CB05BE">
              <w:rPr>
                <w:rFonts w:ascii="Arial Narrow" w:hAnsi="Arial Narrow"/>
                <w:sz w:val="20"/>
              </w:rPr>
              <w:t> ± </w:t>
            </w:r>
            <w:r w:rsidRPr="00BC084A">
              <w:rPr>
                <w:rFonts w:ascii="Arial Narrow" w:hAnsi="Arial Narrow"/>
                <w:sz w:val="20"/>
              </w:rPr>
              <w:t>5.8</w:t>
            </w:r>
          </w:p>
          <w:p w14:paraId="15C48DF4" w14:textId="3A44BE1B"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34.2</w:t>
            </w:r>
            <w:r w:rsidR="00CB05BE" w:rsidRPr="00CB05BE">
              <w:rPr>
                <w:rFonts w:ascii="Arial Narrow" w:hAnsi="Arial Narrow"/>
                <w:sz w:val="20"/>
              </w:rPr>
              <w:t> ± </w:t>
            </w:r>
            <w:r w:rsidRPr="00BC084A">
              <w:rPr>
                <w:rFonts w:ascii="Arial Narrow" w:hAnsi="Arial Narrow"/>
                <w:sz w:val="20"/>
              </w:rPr>
              <w:t xml:space="preserve">6.2 </w:t>
            </w:r>
          </w:p>
        </w:tc>
        <w:tc>
          <w:tcPr>
            <w:tcW w:w="1332" w:type="dxa"/>
          </w:tcPr>
          <w:p w14:paraId="5B5CE544" w14:textId="325B49F0" w:rsidR="007518CF" w:rsidRDefault="00A813F1" w:rsidP="00762873">
            <w:pPr>
              <w:spacing w:after="0" w:line="240" w:lineRule="auto"/>
              <w:ind w:right="-57"/>
              <w:rPr>
                <w:rFonts w:ascii="Arial Narrow" w:hAnsi="Arial Narrow"/>
                <w:sz w:val="20"/>
              </w:rPr>
            </w:pPr>
            <w:r w:rsidRPr="00BC084A">
              <w:rPr>
                <w:rFonts w:ascii="Arial Narrow" w:hAnsi="Arial Narrow"/>
                <w:sz w:val="20"/>
              </w:rPr>
              <w:t>32.4</w:t>
            </w:r>
            <w:r w:rsidR="00CB05BE" w:rsidRPr="00CB05BE">
              <w:rPr>
                <w:rFonts w:ascii="Arial Narrow" w:hAnsi="Arial Narrow"/>
                <w:sz w:val="20"/>
              </w:rPr>
              <w:t> ± </w:t>
            </w:r>
            <w:r w:rsidRPr="00BC084A">
              <w:rPr>
                <w:rFonts w:ascii="Arial Narrow" w:hAnsi="Arial Narrow"/>
                <w:sz w:val="20"/>
              </w:rPr>
              <w:t>12.0</w:t>
            </w:r>
          </w:p>
          <w:p w14:paraId="31AEA2C1" w14:textId="1EC8EE95"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38.1</w:t>
            </w:r>
            <w:r w:rsidR="00CB05BE" w:rsidRPr="00CB05BE">
              <w:rPr>
                <w:rFonts w:ascii="Arial Narrow" w:hAnsi="Arial Narrow"/>
                <w:sz w:val="20"/>
              </w:rPr>
              <w:t> ± </w:t>
            </w:r>
            <w:r w:rsidRPr="00BC084A">
              <w:rPr>
                <w:rFonts w:ascii="Arial Narrow" w:hAnsi="Arial Narrow"/>
                <w:sz w:val="20"/>
              </w:rPr>
              <w:t xml:space="preserve">14.6 </w:t>
            </w:r>
          </w:p>
        </w:tc>
        <w:tc>
          <w:tcPr>
            <w:tcW w:w="850" w:type="dxa"/>
          </w:tcPr>
          <w:p w14:paraId="13A69132" w14:textId="77777777"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NS</w:t>
            </w:r>
          </w:p>
          <w:p w14:paraId="781CDEC9" w14:textId="77777777" w:rsidR="00A813F1" w:rsidRPr="00BC084A" w:rsidRDefault="00A813F1" w:rsidP="00762873">
            <w:pPr>
              <w:spacing w:after="0" w:line="240" w:lineRule="auto"/>
              <w:ind w:right="-57"/>
              <w:rPr>
                <w:rFonts w:ascii="Arial Narrow" w:hAnsi="Arial Narrow"/>
                <w:sz w:val="20"/>
              </w:rPr>
            </w:pPr>
            <w:r w:rsidRPr="00BC084A">
              <w:rPr>
                <w:rFonts w:ascii="Arial Narrow" w:hAnsi="Arial Narrow"/>
                <w:sz w:val="20"/>
              </w:rPr>
              <w:t>NS</w:t>
            </w:r>
          </w:p>
        </w:tc>
      </w:tr>
    </w:tbl>
    <w:p w14:paraId="4A21FA9C" w14:textId="7C366DF2" w:rsidR="000F1647" w:rsidRPr="00DD53E7" w:rsidRDefault="000F1647" w:rsidP="000F1647">
      <w:pPr>
        <w:spacing w:line="240" w:lineRule="auto"/>
        <w:rPr>
          <w:rFonts w:ascii="Arial Narrow" w:hAnsi="Arial Narrow"/>
          <w:sz w:val="18"/>
          <w:szCs w:val="18"/>
        </w:rPr>
      </w:pPr>
      <w:bookmarkStart w:id="314" w:name="_Ref498012817"/>
      <w:r w:rsidRPr="002C54E5">
        <w:rPr>
          <w:rFonts w:ascii="Arial Narrow" w:hAnsi="Arial Narrow"/>
          <w:sz w:val="18"/>
          <w:szCs w:val="18"/>
        </w:rPr>
        <w:t xml:space="preserve">CRA = </w:t>
      </w:r>
      <w:r>
        <w:rPr>
          <w:rFonts w:ascii="Arial Narrow" w:hAnsi="Arial Narrow"/>
          <w:sz w:val="18"/>
          <w:szCs w:val="18"/>
        </w:rPr>
        <w:t xml:space="preserve">chemotherapy-related amenorrhea; </w:t>
      </w:r>
      <w:r w:rsidRPr="002C54E5">
        <w:rPr>
          <w:rFonts w:ascii="Arial Narrow" w:hAnsi="Arial Narrow"/>
          <w:sz w:val="18"/>
          <w:szCs w:val="18"/>
        </w:rPr>
        <w:t>NS = not significant</w:t>
      </w:r>
      <w:r>
        <w:rPr>
          <w:rFonts w:ascii="Arial Narrow" w:hAnsi="Arial Narrow"/>
          <w:sz w:val="18"/>
          <w:szCs w:val="18"/>
        </w:rPr>
        <w:t>; SD = standard deviation</w:t>
      </w:r>
    </w:p>
    <w:p w14:paraId="74725535" w14:textId="0E086CD5" w:rsidR="00A813F1" w:rsidRDefault="00A813F1" w:rsidP="00DD53E7">
      <w:pPr>
        <w:pStyle w:val="Caption"/>
        <w:keepNext/>
        <w:ind w:left="993" w:hanging="993"/>
      </w:pPr>
      <w:bookmarkStart w:id="315" w:name="_Toc502833063"/>
      <w:r>
        <w:t xml:space="preserve">Table </w:t>
      </w:r>
      <w:r w:rsidR="00AC4BE5">
        <w:fldChar w:fldCharType="begin"/>
      </w:r>
      <w:r w:rsidR="00AC4BE5">
        <w:instrText xml:space="preserve"> SEQ Table \* ARABIC </w:instrText>
      </w:r>
      <w:r w:rsidR="00AC4BE5">
        <w:fldChar w:fldCharType="separate"/>
      </w:r>
      <w:r w:rsidR="00AC4BE5">
        <w:rPr>
          <w:noProof/>
        </w:rPr>
        <w:t>45</w:t>
      </w:r>
      <w:r w:rsidR="00AC4BE5">
        <w:rPr>
          <w:noProof/>
        </w:rPr>
        <w:fldChar w:fldCharType="end"/>
      </w:r>
      <w:bookmarkEnd w:id="314"/>
      <w:r w:rsidR="00DD53E7">
        <w:tab/>
      </w:r>
      <w:r w:rsidRPr="00B70720">
        <w:t xml:space="preserve">Baseline </w:t>
      </w:r>
      <w:r>
        <w:t>AFC count</w:t>
      </w:r>
      <w:r w:rsidRPr="00B70720">
        <w:t xml:space="preserve"> in breast cancer patients with CRA </w:t>
      </w:r>
      <w:r>
        <w:t xml:space="preserve">at follow-up </w:t>
      </w:r>
      <w:r w:rsidRPr="00B70720">
        <w:t xml:space="preserve">compared </w:t>
      </w:r>
      <w:r>
        <w:t>with</w:t>
      </w:r>
      <w:r w:rsidRPr="00B70720">
        <w:t xml:space="preserve"> baseline </w:t>
      </w:r>
      <w:r>
        <w:t>AFC count</w:t>
      </w:r>
      <w:r w:rsidRPr="00B70720">
        <w:t xml:space="preserve"> in patients without CRA</w:t>
      </w:r>
      <w:bookmarkEnd w:id="315"/>
    </w:p>
    <w:tbl>
      <w:tblPr>
        <w:tblStyle w:val="TableGrid7"/>
        <w:tblW w:w="9209" w:type="dxa"/>
        <w:tblLook w:val="04A0" w:firstRow="1" w:lastRow="0" w:firstColumn="1" w:lastColumn="0" w:noHBand="0" w:noVBand="1"/>
        <w:tblCaption w:val="Baseline Inhibin B levels in breast cancer patients with CRA at follow-up compared with baseline Inhibin B levels in patients without CRA"/>
        <w:tblDescription w:val="Baseline Inhibin B levels in breast cancer patients with CRA at follow-up compared with baseline Inhibin B levels in patients without CRA"/>
      </w:tblPr>
      <w:tblGrid>
        <w:gridCol w:w="1358"/>
        <w:gridCol w:w="1614"/>
        <w:gridCol w:w="1134"/>
        <w:gridCol w:w="1559"/>
        <w:gridCol w:w="1370"/>
        <w:gridCol w:w="1324"/>
        <w:gridCol w:w="850"/>
      </w:tblGrid>
      <w:tr w:rsidR="00A813F1" w:rsidRPr="00DE61DD" w14:paraId="0D1ACFD9" w14:textId="77777777" w:rsidTr="009C25E2">
        <w:trPr>
          <w:trHeight w:val="808"/>
          <w:tblHeader/>
        </w:trPr>
        <w:tc>
          <w:tcPr>
            <w:tcW w:w="1358" w:type="dxa"/>
          </w:tcPr>
          <w:p w14:paraId="613BBD53" w14:textId="77777777" w:rsidR="00A813F1" w:rsidRPr="00DE61DD" w:rsidRDefault="00A813F1" w:rsidP="00762873">
            <w:pPr>
              <w:spacing w:after="0" w:line="240" w:lineRule="auto"/>
              <w:ind w:right="-57"/>
              <w:rPr>
                <w:rFonts w:ascii="Arial Narrow" w:hAnsi="Arial Narrow"/>
                <w:b/>
                <w:sz w:val="20"/>
              </w:rPr>
            </w:pPr>
            <w:r w:rsidRPr="00DE61DD">
              <w:rPr>
                <w:rFonts w:ascii="Arial Narrow" w:hAnsi="Arial Narrow"/>
                <w:b/>
                <w:sz w:val="20"/>
              </w:rPr>
              <w:t>Study</w:t>
            </w:r>
          </w:p>
        </w:tc>
        <w:tc>
          <w:tcPr>
            <w:tcW w:w="1614" w:type="dxa"/>
          </w:tcPr>
          <w:p w14:paraId="4BDB08B8" w14:textId="77777777" w:rsidR="00A813F1" w:rsidRPr="00DE61DD" w:rsidRDefault="00A813F1" w:rsidP="00762873">
            <w:pPr>
              <w:spacing w:after="0" w:line="240" w:lineRule="auto"/>
              <w:ind w:right="-57"/>
              <w:rPr>
                <w:rFonts w:ascii="Arial Narrow" w:hAnsi="Arial Narrow"/>
                <w:b/>
                <w:sz w:val="20"/>
              </w:rPr>
            </w:pPr>
            <w:r w:rsidRPr="00DE61DD">
              <w:rPr>
                <w:rFonts w:ascii="Arial Narrow" w:hAnsi="Arial Narrow"/>
                <w:b/>
                <w:sz w:val="20"/>
              </w:rPr>
              <w:t>Population</w:t>
            </w:r>
          </w:p>
        </w:tc>
        <w:tc>
          <w:tcPr>
            <w:tcW w:w="1134" w:type="dxa"/>
          </w:tcPr>
          <w:p w14:paraId="2CEA6671" w14:textId="77777777" w:rsidR="00A813F1" w:rsidRPr="00DE61DD" w:rsidRDefault="00A813F1" w:rsidP="00762873">
            <w:pPr>
              <w:spacing w:after="0" w:line="240" w:lineRule="auto"/>
              <w:ind w:right="-57"/>
              <w:rPr>
                <w:rFonts w:ascii="Arial Narrow" w:hAnsi="Arial Narrow"/>
                <w:b/>
                <w:sz w:val="20"/>
              </w:rPr>
            </w:pPr>
            <w:r w:rsidRPr="00DE61DD">
              <w:rPr>
                <w:rFonts w:ascii="Arial Narrow" w:hAnsi="Arial Narrow"/>
                <w:b/>
                <w:sz w:val="20"/>
              </w:rPr>
              <w:t>Follow-up</w:t>
            </w:r>
          </w:p>
        </w:tc>
        <w:tc>
          <w:tcPr>
            <w:tcW w:w="1559" w:type="dxa"/>
          </w:tcPr>
          <w:p w14:paraId="3768D099" w14:textId="77777777" w:rsidR="00A813F1" w:rsidRPr="00DE61DD" w:rsidRDefault="00A813F1" w:rsidP="00762873">
            <w:pPr>
              <w:spacing w:after="0" w:line="240" w:lineRule="auto"/>
              <w:ind w:right="-57"/>
              <w:rPr>
                <w:rFonts w:ascii="Arial Narrow" w:hAnsi="Arial Narrow"/>
                <w:b/>
                <w:sz w:val="20"/>
              </w:rPr>
            </w:pPr>
            <w:r w:rsidRPr="00DE61DD">
              <w:rPr>
                <w:rFonts w:ascii="Arial Narrow" w:hAnsi="Arial Narrow"/>
                <w:b/>
                <w:sz w:val="20"/>
              </w:rPr>
              <w:t>AFC measurement</w:t>
            </w:r>
            <w:r>
              <w:rPr>
                <w:rFonts w:ascii="Arial Narrow" w:hAnsi="Arial Narrow"/>
                <w:b/>
                <w:sz w:val="20"/>
              </w:rPr>
              <w:t xml:space="preserve"> (Baseline count)</w:t>
            </w:r>
          </w:p>
        </w:tc>
        <w:tc>
          <w:tcPr>
            <w:tcW w:w="1370" w:type="dxa"/>
          </w:tcPr>
          <w:p w14:paraId="4B17455D" w14:textId="77777777" w:rsidR="00A813F1" w:rsidRPr="00DE61DD" w:rsidRDefault="00A813F1" w:rsidP="00762873">
            <w:pPr>
              <w:spacing w:after="0" w:line="240" w:lineRule="auto"/>
              <w:ind w:right="-57"/>
              <w:rPr>
                <w:rFonts w:ascii="Arial Narrow" w:hAnsi="Arial Narrow"/>
                <w:b/>
                <w:sz w:val="20"/>
              </w:rPr>
            </w:pPr>
            <w:r w:rsidRPr="00DE61DD">
              <w:rPr>
                <w:rFonts w:ascii="Arial Narrow" w:hAnsi="Arial Narrow"/>
                <w:b/>
                <w:sz w:val="20"/>
              </w:rPr>
              <w:t>CRA</w:t>
            </w:r>
          </w:p>
        </w:tc>
        <w:tc>
          <w:tcPr>
            <w:tcW w:w="1324" w:type="dxa"/>
          </w:tcPr>
          <w:p w14:paraId="56CCDB13" w14:textId="77777777" w:rsidR="00A813F1" w:rsidRPr="00DE61DD" w:rsidRDefault="00A813F1" w:rsidP="00762873">
            <w:pPr>
              <w:spacing w:after="0" w:line="240" w:lineRule="auto"/>
              <w:ind w:right="-57"/>
              <w:rPr>
                <w:rFonts w:ascii="Arial Narrow" w:hAnsi="Arial Narrow"/>
                <w:b/>
                <w:sz w:val="20"/>
              </w:rPr>
            </w:pPr>
            <w:r w:rsidRPr="00DE61DD">
              <w:rPr>
                <w:rFonts w:ascii="Arial Narrow" w:hAnsi="Arial Narrow"/>
                <w:b/>
                <w:sz w:val="20"/>
              </w:rPr>
              <w:t>No CRA</w:t>
            </w:r>
          </w:p>
        </w:tc>
        <w:tc>
          <w:tcPr>
            <w:tcW w:w="850" w:type="dxa"/>
          </w:tcPr>
          <w:p w14:paraId="0BFD3D06" w14:textId="30DA47DF" w:rsidR="00A813F1" w:rsidRPr="00DE61DD" w:rsidRDefault="006F069F" w:rsidP="00762873">
            <w:pPr>
              <w:spacing w:after="0" w:line="240" w:lineRule="auto"/>
              <w:ind w:right="-57"/>
              <w:rPr>
                <w:rFonts w:ascii="Arial Narrow" w:hAnsi="Arial Narrow"/>
                <w:b/>
                <w:sz w:val="20"/>
              </w:rPr>
            </w:pPr>
            <w:r>
              <w:rPr>
                <w:rFonts w:ascii="Arial Narrow" w:hAnsi="Arial Narrow"/>
                <w:b/>
                <w:sz w:val="20"/>
              </w:rPr>
              <w:t>p-value</w:t>
            </w:r>
          </w:p>
        </w:tc>
      </w:tr>
      <w:tr w:rsidR="00A813F1" w:rsidRPr="00DE61DD" w14:paraId="426FCAD3" w14:textId="77777777" w:rsidTr="009C25E2">
        <w:trPr>
          <w:trHeight w:val="810"/>
        </w:trPr>
        <w:tc>
          <w:tcPr>
            <w:tcW w:w="1358" w:type="dxa"/>
          </w:tcPr>
          <w:p w14:paraId="58A461F1" w14:textId="0E2D143A" w:rsidR="00A813F1" w:rsidRPr="00DE61DD" w:rsidRDefault="00A813F1" w:rsidP="00835BA6">
            <w:pPr>
              <w:spacing w:after="0" w:line="240" w:lineRule="auto"/>
              <w:ind w:right="-57"/>
              <w:rPr>
                <w:rFonts w:ascii="Arial Narrow" w:hAnsi="Arial Narrow"/>
                <w:sz w:val="20"/>
              </w:rPr>
            </w:pPr>
            <w:r w:rsidRPr="00E87235">
              <w:rPr>
                <w:rFonts w:ascii="Arial Narrow" w:hAnsi="Arial Narrow"/>
                <w:sz w:val="20"/>
              </w:rPr>
              <w:t>Ander</w:t>
            </w:r>
            <w:r>
              <w:rPr>
                <w:rFonts w:ascii="Arial Narrow" w:hAnsi="Arial Narrow"/>
                <w:sz w:val="20"/>
              </w:rPr>
              <w:t>son &amp; Cameron.</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6" w:tooltip="Anderson, 2011 #27" w:history="1">
              <w:r w:rsidR="00835BA6">
                <w:rPr>
                  <w:rFonts w:ascii="Arial Narrow" w:hAnsi="Arial Narrow"/>
                  <w:noProof/>
                  <w:sz w:val="20"/>
                </w:rPr>
                <w:t>2011</w:t>
              </w:r>
            </w:hyperlink>
            <w:r>
              <w:rPr>
                <w:rFonts w:ascii="Arial Narrow" w:hAnsi="Arial Narrow"/>
                <w:noProof/>
                <w:sz w:val="20"/>
              </w:rPr>
              <w:t>)</w:t>
            </w:r>
            <w:r>
              <w:rPr>
                <w:rFonts w:ascii="Arial Narrow" w:hAnsi="Arial Narrow"/>
                <w:sz w:val="20"/>
              </w:rPr>
              <w:fldChar w:fldCharType="end"/>
            </w:r>
          </w:p>
        </w:tc>
        <w:tc>
          <w:tcPr>
            <w:tcW w:w="1614" w:type="dxa"/>
          </w:tcPr>
          <w:p w14:paraId="14B56C92" w14:textId="3BE7E21D" w:rsidR="00A813F1" w:rsidRPr="00E927FC" w:rsidRDefault="00E927FC" w:rsidP="00762873">
            <w:pPr>
              <w:spacing w:after="0" w:line="240" w:lineRule="auto"/>
              <w:ind w:right="-57"/>
              <w:rPr>
                <w:rFonts w:ascii="Arial Narrow" w:hAnsi="Arial Narrow"/>
                <w:b/>
                <w:sz w:val="20"/>
              </w:rPr>
            </w:pPr>
            <w:r>
              <w:rPr>
                <w:rFonts w:ascii="Arial Narrow" w:hAnsi="Arial Narrow"/>
                <w:b/>
                <w:sz w:val="20"/>
              </w:rPr>
              <w:t xml:space="preserve">N=33 </w:t>
            </w:r>
            <w:r>
              <w:rPr>
                <w:rFonts w:ascii="Arial Narrow" w:hAnsi="Arial Narrow"/>
                <w:sz w:val="20"/>
              </w:rPr>
              <w:t>w</w:t>
            </w:r>
            <w:r w:rsidR="00A813F1" w:rsidRPr="00DE61DD">
              <w:rPr>
                <w:rFonts w:ascii="Arial Narrow" w:hAnsi="Arial Narrow"/>
                <w:sz w:val="20"/>
              </w:rPr>
              <w:t>omen with early breast cancer</w:t>
            </w:r>
          </w:p>
        </w:tc>
        <w:tc>
          <w:tcPr>
            <w:tcW w:w="1134" w:type="dxa"/>
          </w:tcPr>
          <w:p w14:paraId="0F12E2CD" w14:textId="77777777" w:rsidR="00A813F1" w:rsidRPr="00DE61DD" w:rsidRDefault="00A813F1" w:rsidP="00762873">
            <w:pPr>
              <w:spacing w:after="0" w:line="240" w:lineRule="auto"/>
              <w:ind w:right="-57"/>
              <w:rPr>
                <w:rFonts w:ascii="Arial Narrow" w:hAnsi="Arial Narrow"/>
                <w:sz w:val="20"/>
              </w:rPr>
            </w:pPr>
            <w:r w:rsidRPr="00DE61DD">
              <w:rPr>
                <w:rFonts w:ascii="Arial Narrow" w:hAnsi="Arial Narrow"/>
                <w:sz w:val="20"/>
              </w:rPr>
              <w:t>5 years</w:t>
            </w:r>
          </w:p>
        </w:tc>
        <w:tc>
          <w:tcPr>
            <w:tcW w:w="1559" w:type="dxa"/>
          </w:tcPr>
          <w:p w14:paraId="62938A11" w14:textId="40C4E4F2" w:rsidR="00A813F1" w:rsidRPr="00DE61DD" w:rsidRDefault="00A813F1" w:rsidP="00762873">
            <w:pPr>
              <w:spacing w:after="0" w:line="240" w:lineRule="auto"/>
              <w:ind w:right="-57"/>
              <w:rPr>
                <w:rFonts w:ascii="Arial Narrow" w:hAnsi="Arial Narrow"/>
                <w:sz w:val="20"/>
              </w:rPr>
            </w:pPr>
            <w:r w:rsidRPr="00DE61DD">
              <w:rPr>
                <w:rFonts w:ascii="Arial Narrow" w:hAnsi="Arial Narrow"/>
                <w:sz w:val="20"/>
              </w:rPr>
              <w:t>Mean</w:t>
            </w:r>
            <w:r w:rsidR="00CB05BE" w:rsidRPr="00CB05BE">
              <w:rPr>
                <w:rFonts w:ascii="Arial Narrow" w:hAnsi="Arial Narrow"/>
                <w:sz w:val="20"/>
              </w:rPr>
              <w:t> ± </w:t>
            </w:r>
            <w:r w:rsidRPr="00DE61DD">
              <w:rPr>
                <w:rFonts w:ascii="Arial Narrow" w:hAnsi="Arial Narrow"/>
                <w:sz w:val="20"/>
              </w:rPr>
              <w:t>SD</w:t>
            </w:r>
          </w:p>
        </w:tc>
        <w:tc>
          <w:tcPr>
            <w:tcW w:w="1370" w:type="dxa"/>
          </w:tcPr>
          <w:p w14:paraId="5124A5D6" w14:textId="58FACB59" w:rsidR="00A813F1" w:rsidRPr="00DE61DD" w:rsidRDefault="00A813F1" w:rsidP="00762873">
            <w:pPr>
              <w:spacing w:after="0" w:line="240" w:lineRule="auto"/>
              <w:ind w:right="-57"/>
              <w:rPr>
                <w:rFonts w:ascii="Arial Narrow" w:hAnsi="Arial Narrow"/>
                <w:b/>
                <w:sz w:val="20"/>
              </w:rPr>
            </w:pPr>
            <w:r w:rsidRPr="00DE61DD">
              <w:rPr>
                <w:rFonts w:ascii="Arial Narrow" w:hAnsi="Arial Narrow"/>
                <w:sz w:val="20"/>
              </w:rPr>
              <w:t>8.7</w:t>
            </w:r>
            <w:r w:rsidR="00CB05BE" w:rsidRPr="00CB05BE">
              <w:rPr>
                <w:rFonts w:ascii="Arial Narrow" w:hAnsi="Arial Narrow"/>
                <w:sz w:val="20"/>
              </w:rPr>
              <w:t> ± </w:t>
            </w:r>
            <w:r w:rsidR="000F1647">
              <w:rPr>
                <w:rFonts w:ascii="Arial Narrow" w:hAnsi="Arial Narrow"/>
                <w:sz w:val="20"/>
              </w:rPr>
              <w:t>1.2</w:t>
            </w:r>
          </w:p>
        </w:tc>
        <w:tc>
          <w:tcPr>
            <w:tcW w:w="1324" w:type="dxa"/>
          </w:tcPr>
          <w:p w14:paraId="05FADFA8" w14:textId="374179E6" w:rsidR="00A813F1" w:rsidRPr="00DE61DD" w:rsidRDefault="00A813F1" w:rsidP="00762873">
            <w:pPr>
              <w:spacing w:after="0" w:line="240" w:lineRule="auto"/>
              <w:ind w:right="-57"/>
              <w:rPr>
                <w:rFonts w:ascii="Arial Narrow" w:hAnsi="Arial Narrow"/>
                <w:b/>
                <w:sz w:val="20"/>
              </w:rPr>
            </w:pPr>
            <w:r w:rsidRPr="00DE61DD">
              <w:rPr>
                <w:rFonts w:ascii="Arial Narrow" w:hAnsi="Arial Narrow"/>
                <w:sz w:val="20"/>
              </w:rPr>
              <w:t>19.8</w:t>
            </w:r>
            <w:r w:rsidR="00CB05BE" w:rsidRPr="00CB05BE">
              <w:rPr>
                <w:rFonts w:ascii="Arial Narrow" w:hAnsi="Arial Narrow"/>
                <w:sz w:val="20"/>
              </w:rPr>
              <w:t> ± </w:t>
            </w:r>
            <w:r w:rsidRPr="00DE61DD">
              <w:rPr>
                <w:rFonts w:ascii="Arial Narrow" w:hAnsi="Arial Narrow"/>
                <w:sz w:val="20"/>
              </w:rPr>
              <w:t>3.0</w:t>
            </w:r>
          </w:p>
        </w:tc>
        <w:tc>
          <w:tcPr>
            <w:tcW w:w="850" w:type="dxa"/>
          </w:tcPr>
          <w:p w14:paraId="6217B461" w14:textId="4F24D579" w:rsidR="00A813F1" w:rsidRPr="00DE61DD" w:rsidRDefault="000F1647" w:rsidP="000F1647">
            <w:pPr>
              <w:spacing w:after="0" w:line="240" w:lineRule="auto"/>
              <w:ind w:right="-57"/>
              <w:rPr>
                <w:rFonts w:ascii="Arial Narrow" w:hAnsi="Arial Narrow"/>
                <w:sz w:val="20"/>
              </w:rPr>
            </w:pPr>
            <w:r>
              <w:rPr>
                <w:rFonts w:ascii="Arial Narrow" w:hAnsi="Arial Narrow"/>
                <w:sz w:val="20"/>
              </w:rPr>
              <w:t>0.0004</w:t>
            </w:r>
          </w:p>
        </w:tc>
      </w:tr>
      <w:tr w:rsidR="00A813F1" w:rsidRPr="00DE61DD" w14:paraId="543A1C48" w14:textId="77777777" w:rsidTr="009C25E2">
        <w:trPr>
          <w:trHeight w:val="874"/>
        </w:trPr>
        <w:tc>
          <w:tcPr>
            <w:tcW w:w="1358" w:type="dxa"/>
          </w:tcPr>
          <w:p w14:paraId="55C4D578" w14:textId="6BD1DC79" w:rsidR="00A813F1" w:rsidRPr="00DE61DD" w:rsidRDefault="00A813F1" w:rsidP="00835BA6">
            <w:pPr>
              <w:spacing w:after="0" w:line="240" w:lineRule="auto"/>
              <w:rPr>
                <w:rFonts w:ascii="Arial Narrow" w:hAnsi="Arial Narrow"/>
                <w:sz w:val="20"/>
              </w:rPr>
            </w:pPr>
            <w:r>
              <w:rPr>
                <w:rFonts w:ascii="Arial Narrow" w:hAnsi="Arial Narrow"/>
                <w:sz w:val="20"/>
              </w:rPr>
              <w:t xml:space="preserve">D’avila et al. </w:t>
            </w:r>
            <w:r>
              <w:rPr>
                <w:rFonts w:ascii="Arial Narrow" w:hAnsi="Arial Narrow"/>
                <w:sz w:val="20"/>
              </w:rPr>
              <w:fldChar w:fldCharType="begin"/>
            </w:r>
            <w:r w:rsidR="004308C4">
              <w:rPr>
                <w:rFonts w:ascii="Arial Narrow" w:hAnsi="Arial Narrow"/>
                <w:sz w:val="20"/>
              </w:rPr>
              <w:instrText xml:space="preserve"> ADDIN EN.CITE &lt;EndNote&gt;&lt;Cite ExcludeAuth="1"&gt;&lt;Author&gt;D&amp;apos;Avila&lt;/Author&gt;&lt;Year&gt;2015&lt;/Year&gt;&lt;RecNum&gt;110&lt;/RecNum&gt;&lt;DisplayText&gt;(2015)&lt;/DisplayText&gt;&lt;record&gt;&lt;rec-number&gt;110&lt;/rec-number&gt;&lt;foreign-keys&gt;&lt;key app="EN" db-id="s2dftfxw1fvsr1efx58vfvxtvfwzxea0td02" timestamp="1511748069"&gt;110&lt;/key&gt;&lt;/foreign-keys&gt;&lt;ref-type name="Journal Article"&gt;17&lt;/ref-type&gt;&lt;contributors&gt;&lt;authors&gt;&lt;author&gt;D&amp;apos;Avila, Â. M.&lt;/author&gt;&lt;author&gt;Biolchi, V.&lt;/author&gt;&lt;author&gt;Capp, E.&lt;/author&gt;&lt;author&gt;Corleta, H. V. E.&lt;/author&gt;&lt;/authors&gt;&lt;/contributors&gt;&lt;titles&gt;&lt;title&gt;Age, anti-müllerian hormone, antral follicles count to predict amenorrhea or oligomenorrhea after chemotherapy with cyclophosphamide&lt;/title&gt;&lt;secondary-title&gt;Journal of Ovarian Research&lt;/secondary-title&gt;&lt;/titles&gt;&lt;periodical&gt;&lt;full-title&gt;Journal of Ovarian Research&lt;/full-title&gt;&lt;/periodical&gt;&lt;volume&gt;8&lt;/volume&gt;&lt;number&gt;1&lt;/number&gt;&lt;keywords&gt;&lt;keyword&gt;Logistic Models&lt;/keyword&gt;&lt;keyword&gt;Cyclophosphamide&lt;/keyword&gt;&lt;keyword&gt;Oligomenorrhea&lt;/keyword&gt;&lt;keyword&gt;Breast Neoplasms&lt;/keyword&gt;&lt;keyword&gt;Area Under Curve&lt;/keyword&gt;&lt;keyword&gt;Amenorrhea&lt;/keyword&gt;&lt;/keywords&gt;&lt;dates&gt;&lt;year&gt;2015&lt;/year&gt;&lt;pub-dates&gt;&lt;date&gt;2015-1-1&lt;/date&gt;&lt;/pub-dates&gt;&lt;/dates&gt;&lt;isbn&gt;1757-2215&lt;/isbn&gt;&lt;accession-num&gt;rayyan-6673516&lt;/accession-num&gt;&lt;urls&gt;&lt;related-urls&gt;&lt;url&gt;http://www.embase.com/search/results?subaction=viewrecord&amp;amp;from=export&amp;amp;id=L607244547 http://dx.doi.org/10.1186/s13048-015-0209-4&lt;/url&gt;&lt;/related-urls&gt;&lt;/urls&gt;&lt;custom1&gt;RAYYAN-INCLUSION: {&amp;quot;Sharon&amp;quot;=&amp;gt;true}&lt;/custom1&gt;&lt;/record&gt;&lt;/Cite&gt;&lt;/EndNote&gt;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15" w:tooltip="D'Avila, 2015 #110" w:history="1">
              <w:r w:rsidR="00835BA6">
                <w:rPr>
                  <w:rFonts w:ascii="Arial Narrow" w:hAnsi="Arial Narrow"/>
                  <w:noProof/>
                  <w:sz w:val="20"/>
                </w:rPr>
                <w:t>2015</w:t>
              </w:r>
            </w:hyperlink>
            <w:r>
              <w:rPr>
                <w:rFonts w:ascii="Arial Narrow" w:hAnsi="Arial Narrow"/>
                <w:noProof/>
                <w:sz w:val="20"/>
              </w:rPr>
              <w:t>)</w:t>
            </w:r>
            <w:r>
              <w:rPr>
                <w:rFonts w:ascii="Arial Narrow" w:hAnsi="Arial Narrow"/>
                <w:sz w:val="20"/>
              </w:rPr>
              <w:fldChar w:fldCharType="end"/>
            </w:r>
          </w:p>
        </w:tc>
        <w:tc>
          <w:tcPr>
            <w:tcW w:w="1614" w:type="dxa"/>
          </w:tcPr>
          <w:p w14:paraId="7B3E4E1B" w14:textId="77777777" w:rsidR="00A813F1" w:rsidRPr="00DE61DD" w:rsidRDefault="00A813F1" w:rsidP="00762873">
            <w:pPr>
              <w:spacing w:after="0" w:line="240" w:lineRule="auto"/>
              <w:ind w:right="-57"/>
              <w:rPr>
                <w:rFonts w:ascii="Arial Narrow" w:hAnsi="Arial Narrow"/>
                <w:sz w:val="20"/>
              </w:rPr>
            </w:pPr>
            <w:r w:rsidRPr="00DE61DD">
              <w:rPr>
                <w:rFonts w:ascii="Arial Narrow" w:hAnsi="Arial Narrow"/>
                <w:b/>
                <w:sz w:val="20"/>
              </w:rPr>
              <w:t>N=47</w:t>
            </w:r>
            <w:r w:rsidRPr="00DE61DD">
              <w:rPr>
                <w:rFonts w:ascii="Arial Narrow" w:hAnsi="Arial Narrow"/>
                <w:sz w:val="20"/>
              </w:rPr>
              <w:t xml:space="preserve"> women with breast cancer</w:t>
            </w:r>
          </w:p>
        </w:tc>
        <w:tc>
          <w:tcPr>
            <w:tcW w:w="1134" w:type="dxa"/>
          </w:tcPr>
          <w:p w14:paraId="20476922" w14:textId="77777777" w:rsidR="00A813F1" w:rsidRPr="00DE61DD" w:rsidRDefault="00A813F1" w:rsidP="00762873">
            <w:pPr>
              <w:spacing w:after="0" w:line="240" w:lineRule="auto"/>
              <w:ind w:right="-57"/>
              <w:rPr>
                <w:rFonts w:ascii="Arial Narrow" w:hAnsi="Arial Narrow"/>
                <w:sz w:val="20"/>
              </w:rPr>
            </w:pPr>
            <w:r w:rsidRPr="00DE61DD">
              <w:rPr>
                <w:rFonts w:ascii="Arial Narrow" w:hAnsi="Arial Narrow"/>
                <w:sz w:val="20"/>
              </w:rPr>
              <w:t>6 months</w:t>
            </w:r>
          </w:p>
        </w:tc>
        <w:tc>
          <w:tcPr>
            <w:tcW w:w="1559" w:type="dxa"/>
          </w:tcPr>
          <w:p w14:paraId="6E98F2A0" w14:textId="77777777" w:rsidR="00A813F1" w:rsidRPr="00DE61DD" w:rsidRDefault="00A813F1" w:rsidP="00762873">
            <w:pPr>
              <w:spacing w:after="0" w:line="240" w:lineRule="auto"/>
              <w:ind w:right="-57"/>
              <w:rPr>
                <w:rFonts w:ascii="Arial Narrow" w:hAnsi="Arial Narrow"/>
                <w:sz w:val="20"/>
              </w:rPr>
            </w:pPr>
            <w:r>
              <w:rPr>
                <w:rFonts w:ascii="Arial Narrow" w:hAnsi="Arial Narrow"/>
                <w:sz w:val="20"/>
              </w:rPr>
              <w:t>M</w:t>
            </w:r>
            <w:r w:rsidRPr="00DE61DD">
              <w:rPr>
                <w:rFonts w:ascii="Arial Narrow" w:hAnsi="Arial Narrow"/>
                <w:sz w:val="20"/>
              </w:rPr>
              <w:t>edian and interquartile range</w:t>
            </w:r>
          </w:p>
        </w:tc>
        <w:tc>
          <w:tcPr>
            <w:tcW w:w="1370" w:type="dxa"/>
          </w:tcPr>
          <w:p w14:paraId="7CA0C395" w14:textId="09DA98AB" w:rsidR="00A813F1" w:rsidRPr="00DE61DD" w:rsidRDefault="00E927FC" w:rsidP="00762873">
            <w:pPr>
              <w:spacing w:after="0" w:line="240" w:lineRule="auto"/>
              <w:ind w:right="-57"/>
              <w:rPr>
                <w:rFonts w:ascii="Arial Narrow" w:hAnsi="Arial Narrow"/>
                <w:sz w:val="20"/>
              </w:rPr>
            </w:pPr>
            <w:r>
              <w:rPr>
                <w:rFonts w:ascii="Arial Narrow" w:hAnsi="Arial Narrow"/>
                <w:sz w:val="20"/>
              </w:rPr>
              <w:t>9 (7.75–</w:t>
            </w:r>
            <w:r w:rsidR="00A813F1" w:rsidRPr="00DE61DD">
              <w:rPr>
                <w:rFonts w:ascii="Arial Narrow" w:hAnsi="Arial Narrow"/>
                <w:sz w:val="20"/>
              </w:rPr>
              <w:t>12)</w:t>
            </w:r>
            <w:r w:rsidR="00A813F1" w:rsidRPr="00DE61DD">
              <w:rPr>
                <w:rFonts w:ascii="Arial Narrow" w:hAnsi="Arial Narrow"/>
                <w:sz w:val="20"/>
                <w:vertAlign w:val="superscript"/>
              </w:rPr>
              <w:t xml:space="preserve"> b</w:t>
            </w:r>
          </w:p>
        </w:tc>
        <w:tc>
          <w:tcPr>
            <w:tcW w:w="1324" w:type="dxa"/>
          </w:tcPr>
          <w:p w14:paraId="3E7C14DA" w14:textId="782FEDB5" w:rsidR="00A813F1" w:rsidRPr="00DE61DD" w:rsidRDefault="00E927FC" w:rsidP="00762873">
            <w:pPr>
              <w:spacing w:after="0" w:line="240" w:lineRule="auto"/>
              <w:ind w:right="-57"/>
              <w:rPr>
                <w:rFonts w:ascii="Arial Narrow" w:hAnsi="Arial Narrow"/>
                <w:sz w:val="20"/>
              </w:rPr>
            </w:pPr>
            <w:r>
              <w:rPr>
                <w:rFonts w:ascii="Arial Narrow" w:hAnsi="Arial Narrow"/>
                <w:sz w:val="20"/>
              </w:rPr>
              <w:t>13.5 (11–</w:t>
            </w:r>
            <w:r w:rsidR="00A813F1" w:rsidRPr="00DE61DD">
              <w:rPr>
                <w:rFonts w:ascii="Arial Narrow" w:hAnsi="Arial Narrow"/>
                <w:sz w:val="20"/>
              </w:rPr>
              <w:t>16)</w:t>
            </w:r>
          </w:p>
        </w:tc>
        <w:tc>
          <w:tcPr>
            <w:tcW w:w="850" w:type="dxa"/>
          </w:tcPr>
          <w:p w14:paraId="3938D46D" w14:textId="77777777" w:rsidR="00A813F1" w:rsidRPr="00DE61DD" w:rsidRDefault="00A813F1" w:rsidP="00762873">
            <w:pPr>
              <w:spacing w:after="0" w:line="240" w:lineRule="auto"/>
              <w:ind w:right="-57"/>
              <w:rPr>
                <w:rFonts w:ascii="Arial Narrow" w:hAnsi="Arial Narrow"/>
                <w:sz w:val="20"/>
              </w:rPr>
            </w:pPr>
            <w:r w:rsidRPr="00DE61DD">
              <w:rPr>
                <w:rFonts w:ascii="Arial Narrow" w:hAnsi="Arial Narrow"/>
                <w:sz w:val="20"/>
              </w:rPr>
              <w:t>p&lt;0.001</w:t>
            </w:r>
          </w:p>
        </w:tc>
      </w:tr>
    </w:tbl>
    <w:p w14:paraId="537BDA41" w14:textId="409235ED" w:rsidR="000F1647" w:rsidRPr="00DD53E7" w:rsidRDefault="000F1647" w:rsidP="000F1647">
      <w:pPr>
        <w:spacing w:line="240" w:lineRule="auto"/>
        <w:rPr>
          <w:rFonts w:ascii="Arial Narrow" w:hAnsi="Arial Narrow"/>
          <w:sz w:val="18"/>
          <w:szCs w:val="18"/>
        </w:rPr>
      </w:pPr>
      <w:bookmarkStart w:id="316" w:name="_Ref498012780"/>
      <w:r>
        <w:rPr>
          <w:rFonts w:ascii="Arial Narrow" w:hAnsi="Arial Narrow"/>
          <w:sz w:val="18"/>
          <w:szCs w:val="18"/>
        </w:rPr>
        <w:t xml:space="preserve">AFC = antral follicle count; </w:t>
      </w:r>
      <w:r w:rsidRPr="002C54E5">
        <w:rPr>
          <w:rFonts w:ascii="Arial Narrow" w:hAnsi="Arial Narrow"/>
          <w:sz w:val="18"/>
          <w:szCs w:val="18"/>
        </w:rPr>
        <w:t xml:space="preserve">CRA = </w:t>
      </w:r>
      <w:r>
        <w:rPr>
          <w:rFonts w:ascii="Arial Narrow" w:hAnsi="Arial Narrow"/>
          <w:sz w:val="18"/>
          <w:szCs w:val="18"/>
        </w:rPr>
        <w:t>chemotherapy-related amenorrhea; SD = standard deviation</w:t>
      </w:r>
    </w:p>
    <w:p w14:paraId="6512CF98" w14:textId="105A6F41" w:rsidR="00A813F1" w:rsidRDefault="00A813F1" w:rsidP="00DD53E7">
      <w:pPr>
        <w:pStyle w:val="Caption"/>
        <w:keepNext/>
        <w:ind w:left="993" w:hanging="993"/>
      </w:pPr>
      <w:bookmarkStart w:id="317" w:name="_Toc502833064"/>
      <w:r>
        <w:t xml:space="preserve">Table </w:t>
      </w:r>
      <w:r w:rsidR="00AC4BE5">
        <w:fldChar w:fldCharType="begin"/>
      </w:r>
      <w:r w:rsidR="00AC4BE5">
        <w:instrText xml:space="preserve"> SEQ Table \* ARABIC </w:instrText>
      </w:r>
      <w:r w:rsidR="00AC4BE5">
        <w:fldChar w:fldCharType="separate"/>
      </w:r>
      <w:r w:rsidR="00AC4BE5">
        <w:rPr>
          <w:noProof/>
        </w:rPr>
        <w:t>46</w:t>
      </w:r>
      <w:r w:rsidR="00AC4BE5">
        <w:rPr>
          <w:noProof/>
        </w:rPr>
        <w:fldChar w:fldCharType="end"/>
      </w:r>
      <w:bookmarkEnd w:id="316"/>
      <w:r>
        <w:tab/>
        <w:t>Age</w:t>
      </w:r>
      <w:r w:rsidRPr="003B400F">
        <w:t xml:space="preserve"> </w:t>
      </w:r>
      <w:r>
        <w:t xml:space="preserve">at baseline </w:t>
      </w:r>
      <w:r w:rsidRPr="003B400F">
        <w:t>in breast cancer patients with</w:t>
      </w:r>
      <w:r>
        <w:t xml:space="preserve"> CRA at follow-up compared with age at baseline</w:t>
      </w:r>
      <w:r w:rsidRPr="003B400F">
        <w:t xml:space="preserve"> in patients without CRA</w:t>
      </w:r>
      <w:r>
        <w:t xml:space="preserve"> at follow-up</w:t>
      </w:r>
      <w:bookmarkEnd w:id="317"/>
    </w:p>
    <w:tbl>
      <w:tblPr>
        <w:tblStyle w:val="TableGrid8"/>
        <w:tblW w:w="9209" w:type="dxa"/>
        <w:tblLook w:val="04A0" w:firstRow="1" w:lastRow="0" w:firstColumn="1" w:lastColumn="0" w:noHBand="0" w:noVBand="1"/>
        <w:tblCaption w:val="Baseline Inhibin B levels in breast cancer patients with CRA at follow-up compared with baseline Inhibin B levels in patients without CRA"/>
        <w:tblDescription w:val="Baseline Inhibin B levels in breast cancer patients with CRA at follow-up compared with baseline Inhibin B levels in patients without CRA"/>
      </w:tblPr>
      <w:tblGrid>
        <w:gridCol w:w="1309"/>
        <w:gridCol w:w="2046"/>
        <w:gridCol w:w="941"/>
        <w:gridCol w:w="1442"/>
        <w:gridCol w:w="1345"/>
        <w:gridCol w:w="1276"/>
        <w:gridCol w:w="850"/>
      </w:tblGrid>
      <w:tr w:rsidR="00A813F1" w:rsidRPr="00DE61DD" w14:paraId="777C1C64" w14:textId="77777777" w:rsidTr="00762873">
        <w:trPr>
          <w:trHeight w:val="274"/>
          <w:tblHeader/>
        </w:trPr>
        <w:tc>
          <w:tcPr>
            <w:tcW w:w="1309" w:type="dxa"/>
          </w:tcPr>
          <w:p w14:paraId="1DB2EE23" w14:textId="77777777" w:rsidR="00A813F1" w:rsidRPr="00DE61DD" w:rsidRDefault="00A813F1" w:rsidP="00992BCE">
            <w:pPr>
              <w:spacing w:after="0" w:line="240" w:lineRule="auto"/>
              <w:ind w:right="-57"/>
              <w:rPr>
                <w:rFonts w:ascii="Arial Narrow" w:hAnsi="Arial Narrow"/>
                <w:b/>
                <w:sz w:val="20"/>
              </w:rPr>
            </w:pPr>
            <w:r w:rsidRPr="00DE61DD">
              <w:rPr>
                <w:rFonts w:ascii="Arial Narrow" w:hAnsi="Arial Narrow"/>
                <w:b/>
                <w:sz w:val="20"/>
              </w:rPr>
              <w:t>Study</w:t>
            </w:r>
          </w:p>
        </w:tc>
        <w:tc>
          <w:tcPr>
            <w:tcW w:w="2046" w:type="dxa"/>
          </w:tcPr>
          <w:p w14:paraId="7466681D" w14:textId="77777777" w:rsidR="00A813F1" w:rsidRPr="00DE61DD" w:rsidRDefault="00A813F1" w:rsidP="00992BCE">
            <w:pPr>
              <w:spacing w:after="0" w:line="240" w:lineRule="auto"/>
              <w:ind w:right="-57"/>
              <w:rPr>
                <w:rFonts w:ascii="Arial Narrow" w:hAnsi="Arial Narrow"/>
                <w:b/>
                <w:sz w:val="20"/>
              </w:rPr>
            </w:pPr>
            <w:r w:rsidRPr="00DE61DD">
              <w:rPr>
                <w:rFonts w:ascii="Arial Narrow" w:hAnsi="Arial Narrow"/>
                <w:b/>
                <w:sz w:val="20"/>
              </w:rPr>
              <w:t>Population</w:t>
            </w:r>
          </w:p>
        </w:tc>
        <w:tc>
          <w:tcPr>
            <w:tcW w:w="941" w:type="dxa"/>
          </w:tcPr>
          <w:p w14:paraId="17B5119B" w14:textId="77777777" w:rsidR="00A813F1" w:rsidRPr="00DE61DD" w:rsidRDefault="00A813F1" w:rsidP="00992BCE">
            <w:pPr>
              <w:spacing w:after="0" w:line="240" w:lineRule="auto"/>
              <w:ind w:right="-57"/>
              <w:rPr>
                <w:rFonts w:ascii="Arial Narrow" w:hAnsi="Arial Narrow"/>
                <w:b/>
                <w:sz w:val="20"/>
              </w:rPr>
            </w:pPr>
            <w:r w:rsidRPr="00DE61DD">
              <w:rPr>
                <w:rFonts w:ascii="Arial Narrow" w:hAnsi="Arial Narrow"/>
                <w:b/>
                <w:sz w:val="20"/>
              </w:rPr>
              <w:t>Follow-up</w:t>
            </w:r>
          </w:p>
        </w:tc>
        <w:tc>
          <w:tcPr>
            <w:tcW w:w="1442" w:type="dxa"/>
          </w:tcPr>
          <w:p w14:paraId="18711E89" w14:textId="77777777" w:rsidR="00A813F1" w:rsidRPr="00DE61DD" w:rsidRDefault="00A813F1" w:rsidP="00992BCE">
            <w:pPr>
              <w:spacing w:after="0" w:line="240" w:lineRule="auto"/>
              <w:ind w:right="-57"/>
              <w:rPr>
                <w:rFonts w:ascii="Arial Narrow" w:hAnsi="Arial Narrow"/>
                <w:b/>
                <w:sz w:val="20"/>
              </w:rPr>
            </w:pPr>
            <w:r w:rsidRPr="00DE61DD">
              <w:rPr>
                <w:rFonts w:ascii="Arial Narrow" w:hAnsi="Arial Narrow"/>
                <w:b/>
                <w:sz w:val="20"/>
              </w:rPr>
              <w:t>Age (years)</w:t>
            </w:r>
            <w:r>
              <w:rPr>
                <w:rFonts w:ascii="Arial Narrow" w:hAnsi="Arial Narrow"/>
                <w:b/>
                <w:sz w:val="20"/>
              </w:rPr>
              <w:t xml:space="preserve"> at baseline</w:t>
            </w:r>
          </w:p>
        </w:tc>
        <w:tc>
          <w:tcPr>
            <w:tcW w:w="1345" w:type="dxa"/>
          </w:tcPr>
          <w:p w14:paraId="46AD1C3A" w14:textId="77777777" w:rsidR="00A813F1" w:rsidRPr="00DE61DD" w:rsidRDefault="00A813F1" w:rsidP="00992BCE">
            <w:pPr>
              <w:spacing w:after="0" w:line="240" w:lineRule="auto"/>
              <w:ind w:right="-57"/>
              <w:rPr>
                <w:rFonts w:ascii="Arial Narrow" w:hAnsi="Arial Narrow"/>
                <w:b/>
                <w:sz w:val="20"/>
              </w:rPr>
            </w:pPr>
            <w:r w:rsidRPr="00DE61DD">
              <w:rPr>
                <w:rFonts w:ascii="Arial Narrow" w:hAnsi="Arial Narrow"/>
                <w:b/>
                <w:sz w:val="20"/>
              </w:rPr>
              <w:t>CRA</w:t>
            </w:r>
          </w:p>
        </w:tc>
        <w:tc>
          <w:tcPr>
            <w:tcW w:w="1276" w:type="dxa"/>
          </w:tcPr>
          <w:p w14:paraId="7A20A838" w14:textId="77777777" w:rsidR="00A813F1" w:rsidRPr="00DE61DD" w:rsidRDefault="00A813F1" w:rsidP="00992BCE">
            <w:pPr>
              <w:spacing w:after="0" w:line="240" w:lineRule="auto"/>
              <w:ind w:right="-57"/>
              <w:rPr>
                <w:rFonts w:ascii="Arial Narrow" w:hAnsi="Arial Narrow"/>
                <w:b/>
                <w:sz w:val="20"/>
              </w:rPr>
            </w:pPr>
            <w:r w:rsidRPr="00DE61DD">
              <w:rPr>
                <w:rFonts w:ascii="Arial Narrow" w:hAnsi="Arial Narrow"/>
                <w:b/>
                <w:sz w:val="20"/>
              </w:rPr>
              <w:t>No CRA</w:t>
            </w:r>
          </w:p>
        </w:tc>
        <w:tc>
          <w:tcPr>
            <w:tcW w:w="850" w:type="dxa"/>
          </w:tcPr>
          <w:p w14:paraId="51E273AA" w14:textId="77BE6B54" w:rsidR="00A813F1" w:rsidRPr="00DE61DD" w:rsidRDefault="006F069F" w:rsidP="00992BCE">
            <w:pPr>
              <w:spacing w:after="0" w:line="240" w:lineRule="auto"/>
              <w:ind w:right="-57"/>
              <w:rPr>
                <w:rFonts w:ascii="Arial Narrow" w:hAnsi="Arial Narrow"/>
                <w:b/>
                <w:sz w:val="20"/>
              </w:rPr>
            </w:pPr>
            <w:r>
              <w:rPr>
                <w:rFonts w:ascii="Arial Narrow" w:hAnsi="Arial Narrow"/>
                <w:b/>
                <w:sz w:val="20"/>
              </w:rPr>
              <w:t>p-value</w:t>
            </w:r>
          </w:p>
        </w:tc>
      </w:tr>
      <w:tr w:rsidR="00A813F1" w:rsidRPr="00DE61DD" w14:paraId="3D65E03F" w14:textId="77777777" w:rsidTr="009C25E2">
        <w:trPr>
          <w:trHeight w:val="1069"/>
          <w:tblHeader/>
        </w:trPr>
        <w:tc>
          <w:tcPr>
            <w:tcW w:w="1309" w:type="dxa"/>
          </w:tcPr>
          <w:p w14:paraId="6F5A2E26" w14:textId="299C8D4B" w:rsidR="00A813F1" w:rsidRPr="00DE61DD" w:rsidRDefault="00A813F1" w:rsidP="00835BA6">
            <w:pPr>
              <w:spacing w:after="0" w:line="240" w:lineRule="auto"/>
              <w:rPr>
                <w:rFonts w:ascii="Arial Narrow" w:hAnsi="Arial Narrow"/>
                <w:sz w:val="20"/>
              </w:rPr>
            </w:pPr>
            <w:r>
              <w:rPr>
                <w:rFonts w:ascii="Arial Narrow" w:hAnsi="Arial Narrow"/>
                <w:sz w:val="20"/>
              </w:rPr>
              <w:lastRenderedPageBreak/>
              <w:t>Anderson et al.</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7" w:tooltip="Anderson, 2013 #28" w:history="1">
              <w:r w:rsidR="00835BA6">
                <w:rPr>
                  <w:rFonts w:ascii="Arial Narrow" w:hAnsi="Arial Narrow"/>
                  <w:noProof/>
                  <w:sz w:val="20"/>
                </w:rPr>
                <w:t>2013</w:t>
              </w:r>
            </w:hyperlink>
            <w:r>
              <w:rPr>
                <w:rFonts w:ascii="Arial Narrow" w:hAnsi="Arial Narrow"/>
                <w:noProof/>
                <w:sz w:val="20"/>
              </w:rPr>
              <w:t>)</w:t>
            </w:r>
            <w:r>
              <w:rPr>
                <w:rFonts w:ascii="Arial Narrow" w:hAnsi="Arial Narrow"/>
                <w:sz w:val="20"/>
              </w:rPr>
              <w:fldChar w:fldCharType="end"/>
            </w:r>
          </w:p>
        </w:tc>
        <w:tc>
          <w:tcPr>
            <w:tcW w:w="2046" w:type="dxa"/>
          </w:tcPr>
          <w:p w14:paraId="71A95187"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b/>
                <w:sz w:val="20"/>
              </w:rPr>
              <w:t>N=55</w:t>
            </w:r>
            <w:r w:rsidRPr="00DE61DD">
              <w:rPr>
                <w:rFonts w:ascii="Arial Narrow" w:hAnsi="Arial Narrow"/>
                <w:sz w:val="20"/>
              </w:rPr>
              <w:t xml:space="preserve"> at 1 year, </w:t>
            </w:r>
            <w:r w:rsidRPr="00DE61DD">
              <w:rPr>
                <w:rFonts w:ascii="Arial Narrow" w:hAnsi="Arial Narrow"/>
                <w:b/>
                <w:sz w:val="20"/>
              </w:rPr>
              <w:t>N=46</w:t>
            </w:r>
            <w:r w:rsidRPr="00DE61DD">
              <w:rPr>
                <w:rFonts w:ascii="Arial Narrow" w:hAnsi="Arial Narrow"/>
                <w:sz w:val="20"/>
              </w:rPr>
              <w:t xml:space="preserve"> at 2 year follow-up</w:t>
            </w:r>
          </w:p>
          <w:p w14:paraId="07A98D46" w14:textId="38909950"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Pre</w:t>
            </w:r>
            <w:r w:rsidR="003036C4">
              <w:rPr>
                <w:rFonts w:ascii="Arial Narrow" w:hAnsi="Arial Narrow"/>
                <w:sz w:val="20"/>
              </w:rPr>
              <w:t>-menopausal</w:t>
            </w:r>
            <w:r w:rsidRPr="00DE61DD">
              <w:rPr>
                <w:rFonts w:ascii="Arial Narrow" w:hAnsi="Arial Narrow"/>
                <w:sz w:val="20"/>
              </w:rPr>
              <w:t xml:space="preserve"> women with early breast cancer</w:t>
            </w:r>
          </w:p>
        </w:tc>
        <w:tc>
          <w:tcPr>
            <w:tcW w:w="941" w:type="dxa"/>
          </w:tcPr>
          <w:p w14:paraId="0D782D15" w14:textId="77777777" w:rsidR="007518CF" w:rsidRDefault="00A813F1" w:rsidP="00992BCE">
            <w:pPr>
              <w:spacing w:after="0" w:line="240" w:lineRule="auto"/>
              <w:ind w:right="-57"/>
              <w:rPr>
                <w:rFonts w:ascii="Arial Narrow" w:hAnsi="Arial Narrow"/>
                <w:sz w:val="20"/>
              </w:rPr>
            </w:pPr>
            <w:r w:rsidRPr="00DE61DD">
              <w:rPr>
                <w:rFonts w:ascii="Arial Narrow" w:hAnsi="Arial Narrow"/>
                <w:sz w:val="20"/>
              </w:rPr>
              <w:t>1 year</w:t>
            </w:r>
          </w:p>
          <w:p w14:paraId="4A3F2092" w14:textId="15D452C6"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2 years</w:t>
            </w:r>
          </w:p>
        </w:tc>
        <w:tc>
          <w:tcPr>
            <w:tcW w:w="1442" w:type="dxa"/>
          </w:tcPr>
          <w:p w14:paraId="6505767E" w14:textId="080A5F2C"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Mean</w:t>
            </w:r>
            <w:r w:rsidR="00CB05BE" w:rsidRPr="00CB05BE">
              <w:rPr>
                <w:rFonts w:ascii="Arial Narrow" w:hAnsi="Arial Narrow"/>
                <w:sz w:val="20"/>
              </w:rPr>
              <w:t> ± </w:t>
            </w:r>
            <w:r w:rsidR="00DD53E7">
              <w:rPr>
                <w:rFonts w:ascii="Arial Narrow" w:hAnsi="Arial Narrow"/>
                <w:sz w:val="20"/>
              </w:rPr>
              <w:t>SD</w:t>
            </w:r>
          </w:p>
        </w:tc>
        <w:tc>
          <w:tcPr>
            <w:tcW w:w="1345" w:type="dxa"/>
          </w:tcPr>
          <w:p w14:paraId="1D9FBC62" w14:textId="4E70BC50"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43.3</w:t>
            </w:r>
            <w:r w:rsidR="00CB05BE" w:rsidRPr="00CB05BE">
              <w:rPr>
                <w:rFonts w:ascii="Arial Narrow" w:hAnsi="Arial Narrow"/>
                <w:sz w:val="20"/>
              </w:rPr>
              <w:t> ± </w:t>
            </w:r>
            <w:r w:rsidRPr="00DE61DD">
              <w:rPr>
                <w:rFonts w:ascii="Arial Narrow" w:hAnsi="Arial Narrow"/>
                <w:sz w:val="20"/>
              </w:rPr>
              <w:t>0.7</w:t>
            </w:r>
          </w:p>
          <w:p w14:paraId="140AB1B4" w14:textId="3879A764"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43.9</w:t>
            </w:r>
            <w:r w:rsidR="00CB05BE" w:rsidRPr="00CB05BE">
              <w:rPr>
                <w:rFonts w:ascii="Arial Narrow" w:hAnsi="Arial Narrow"/>
                <w:sz w:val="20"/>
              </w:rPr>
              <w:t> ± </w:t>
            </w:r>
            <w:r w:rsidRPr="00DE61DD">
              <w:rPr>
                <w:rFonts w:ascii="Arial Narrow" w:hAnsi="Arial Narrow"/>
                <w:sz w:val="20"/>
              </w:rPr>
              <w:t>0.8</w:t>
            </w:r>
          </w:p>
        </w:tc>
        <w:tc>
          <w:tcPr>
            <w:tcW w:w="1276" w:type="dxa"/>
          </w:tcPr>
          <w:p w14:paraId="794FFF68" w14:textId="57B1B58F"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37.9</w:t>
            </w:r>
            <w:r w:rsidR="00CB05BE" w:rsidRPr="00CB05BE">
              <w:rPr>
                <w:rFonts w:ascii="Arial Narrow" w:hAnsi="Arial Narrow"/>
                <w:sz w:val="20"/>
              </w:rPr>
              <w:t> ± </w:t>
            </w:r>
            <w:r w:rsidRPr="00DE61DD">
              <w:rPr>
                <w:rFonts w:ascii="Arial Narrow" w:hAnsi="Arial Narrow"/>
                <w:sz w:val="20"/>
              </w:rPr>
              <w:t>0.8</w:t>
            </w:r>
          </w:p>
          <w:p w14:paraId="0D0641C1" w14:textId="25BB5A46"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37.9</w:t>
            </w:r>
            <w:r w:rsidR="00CB05BE" w:rsidRPr="00CB05BE">
              <w:rPr>
                <w:rFonts w:ascii="Arial Narrow" w:hAnsi="Arial Narrow"/>
                <w:sz w:val="20"/>
              </w:rPr>
              <w:t> ± </w:t>
            </w:r>
            <w:r w:rsidRPr="00DE61DD">
              <w:rPr>
                <w:rFonts w:ascii="Arial Narrow" w:hAnsi="Arial Narrow"/>
                <w:sz w:val="20"/>
              </w:rPr>
              <w:t>2.0</w:t>
            </w:r>
          </w:p>
        </w:tc>
        <w:tc>
          <w:tcPr>
            <w:tcW w:w="850" w:type="dxa"/>
          </w:tcPr>
          <w:p w14:paraId="44153E16"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0.03</w:t>
            </w:r>
          </w:p>
          <w:p w14:paraId="7DFBBBF0"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0.004</w:t>
            </w:r>
          </w:p>
        </w:tc>
      </w:tr>
      <w:tr w:rsidR="00A813F1" w:rsidRPr="00DE61DD" w14:paraId="3B09931D" w14:textId="77777777" w:rsidTr="009C25E2">
        <w:trPr>
          <w:trHeight w:val="842"/>
          <w:tblHeader/>
        </w:trPr>
        <w:tc>
          <w:tcPr>
            <w:tcW w:w="1309" w:type="dxa"/>
          </w:tcPr>
          <w:p w14:paraId="0858A6AF" w14:textId="4B25DD55" w:rsidR="00A813F1" w:rsidRPr="00DE61DD" w:rsidRDefault="00A813F1" w:rsidP="00835BA6">
            <w:pPr>
              <w:spacing w:after="0" w:line="240" w:lineRule="auto"/>
              <w:rPr>
                <w:rFonts w:ascii="Arial Narrow" w:hAnsi="Arial Narrow"/>
                <w:sz w:val="20"/>
              </w:rPr>
            </w:pPr>
            <w:r>
              <w:rPr>
                <w:rFonts w:ascii="Arial Narrow" w:hAnsi="Arial Narrow"/>
                <w:sz w:val="20"/>
              </w:rPr>
              <w:t xml:space="preserve">D’avila et al. </w:t>
            </w:r>
            <w:r>
              <w:rPr>
                <w:rFonts w:ascii="Arial Narrow" w:hAnsi="Arial Narrow"/>
                <w:sz w:val="20"/>
              </w:rPr>
              <w:fldChar w:fldCharType="begin"/>
            </w:r>
            <w:r w:rsidR="004308C4">
              <w:rPr>
                <w:rFonts w:ascii="Arial Narrow" w:hAnsi="Arial Narrow"/>
                <w:sz w:val="20"/>
              </w:rPr>
              <w:instrText xml:space="preserve"> ADDIN EN.CITE &lt;EndNote&gt;&lt;Cite ExcludeAuth="1"&gt;&lt;Author&gt;D&amp;apos;Avila&lt;/Author&gt;&lt;Year&gt;2015&lt;/Year&gt;&lt;RecNum&gt;110&lt;/RecNum&gt;&lt;DisplayText&gt;(2015)&lt;/DisplayText&gt;&lt;record&gt;&lt;rec-number&gt;110&lt;/rec-number&gt;&lt;foreign-keys&gt;&lt;key app="EN" db-id="s2dftfxw1fvsr1efx58vfvxtvfwzxea0td02" timestamp="1511748069"&gt;110&lt;/key&gt;&lt;/foreign-keys&gt;&lt;ref-type name="Journal Article"&gt;17&lt;/ref-type&gt;&lt;contributors&gt;&lt;authors&gt;&lt;author&gt;D&amp;apos;Avila, Â. M.&lt;/author&gt;&lt;author&gt;Biolchi, V.&lt;/author&gt;&lt;author&gt;Capp, E.&lt;/author&gt;&lt;author&gt;Corleta, H. V. E.&lt;/author&gt;&lt;/authors&gt;&lt;/contributors&gt;&lt;titles&gt;&lt;title&gt;Age, anti-müllerian hormone, antral follicles count to predict amenorrhea or oligomenorrhea after chemotherapy with cyclophosphamide&lt;/title&gt;&lt;secondary-title&gt;Journal of Ovarian Research&lt;/secondary-title&gt;&lt;/titles&gt;&lt;periodical&gt;&lt;full-title&gt;Journal of Ovarian Research&lt;/full-title&gt;&lt;/periodical&gt;&lt;volume&gt;8&lt;/volume&gt;&lt;number&gt;1&lt;/number&gt;&lt;keywords&gt;&lt;keyword&gt;Logistic Models&lt;/keyword&gt;&lt;keyword&gt;Cyclophosphamide&lt;/keyword&gt;&lt;keyword&gt;Oligomenorrhea&lt;/keyword&gt;&lt;keyword&gt;Breast Neoplasms&lt;/keyword&gt;&lt;keyword&gt;Area Under Curve&lt;/keyword&gt;&lt;keyword&gt;Amenorrhea&lt;/keyword&gt;&lt;/keywords&gt;&lt;dates&gt;&lt;year&gt;2015&lt;/year&gt;&lt;pub-dates&gt;&lt;date&gt;2015-1-1&lt;/date&gt;&lt;/pub-dates&gt;&lt;/dates&gt;&lt;isbn&gt;1757-2215&lt;/isbn&gt;&lt;accession-num&gt;rayyan-6673516&lt;/accession-num&gt;&lt;urls&gt;&lt;related-urls&gt;&lt;url&gt;http://www.embase.com/search/results?subaction=viewrecord&amp;amp;from=export&amp;amp;id=L607244547 http://dx.doi.org/10.1186/s13048-015-0209-4&lt;/url&gt;&lt;/related-urls&gt;&lt;/urls&gt;&lt;custom1&gt;RAYYAN-INCLUSION: {&amp;quot;Sharon&amp;quot;=&amp;gt;true}&lt;/custom1&gt;&lt;/record&gt;&lt;/Cite&gt;&lt;/EndNote&gt;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15" w:tooltip="D'Avila, 2015 #110" w:history="1">
              <w:r w:rsidR="00835BA6">
                <w:rPr>
                  <w:rFonts w:ascii="Arial Narrow" w:hAnsi="Arial Narrow"/>
                  <w:noProof/>
                  <w:sz w:val="20"/>
                </w:rPr>
                <w:t>2015</w:t>
              </w:r>
            </w:hyperlink>
            <w:r>
              <w:rPr>
                <w:rFonts w:ascii="Arial Narrow" w:hAnsi="Arial Narrow"/>
                <w:noProof/>
                <w:sz w:val="20"/>
              </w:rPr>
              <w:t>)</w:t>
            </w:r>
            <w:r>
              <w:rPr>
                <w:rFonts w:ascii="Arial Narrow" w:hAnsi="Arial Narrow"/>
                <w:sz w:val="20"/>
              </w:rPr>
              <w:fldChar w:fldCharType="end"/>
            </w:r>
          </w:p>
        </w:tc>
        <w:tc>
          <w:tcPr>
            <w:tcW w:w="2046" w:type="dxa"/>
          </w:tcPr>
          <w:p w14:paraId="4BFF3A3A"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b/>
                <w:sz w:val="20"/>
              </w:rPr>
              <w:t>N=47</w:t>
            </w:r>
            <w:r w:rsidRPr="00DE61DD">
              <w:rPr>
                <w:rFonts w:ascii="Arial Narrow" w:hAnsi="Arial Narrow"/>
                <w:sz w:val="20"/>
              </w:rPr>
              <w:t xml:space="preserve"> women with breast cancer</w:t>
            </w:r>
          </w:p>
        </w:tc>
        <w:tc>
          <w:tcPr>
            <w:tcW w:w="941" w:type="dxa"/>
          </w:tcPr>
          <w:p w14:paraId="196994D2"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6 months</w:t>
            </w:r>
          </w:p>
        </w:tc>
        <w:tc>
          <w:tcPr>
            <w:tcW w:w="1442" w:type="dxa"/>
          </w:tcPr>
          <w:p w14:paraId="027EF64A" w14:textId="77777777" w:rsidR="00A813F1" w:rsidRPr="00DE61DD" w:rsidRDefault="00A813F1" w:rsidP="00992BCE">
            <w:pPr>
              <w:spacing w:after="0" w:line="240" w:lineRule="auto"/>
              <w:ind w:right="-57"/>
              <w:rPr>
                <w:rFonts w:ascii="Arial Narrow" w:hAnsi="Arial Narrow"/>
                <w:sz w:val="20"/>
              </w:rPr>
            </w:pPr>
            <w:r>
              <w:rPr>
                <w:rFonts w:ascii="Arial Narrow" w:hAnsi="Arial Narrow"/>
                <w:sz w:val="20"/>
              </w:rPr>
              <w:t>M</w:t>
            </w:r>
            <w:r w:rsidRPr="00DE61DD">
              <w:rPr>
                <w:rFonts w:ascii="Arial Narrow" w:hAnsi="Arial Narrow"/>
                <w:sz w:val="20"/>
              </w:rPr>
              <w:t>edian and interquartile range</w:t>
            </w:r>
          </w:p>
        </w:tc>
        <w:tc>
          <w:tcPr>
            <w:tcW w:w="1345" w:type="dxa"/>
          </w:tcPr>
          <w:p w14:paraId="5BBB189F" w14:textId="7B5BCF0B"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36.5</w:t>
            </w:r>
            <w:r w:rsidR="00CB05BE" w:rsidRPr="00CB05BE">
              <w:rPr>
                <w:rFonts w:ascii="Arial Narrow" w:hAnsi="Arial Narrow"/>
                <w:sz w:val="20"/>
              </w:rPr>
              <w:t> ± </w:t>
            </w:r>
            <w:r w:rsidRPr="00DE61DD">
              <w:rPr>
                <w:rFonts w:ascii="Arial Narrow" w:hAnsi="Arial Narrow"/>
                <w:sz w:val="20"/>
              </w:rPr>
              <w:t>3.8</w:t>
            </w:r>
          </w:p>
        </w:tc>
        <w:tc>
          <w:tcPr>
            <w:tcW w:w="1276" w:type="dxa"/>
          </w:tcPr>
          <w:p w14:paraId="33AC7E41" w14:textId="2CB5372D"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32.9</w:t>
            </w:r>
            <w:r w:rsidR="00CB05BE" w:rsidRPr="00CB05BE">
              <w:rPr>
                <w:rFonts w:ascii="Arial Narrow" w:hAnsi="Arial Narrow"/>
                <w:sz w:val="20"/>
              </w:rPr>
              <w:t> ± </w:t>
            </w:r>
            <w:r w:rsidR="000F1647">
              <w:rPr>
                <w:rFonts w:ascii="Arial Narrow" w:hAnsi="Arial Narrow"/>
                <w:sz w:val="20"/>
              </w:rPr>
              <w:t>3.5</w:t>
            </w:r>
          </w:p>
        </w:tc>
        <w:tc>
          <w:tcPr>
            <w:tcW w:w="850" w:type="dxa"/>
          </w:tcPr>
          <w:p w14:paraId="7B746312"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0.02</w:t>
            </w:r>
          </w:p>
        </w:tc>
      </w:tr>
      <w:tr w:rsidR="00A813F1" w:rsidRPr="00DE61DD" w14:paraId="715D948B" w14:textId="77777777" w:rsidTr="009C25E2">
        <w:trPr>
          <w:trHeight w:val="698"/>
          <w:tblHeader/>
        </w:trPr>
        <w:tc>
          <w:tcPr>
            <w:tcW w:w="1309" w:type="dxa"/>
          </w:tcPr>
          <w:p w14:paraId="795D96D3" w14:textId="77777777" w:rsidR="00A813F1" w:rsidRPr="00E87235" w:rsidRDefault="00A813F1" w:rsidP="00992BCE">
            <w:pPr>
              <w:spacing w:after="0" w:line="240" w:lineRule="auto"/>
              <w:rPr>
                <w:rFonts w:ascii="Arial Narrow" w:hAnsi="Arial Narrow"/>
                <w:sz w:val="20"/>
              </w:rPr>
            </w:pPr>
            <w:r>
              <w:rPr>
                <w:rFonts w:ascii="Arial Narrow" w:hAnsi="Arial Narrow"/>
                <w:sz w:val="20"/>
              </w:rPr>
              <w:t>Dezellus et al.</w:t>
            </w:r>
          </w:p>
          <w:p w14:paraId="16700DF2" w14:textId="1B82259C" w:rsidR="00A813F1" w:rsidRPr="00DE61DD" w:rsidRDefault="00A813F1" w:rsidP="00835BA6">
            <w:pPr>
              <w:spacing w:after="0" w:line="240" w:lineRule="auto"/>
              <w:rPr>
                <w:rFonts w:ascii="Arial Narrow" w:hAnsi="Arial Narrow"/>
                <w:sz w:val="20"/>
              </w:rPr>
            </w:pPr>
            <w:r>
              <w:rPr>
                <w:rFonts w:ascii="Arial Narrow" w:hAnsi="Arial Narrow"/>
                <w:sz w:val="20"/>
              </w:rPr>
              <w:fldChar w:fldCharType="begin"/>
            </w:r>
            <w:r w:rsidR="00577E24">
              <w:rPr>
                <w:rFonts w:ascii="Arial Narrow" w:hAnsi="Arial Narrow"/>
                <w:sz w:val="20"/>
              </w:rPr>
              <w:instrText xml:space="preserve"> ADDIN EN.CITE &lt;EndNote&gt;&lt;Cite ExcludeAuth="1"&gt;&lt;Author&gt;Dezellus&lt;/Author&gt;&lt;Year&gt;2017&lt;/Year&gt;&lt;RecNum&gt;117&lt;/RecNum&gt;&lt;IDText&gt;72-80&lt;/IDText&gt;&lt;DisplayText&gt;(2017)&lt;/DisplayText&gt;&lt;record&gt;&lt;rec-number&gt;117&lt;/rec-number&gt;&lt;foreign-keys&gt;&lt;key app="EN" db-id="s2dftfxw1fvsr1efx58vfvxtvfwzxea0td02" timestamp="1511748070"&gt;117&lt;/key&gt;&lt;/foreign-keys&gt;&lt;ref-type name="Journal Article"&gt;17&lt;/ref-type&gt;&lt;contributors&gt;&lt;authors&gt;&lt;author&gt;Dezellus, A.&lt;/author&gt;&lt;author&gt;Barriere, P.&lt;/author&gt;&lt;author&gt;Campone, M.&lt;/author&gt;&lt;author&gt;Lemanski, C.&lt;/author&gt;&lt;author&gt;Vanlemmens, L.&lt;/author&gt;&lt;author&gt;Mignot, L.&lt;/author&gt;&lt;author&gt;Delozier, T.&lt;/author&gt;&lt;author&gt;Levy, C.&lt;/author&gt;&lt;author&gt;Bendavid, C.&lt;/author&gt;&lt;author&gt;Debled, M.&lt;/author&gt;&lt;author&gt;Bachelot, T.&lt;/author&gt;&lt;author&gt;Jouannaud, C.&lt;/author&gt;&lt;author&gt;Loustalot, C.&lt;/author&gt;&lt;author&gt;Mouret-Reynier, M. A.&lt;/author&gt;&lt;author&gt;Gallais-Umbert, A.&lt;/author&gt;&lt;author&gt;Masson, D.&lt;/author&gt;&lt;author&gt;Freour, T.&lt;/author&gt;&lt;/authors&gt;&lt;/contributors&gt;&lt;titles&gt;&lt;title&gt;Prospective evaluation of serum anti-Mullerian hormone dynamics in 250 women of reproductive age treated with chemotherapy for breast cancer&lt;/title&gt;&lt;secondary-title&gt;Eur J Cancer&lt;/secondary-title&gt;&lt;/titles&gt;&lt;periodical&gt;&lt;full-title&gt;Eur J Cancer&lt;/full-title&gt;&lt;/periodical&gt;&lt;pages&gt;72-80&lt;/pages&gt;&lt;volume&gt;79&lt;/volume&gt;&lt;keywords&gt;&lt;keyword&gt;Breast Neoplasms&lt;/keyword&gt;&lt;/keywords&gt;&lt;dates&gt;&lt;year&gt;2017&lt;/year&gt;&lt;pub-dates&gt;&lt;date&gt;2017-1-1&lt;/date&gt;&lt;/pub-dates&gt;&lt;/dates&gt;&lt;isbn&gt;0959-8049 (Print) 0959-8049&lt;/isbn&gt;&lt;accession-num&gt;rayyan-6673689&lt;/accession-num&gt;&lt;urls&gt;&lt;/urls&gt;&lt;custom1&gt;RAYYAN-INCLUSION: {&amp;quot;Sharon&amp;quot;=&amp;gt;true, &amp;quot;Joanne&amp;quot;=&amp;gt;true}&lt;/custom1&gt;&lt;language&gt;eng&lt;/language&gt;&lt;/record&gt;&lt;/Cite&gt;&lt;/EndNote&gt;</w:instrText>
            </w:r>
            <w:r>
              <w:rPr>
                <w:rFonts w:ascii="Arial Narrow" w:hAnsi="Arial Narrow"/>
                <w:sz w:val="20"/>
              </w:rPr>
              <w:fldChar w:fldCharType="separate"/>
            </w:r>
            <w:r>
              <w:rPr>
                <w:rFonts w:ascii="Arial Narrow" w:hAnsi="Arial Narrow"/>
                <w:noProof/>
                <w:sz w:val="20"/>
              </w:rPr>
              <w:t>(</w:t>
            </w:r>
            <w:hyperlink w:anchor="_ENREF_20" w:tooltip="Dezellus, 2017 #117" w:history="1">
              <w:r w:rsidR="00835BA6">
                <w:rPr>
                  <w:rFonts w:ascii="Arial Narrow" w:hAnsi="Arial Narrow"/>
                  <w:noProof/>
                  <w:sz w:val="20"/>
                </w:rPr>
                <w:t>2017</w:t>
              </w:r>
            </w:hyperlink>
            <w:r>
              <w:rPr>
                <w:rFonts w:ascii="Arial Narrow" w:hAnsi="Arial Narrow"/>
                <w:noProof/>
                <w:sz w:val="20"/>
              </w:rPr>
              <w:t>)</w:t>
            </w:r>
            <w:r>
              <w:rPr>
                <w:rFonts w:ascii="Arial Narrow" w:hAnsi="Arial Narrow"/>
                <w:sz w:val="20"/>
              </w:rPr>
              <w:fldChar w:fldCharType="end"/>
            </w:r>
          </w:p>
        </w:tc>
        <w:tc>
          <w:tcPr>
            <w:tcW w:w="2046" w:type="dxa"/>
          </w:tcPr>
          <w:p w14:paraId="63D3C8F7"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b/>
                <w:sz w:val="20"/>
              </w:rPr>
              <w:t>N=249</w:t>
            </w:r>
            <w:r w:rsidRPr="00DE61DD">
              <w:rPr>
                <w:rFonts w:ascii="Arial Narrow" w:hAnsi="Arial Narrow"/>
                <w:sz w:val="20"/>
              </w:rPr>
              <w:t xml:space="preserve"> women with breast cancer</w:t>
            </w:r>
          </w:p>
        </w:tc>
        <w:tc>
          <w:tcPr>
            <w:tcW w:w="941" w:type="dxa"/>
          </w:tcPr>
          <w:p w14:paraId="4ED19395"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6 months</w:t>
            </w:r>
          </w:p>
        </w:tc>
        <w:tc>
          <w:tcPr>
            <w:tcW w:w="1442" w:type="dxa"/>
          </w:tcPr>
          <w:p w14:paraId="59178B87" w14:textId="44A63A22"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Mean</w:t>
            </w:r>
            <w:r w:rsidR="00CB05BE" w:rsidRPr="00CB05BE">
              <w:rPr>
                <w:rFonts w:ascii="Arial Narrow" w:hAnsi="Arial Narrow"/>
                <w:sz w:val="20"/>
              </w:rPr>
              <w:t> ± </w:t>
            </w:r>
            <w:r w:rsidRPr="00DE61DD">
              <w:rPr>
                <w:rFonts w:ascii="Arial Narrow" w:hAnsi="Arial Narrow"/>
                <w:sz w:val="20"/>
              </w:rPr>
              <w:t>SD</w:t>
            </w:r>
          </w:p>
        </w:tc>
        <w:tc>
          <w:tcPr>
            <w:tcW w:w="1345" w:type="dxa"/>
          </w:tcPr>
          <w:p w14:paraId="7750900F" w14:textId="576A722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35.3</w:t>
            </w:r>
            <w:r w:rsidR="00FF109D">
              <w:rPr>
                <w:rFonts w:ascii="Arial Narrow" w:hAnsi="Arial Narrow"/>
                <w:sz w:val="20"/>
              </w:rPr>
              <w:t> </w:t>
            </w:r>
            <w:r w:rsidRPr="00DE61DD">
              <w:rPr>
                <w:rFonts w:ascii="Arial Narrow" w:hAnsi="Arial Narrow"/>
                <w:sz w:val="20"/>
              </w:rPr>
              <w:t>±</w:t>
            </w:r>
            <w:r w:rsidR="00FF109D">
              <w:rPr>
                <w:rFonts w:ascii="Arial Narrow" w:hAnsi="Arial Narrow"/>
                <w:sz w:val="20"/>
              </w:rPr>
              <w:t> </w:t>
            </w:r>
            <w:r w:rsidR="000F1647">
              <w:rPr>
                <w:rFonts w:ascii="Arial Narrow" w:hAnsi="Arial Narrow"/>
                <w:sz w:val="20"/>
              </w:rPr>
              <w:t>3.7</w:t>
            </w:r>
          </w:p>
        </w:tc>
        <w:tc>
          <w:tcPr>
            <w:tcW w:w="1276" w:type="dxa"/>
          </w:tcPr>
          <w:p w14:paraId="68B37D5E" w14:textId="0E728D79"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33.6</w:t>
            </w:r>
            <w:r w:rsidR="00FF109D">
              <w:rPr>
                <w:rFonts w:ascii="Arial Narrow" w:hAnsi="Arial Narrow"/>
                <w:sz w:val="20"/>
              </w:rPr>
              <w:t> </w:t>
            </w:r>
            <w:r w:rsidRPr="00DE61DD">
              <w:rPr>
                <w:rFonts w:ascii="Arial Narrow" w:hAnsi="Arial Narrow"/>
                <w:sz w:val="20"/>
              </w:rPr>
              <w:t>±</w:t>
            </w:r>
            <w:r w:rsidR="00FF109D">
              <w:rPr>
                <w:rFonts w:ascii="Arial Narrow" w:hAnsi="Arial Narrow"/>
                <w:sz w:val="20"/>
              </w:rPr>
              <w:t> </w:t>
            </w:r>
            <w:r w:rsidRPr="00DE61DD">
              <w:rPr>
                <w:rFonts w:ascii="Arial Narrow" w:hAnsi="Arial Narrow"/>
                <w:sz w:val="20"/>
              </w:rPr>
              <w:t>3.7</w:t>
            </w:r>
          </w:p>
        </w:tc>
        <w:tc>
          <w:tcPr>
            <w:tcW w:w="850" w:type="dxa"/>
          </w:tcPr>
          <w:p w14:paraId="48DD6AF8"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0.0137</w:t>
            </w:r>
          </w:p>
        </w:tc>
      </w:tr>
      <w:tr w:rsidR="00A813F1" w:rsidRPr="00DE61DD" w14:paraId="388F4851" w14:textId="77777777" w:rsidTr="009C25E2">
        <w:trPr>
          <w:trHeight w:val="1119"/>
          <w:tblHeader/>
        </w:trPr>
        <w:tc>
          <w:tcPr>
            <w:tcW w:w="1309" w:type="dxa"/>
          </w:tcPr>
          <w:p w14:paraId="7C17D147" w14:textId="14553869" w:rsidR="00A813F1" w:rsidRPr="00DE61DD" w:rsidRDefault="00A813F1" w:rsidP="00835BA6">
            <w:pPr>
              <w:spacing w:after="0" w:line="240" w:lineRule="auto"/>
              <w:rPr>
                <w:rFonts w:ascii="Arial Narrow" w:hAnsi="Arial Narrow"/>
                <w:sz w:val="20"/>
              </w:rPr>
            </w:pPr>
            <w:r>
              <w:rPr>
                <w:rFonts w:ascii="Arial Narrow" w:hAnsi="Arial Narrow"/>
                <w:sz w:val="20"/>
              </w:rPr>
              <w:t xml:space="preserve">Ruddy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ExcludeAuth="1"&gt;&lt;Author&gt;Ruddy&lt;/Author&gt;&lt;Year&gt;2014&lt;/Year&gt;&lt;RecNum&gt;304&lt;/RecNum&gt;&lt;IDText&gt;591-7&lt;/IDText&gt;&lt;DisplayText&gt;(2014)&lt;/DisplayText&gt;&lt;record&gt;&lt;rec-number&gt;304&lt;/rec-number&gt;&lt;foreign-keys&gt;&lt;key app="EN" db-id="s2dftfxw1fvsr1efx58vfvxtvfwzxea0td02" timestamp="1511748094"&gt;304&lt;/key&gt;&lt;/foreign-keys&gt;&lt;ref-type name="Electronic Article"&gt;43&lt;/ref-type&gt;&lt;contributors&gt;&lt;authors&gt;&lt;author&gt;Ruddy, Kj&lt;/author&gt;&lt;author&gt;O&amp;apos;Neill, A&lt;/author&gt;&lt;author&gt;Miller, Kd&lt;/author&gt;&lt;author&gt;Schneider, Bp&lt;/author&gt;&lt;author&gt;Baker, E&lt;/author&gt;&lt;author&gt;Sparano, Ja&lt;/author&gt;&lt;author&gt;Dang, C&lt;/author&gt;&lt;author&gt;Northfelt, Dw&lt;/author&gt;&lt;author&gt;Sledge, Gw&lt;/author&gt;&lt;author&gt;Partridge, Ah&lt;/author&gt;&lt;/authors&gt;&lt;/contributors&gt;&lt;titles&gt;&lt;title&gt;Biomarker prediction of chemotherapy-related amenorrhea in premenopausal women with breast cancer participating in E5103&lt;/title&gt;&lt;/titles&gt;&lt;pages&gt;591-7&lt;/pages&gt;&lt;volume&gt;144&lt;/volume&gt;&lt;number&gt;3&lt;/number&gt;&lt;keywords&gt;&lt;keyword&gt;Amenorrhea&lt;/keyword&gt;&lt;keyword&gt;Premenopause&lt;/keyword&gt;&lt;keyword&gt;Biological Markers&lt;/keyword&gt;&lt;keyword&gt;Breast Neoplasms&lt;/keyword&gt;&lt;/keywords&gt;&lt;dates&gt;&lt;year&gt;2014&lt;/year&gt;&lt;pub-dates&gt;&lt;date&gt;2014-1-1&lt;/date&gt;&lt;/pub-dates&gt;&lt;/dates&gt;&lt;isbn&gt;0167-6806&lt;/isbn&gt;&lt;accession-num&gt;rayyan-6678069&lt;/accession-num&gt;&lt;urls&gt;&lt;related-urls&gt;&lt;url&gt;http://onlinelibrary.wiley.com/o/cochrane/clcentral/articles/585/CN-00988585/frame.html&lt;/url&gt;&lt;url&gt;https://link.springer.com/content/pdf/10.1007%2Fs10549-014-2891-0.pdf&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59" w:tooltip="Ruddy, 2014 #304" w:history="1">
              <w:r w:rsidR="00835BA6">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p>
        </w:tc>
        <w:tc>
          <w:tcPr>
            <w:tcW w:w="2046" w:type="dxa"/>
          </w:tcPr>
          <w:p w14:paraId="38C488AE"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b/>
                <w:sz w:val="20"/>
              </w:rPr>
              <w:t>N=124</w:t>
            </w:r>
            <w:r w:rsidRPr="00DE61DD">
              <w:rPr>
                <w:rFonts w:ascii="Arial Narrow" w:hAnsi="Arial Narrow"/>
                <w:sz w:val="20"/>
              </w:rPr>
              <w:t xml:space="preserve"> at 1 year, </w:t>
            </w:r>
            <w:r w:rsidRPr="00DE61DD">
              <w:rPr>
                <w:rFonts w:ascii="Arial Narrow" w:hAnsi="Arial Narrow"/>
                <w:b/>
                <w:sz w:val="20"/>
              </w:rPr>
              <w:t>N=100</w:t>
            </w:r>
            <w:r w:rsidRPr="00DE61DD">
              <w:rPr>
                <w:rFonts w:ascii="Arial Narrow" w:hAnsi="Arial Narrow"/>
                <w:sz w:val="20"/>
              </w:rPr>
              <w:t xml:space="preserve"> at 18 month follow-up</w:t>
            </w:r>
          </w:p>
          <w:p w14:paraId="66BC46A9" w14:textId="2F3BE9E5"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Pre</w:t>
            </w:r>
            <w:r w:rsidR="003036C4">
              <w:rPr>
                <w:rFonts w:ascii="Arial Narrow" w:hAnsi="Arial Narrow"/>
                <w:sz w:val="20"/>
              </w:rPr>
              <w:t>-menopausal</w:t>
            </w:r>
            <w:r w:rsidRPr="00DE61DD">
              <w:rPr>
                <w:rFonts w:ascii="Arial Narrow" w:hAnsi="Arial Narrow"/>
                <w:sz w:val="20"/>
              </w:rPr>
              <w:t xml:space="preserve"> women with breast cancer</w:t>
            </w:r>
          </w:p>
        </w:tc>
        <w:tc>
          <w:tcPr>
            <w:tcW w:w="941" w:type="dxa"/>
          </w:tcPr>
          <w:p w14:paraId="5FEFBE39"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1 year</w:t>
            </w:r>
          </w:p>
          <w:p w14:paraId="0B618214"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18 months</w:t>
            </w:r>
          </w:p>
        </w:tc>
        <w:tc>
          <w:tcPr>
            <w:tcW w:w="1442" w:type="dxa"/>
          </w:tcPr>
          <w:p w14:paraId="2DCC7277" w14:textId="2EF8DD78" w:rsidR="00A813F1" w:rsidRPr="00DE61DD" w:rsidRDefault="00A813F1" w:rsidP="00992BCE">
            <w:pPr>
              <w:spacing w:after="0" w:line="240" w:lineRule="auto"/>
              <w:ind w:right="-57"/>
              <w:rPr>
                <w:rFonts w:ascii="Arial Narrow" w:hAnsi="Arial Narrow"/>
                <w:sz w:val="20"/>
              </w:rPr>
            </w:pPr>
            <w:r>
              <w:rPr>
                <w:rFonts w:ascii="Arial Narrow" w:hAnsi="Arial Narrow"/>
                <w:sz w:val="20"/>
              </w:rPr>
              <w:t>M</w:t>
            </w:r>
            <w:r w:rsidR="00DD53E7">
              <w:rPr>
                <w:rFonts w:ascii="Arial Narrow" w:hAnsi="Arial Narrow"/>
                <w:sz w:val="20"/>
              </w:rPr>
              <w:t>edian</w:t>
            </w:r>
          </w:p>
        </w:tc>
        <w:tc>
          <w:tcPr>
            <w:tcW w:w="1345" w:type="dxa"/>
          </w:tcPr>
          <w:p w14:paraId="17501002"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46 (n=102)</w:t>
            </w:r>
          </w:p>
          <w:p w14:paraId="7582C8DB"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46 (n=81)</w:t>
            </w:r>
          </w:p>
        </w:tc>
        <w:tc>
          <w:tcPr>
            <w:tcW w:w="1276" w:type="dxa"/>
          </w:tcPr>
          <w:p w14:paraId="3560793D"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36.5 (n=22)</w:t>
            </w:r>
          </w:p>
          <w:p w14:paraId="5117E06B"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37 (n=19)</w:t>
            </w:r>
          </w:p>
        </w:tc>
        <w:tc>
          <w:tcPr>
            <w:tcW w:w="850" w:type="dxa"/>
          </w:tcPr>
          <w:p w14:paraId="1C0938BF"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&lt;0.0001</w:t>
            </w:r>
          </w:p>
          <w:p w14:paraId="28D2C2FE" w14:textId="77777777" w:rsidR="00A813F1" w:rsidRPr="00DE61DD" w:rsidRDefault="00A813F1" w:rsidP="00992BCE">
            <w:pPr>
              <w:spacing w:after="0" w:line="240" w:lineRule="auto"/>
              <w:ind w:right="-57"/>
              <w:rPr>
                <w:rFonts w:ascii="Arial Narrow" w:hAnsi="Arial Narrow"/>
                <w:sz w:val="20"/>
              </w:rPr>
            </w:pPr>
            <w:r w:rsidRPr="00DE61DD">
              <w:rPr>
                <w:rFonts w:ascii="Arial Narrow" w:hAnsi="Arial Narrow"/>
                <w:sz w:val="20"/>
              </w:rPr>
              <w:t>&lt;0.0001</w:t>
            </w:r>
          </w:p>
        </w:tc>
      </w:tr>
    </w:tbl>
    <w:p w14:paraId="6FF90DC5" w14:textId="67209BC7" w:rsidR="000F1647" w:rsidRPr="00DD53E7" w:rsidRDefault="000F1647" w:rsidP="000F1647">
      <w:pPr>
        <w:spacing w:line="240" w:lineRule="auto"/>
        <w:rPr>
          <w:rFonts w:ascii="Arial Narrow" w:hAnsi="Arial Narrow"/>
          <w:sz w:val="18"/>
          <w:szCs w:val="18"/>
        </w:rPr>
      </w:pPr>
      <w:bookmarkStart w:id="318" w:name="_Ref497897866"/>
      <w:r w:rsidRPr="002C54E5">
        <w:rPr>
          <w:rFonts w:ascii="Arial Narrow" w:hAnsi="Arial Narrow"/>
          <w:sz w:val="18"/>
          <w:szCs w:val="18"/>
        </w:rPr>
        <w:t xml:space="preserve">CRA = </w:t>
      </w:r>
      <w:r>
        <w:rPr>
          <w:rFonts w:ascii="Arial Narrow" w:hAnsi="Arial Narrow"/>
          <w:sz w:val="18"/>
          <w:szCs w:val="18"/>
        </w:rPr>
        <w:t>chemotherapy-related amenorrhea; SD = standard deviation</w:t>
      </w:r>
    </w:p>
    <w:p w14:paraId="6BD60E2F" w14:textId="77777777" w:rsidR="00A813F1" w:rsidRDefault="00A813F1" w:rsidP="00A813F1">
      <w:pPr>
        <w:pStyle w:val="Heading5"/>
      </w:pPr>
      <w:bookmarkStart w:id="319" w:name="_Ref501464633"/>
      <w:r>
        <w:t>Multivariate analysis in women tested before undergoing gonadotoxic treatment</w:t>
      </w:r>
      <w:bookmarkEnd w:id="318"/>
      <w:bookmarkEnd w:id="319"/>
    </w:p>
    <w:p w14:paraId="58EFE4CE" w14:textId="77777777" w:rsidR="00AC4BE5" w:rsidRDefault="00A813F1" w:rsidP="00A813F1">
      <w:pPr>
        <w:pStyle w:val="Caption"/>
        <w:keepNext/>
        <w:sectPr w:rsidR="00AC4BE5" w:rsidSect="00604A86">
          <w:headerReference w:type="even" r:id="rId28"/>
          <w:headerReference w:type="default" r:id="rId29"/>
          <w:footerReference w:type="even" r:id="rId30"/>
          <w:headerReference w:type="first" r:id="rId31"/>
          <w:type w:val="oddPage"/>
          <w:pgSz w:w="11906" w:h="16838"/>
          <w:pgMar w:top="1440" w:right="1440" w:bottom="1440" w:left="1440" w:header="720" w:footer="720" w:gutter="0"/>
          <w:paperSrc w:first="1512" w:other="1512"/>
          <w:cols w:space="720"/>
          <w:docGrid w:linePitch="299"/>
        </w:sectPr>
      </w:pPr>
      <w:r>
        <w:t xml:space="preserve">Univariate analysis alone is insufficient to determine the incremental prognostic value of AMH testing, as the different variables are not </w:t>
      </w:r>
      <w:r w:rsidR="00E76D6A">
        <w:t>independent</w:t>
      </w:r>
      <w:r>
        <w:t>. AMH values decrease with age and correlate with oth</w:t>
      </w:r>
      <w:r w:rsidR="00E76D6A">
        <w:t>er hormone tests (e.g. FSH, E2;</w:t>
      </w:r>
      <w:r>
        <w:t xml:space="preserve"> see Section B3). Five studies conducted a multivariate regression analysis to adjust for other variables, such as age, treatment, and/or other hormone tests </w:t>
      </w:r>
      <w:r>
        <w:fldChar w:fldCharType="begin">
          <w:fldData xml:space="preserve">PEVuZE5vdGU+PENpdGU+PEF1dGhvcj5BbmRlcnNvbjwvQXV0aG9yPjxZZWFyPjIwMTE8L1llYXI+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</w:fldData>
        </w:fldChar>
      </w:r>
      <w:r w:rsidR="00577E24">
        <w:instrText xml:space="preserve"> ADDIN EN.CITE </w:instrText>
      </w:r>
      <w:r w:rsidR="00577E24">
        <w:fldChar w:fldCharType="begin">
          <w:fldData xml:space="preserve">PEVuZE5vdGU+PENpdGU+PEF1dGhvcj5BbmRlcnNvbjwvQXV0aG9yPjxZZWFyPjIwMTE8L1llYXI+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</w:fldData>
        </w:fldChar>
      </w:r>
      <w:r w:rsidR="00577E24">
        <w:instrText xml:space="preserve"> ADDIN EN.CITE.DATA </w:instrText>
      </w:r>
      <w:r w:rsidR="00577E24">
        <w:fldChar w:fldCharType="end"/>
      </w:r>
      <w:r>
        <w:fldChar w:fldCharType="separate"/>
      </w:r>
      <w:r w:rsidR="00A109BA">
        <w:rPr>
          <w:noProof/>
        </w:rPr>
        <w:t>(</w:t>
      </w:r>
      <w:hyperlink w:anchor="_ENREF_6" w:tooltip="Anderson, 2011 #27" w:history="1">
        <w:r w:rsidR="00835BA6">
          <w:rPr>
            <w:noProof/>
          </w:rPr>
          <w:t>Anderson &amp; Cameron 2011</w:t>
        </w:r>
      </w:hyperlink>
      <w:r w:rsidR="00A109BA">
        <w:rPr>
          <w:noProof/>
        </w:rPr>
        <w:t xml:space="preserve">; </w:t>
      </w:r>
      <w:hyperlink w:anchor="_ENREF_7" w:tooltip="Anderson, 2013 #28" w:history="1">
        <w:r w:rsidR="00835BA6">
          <w:rPr>
            <w:noProof/>
          </w:rPr>
          <w:t>Anderson et al. 2013</w:t>
        </w:r>
      </w:hyperlink>
      <w:r w:rsidR="00A109BA">
        <w:rPr>
          <w:noProof/>
        </w:rPr>
        <w:t xml:space="preserve">; </w:t>
      </w:r>
      <w:hyperlink w:anchor="_ENREF_29" w:tooltip="Henry, 2014 #178" w:history="1">
        <w:r w:rsidR="00835BA6">
          <w:rPr>
            <w:noProof/>
          </w:rPr>
          <w:t>Henry et al. 2014</w:t>
        </w:r>
      </w:hyperlink>
      <w:r w:rsidR="00A109BA">
        <w:rPr>
          <w:noProof/>
        </w:rPr>
        <w:t xml:space="preserve">; </w:t>
      </w:r>
      <w:hyperlink w:anchor="_ENREF_59" w:tooltip="Ruddy, 2014 #304" w:history="1">
        <w:r w:rsidR="00835BA6">
          <w:rPr>
            <w:noProof/>
          </w:rPr>
          <w:t>Ruddy et al. 2014</w:t>
        </w:r>
      </w:hyperlink>
      <w:r w:rsidR="00A109BA">
        <w:rPr>
          <w:noProof/>
        </w:rPr>
        <w:t xml:space="preserve">; </w:t>
      </w:r>
      <w:hyperlink w:anchor="_ENREF_63" w:tooltip="Su, 2014 #333" w:history="1">
        <w:r w:rsidR="00835BA6">
          <w:rPr>
            <w:noProof/>
          </w:rPr>
          <w:t>Su, HC et al. 2014</w:t>
        </w:r>
      </w:hyperlink>
      <w:r w:rsidR="00A109BA">
        <w:rPr>
          <w:noProof/>
        </w:rPr>
        <w:t>)</w:t>
      </w:r>
      <w:r>
        <w:fldChar w:fldCharType="end"/>
      </w:r>
      <w:r>
        <w:t>. The results are shown in</w:t>
      </w:r>
      <w:r w:rsidR="002F0A7E">
        <w:t xml:space="preserve"> </w:t>
      </w:r>
      <w:r w:rsidR="002F0A7E">
        <w:fldChar w:fldCharType="begin"/>
      </w:r>
      <w:r w:rsidR="002F0A7E">
        <w:instrText xml:space="preserve"> REF _Ref498012859 \h </w:instrText>
      </w:r>
      <w:r w:rsidR="002F0A7E">
        <w:fldChar w:fldCharType="separate"/>
      </w:r>
    </w:p>
    <w:p w14:paraId="0DEB1B36" w14:textId="2B3616C0" w:rsidR="00A813F1" w:rsidRDefault="00AC4BE5" w:rsidP="00A813F1">
      <w:pPr>
        <w:jc w:val="both"/>
      </w:pPr>
      <w:r w:rsidRPr="00E474D4">
        <w:lastRenderedPageBreak/>
        <w:t xml:space="preserve">Table </w:t>
      </w:r>
      <w:r>
        <w:rPr>
          <w:noProof/>
        </w:rPr>
        <w:t>47</w:t>
      </w:r>
      <w:r w:rsidR="002F0A7E">
        <w:fldChar w:fldCharType="end"/>
      </w:r>
      <w:r w:rsidR="00A813F1">
        <w:t>.</w:t>
      </w:r>
    </w:p>
    <w:p w14:paraId="01F03D1F" w14:textId="77777777" w:rsidR="009E5D0E" w:rsidRDefault="009E5D0E" w:rsidP="00A813F1">
      <w:pPr>
        <w:pStyle w:val="Caption"/>
        <w:keepNext/>
        <w:sectPr w:rsidR="009E5D0E" w:rsidSect="00604A86">
          <w:headerReference w:type="even" r:id="rId32"/>
          <w:headerReference w:type="default" r:id="rId33"/>
          <w:footerReference w:type="even" r:id="rId34"/>
          <w:headerReference w:type="first" r:id="rId35"/>
          <w:type w:val="oddPage"/>
          <w:pgSz w:w="11906" w:h="16838"/>
          <w:pgMar w:top="1440" w:right="1440" w:bottom="1440" w:left="1440" w:header="720" w:footer="720" w:gutter="0"/>
          <w:paperSrc w:first="1512" w:other="1512"/>
          <w:cols w:space="720"/>
          <w:docGrid w:linePitch="299"/>
        </w:sectPr>
      </w:pPr>
      <w:bookmarkStart w:id="320" w:name="_Ref498012859"/>
      <w:bookmarkStart w:id="321" w:name="_Toc502833065"/>
    </w:p>
    <w:p w14:paraId="0F7F9D18" w14:textId="15C000ED" w:rsidR="00A813F1" w:rsidRDefault="00A813F1" w:rsidP="00A813F1">
      <w:pPr>
        <w:pStyle w:val="Caption"/>
        <w:keepNext/>
      </w:pPr>
      <w:r w:rsidRPr="00E474D4">
        <w:lastRenderedPageBreak/>
        <w:t xml:space="preserve">Table </w:t>
      </w:r>
      <w:r w:rsidR="00AC4BE5">
        <w:fldChar w:fldCharType="begin"/>
      </w:r>
      <w:r w:rsidR="00AC4BE5">
        <w:instrText xml:space="preserve"> SEQ Table \* ARABIC </w:instrText>
      </w:r>
      <w:r w:rsidR="00AC4BE5">
        <w:fldChar w:fldCharType="separate"/>
      </w:r>
      <w:r w:rsidR="00AC4BE5">
        <w:rPr>
          <w:noProof/>
        </w:rPr>
        <w:t>47</w:t>
      </w:r>
      <w:r w:rsidR="00AC4BE5">
        <w:rPr>
          <w:noProof/>
        </w:rPr>
        <w:fldChar w:fldCharType="end"/>
      </w:r>
      <w:bookmarkEnd w:id="320"/>
      <w:r w:rsidR="00E474D4">
        <w:tab/>
      </w:r>
      <w:r w:rsidRPr="00E474D4">
        <w:t>Multivariate regression analysis for prediction of</w:t>
      </w:r>
      <w:r>
        <w:t xml:space="preserve"> ovarian function in breast cancer patients</w:t>
      </w:r>
      <w:bookmarkEnd w:id="321"/>
    </w:p>
    <w:tbl>
      <w:tblPr>
        <w:tblStyle w:val="TableGrid9"/>
        <w:tblW w:w="13887" w:type="dxa"/>
        <w:tblLook w:val="04A0" w:firstRow="1" w:lastRow="0" w:firstColumn="1" w:lastColumn="0" w:noHBand="0" w:noVBand="1"/>
        <w:tblCaption w:val="Multivariate regression analysis for prediction of ovarian function in breast cancer patients"/>
        <w:tblDescription w:val="Multivariate regression analysis for prediction of ovarian function in breast cancer patients"/>
      </w:tblPr>
      <w:tblGrid>
        <w:gridCol w:w="1838"/>
        <w:gridCol w:w="2268"/>
        <w:gridCol w:w="1134"/>
        <w:gridCol w:w="1843"/>
        <w:gridCol w:w="5103"/>
        <w:gridCol w:w="1701"/>
      </w:tblGrid>
      <w:tr w:rsidR="00A813F1" w:rsidRPr="00B17695" w14:paraId="0CAEA831" w14:textId="77777777" w:rsidTr="00762873">
        <w:trPr>
          <w:trHeight w:val="205"/>
          <w:tblHeader/>
        </w:trPr>
        <w:tc>
          <w:tcPr>
            <w:tcW w:w="1838" w:type="dxa"/>
          </w:tcPr>
          <w:p w14:paraId="2DBA5738" w14:textId="77777777"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Study</w:t>
            </w:r>
          </w:p>
        </w:tc>
        <w:tc>
          <w:tcPr>
            <w:tcW w:w="2268" w:type="dxa"/>
          </w:tcPr>
          <w:p w14:paraId="60B0CD58" w14:textId="77777777"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Population</w:t>
            </w:r>
          </w:p>
        </w:tc>
        <w:tc>
          <w:tcPr>
            <w:tcW w:w="1134" w:type="dxa"/>
          </w:tcPr>
          <w:p w14:paraId="79C2862D" w14:textId="77777777"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Follow-up</w:t>
            </w:r>
          </w:p>
        </w:tc>
        <w:tc>
          <w:tcPr>
            <w:tcW w:w="1843" w:type="dxa"/>
          </w:tcPr>
          <w:p w14:paraId="36A26B0D" w14:textId="77777777"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Variables included / adjusted for</w:t>
            </w:r>
          </w:p>
        </w:tc>
        <w:tc>
          <w:tcPr>
            <w:tcW w:w="5103" w:type="dxa"/>
          </w:tcPr>
          <w:p w14:paraId="0FF1B18F" w14:textId="77777777"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Outcomes</w:t>
            </w:r>
          </w:p>
        </w:tc>
        <w:tc>
          <w:tcPr>
            <w:tcW w:w="1701" w:type="dxa"/>
          </w:tcPr>
          <w:p w14:paraId="46357AA3" w14:textId="5F4A268B" w:rsidR="00A813F1" w:rsidRPr="00B17695" w:rsidRDefault="006F069F" w:rsidP="00992BCE">
            <w:pPr>
              <w:spacing w:after="0" w:line="240" w:lineRule="auto"/>
              <w:ind w:right="-57"/>
              <w:rPr>
                <w:rFonts w:ascii="Arial Narrow" w:hAnsi="Arial Narrow"/>
                <w:b/>
                <w:sz w:val="20"/>
              </w:rPr>
            </w:pPr>
            <w:r>
              <w:rPr>
                <w:rFonts w:ascii="Arial Narrow" w:hAnsi="Arial Narrow"/>
                <w:b/>
                <w:sz w:val="20"/>
              </w:rPr>
              <w:t>p-value</w:t>
            </w:r>
          </w:p>
        </w:tc>
      </w:tr>
      <w:tr w:rsidR="00A813F1" w:rsidRPr="00B17695" w14:paraId="51C8B88B" w14:textId="77777777" w:rsidTr="00762873">
        <w:trPr>
          <w:trHeight w:val="205"/>
          <w:tblHeader/>
        </w:trPr>
        <w:tc>
          <w:tcPr>
            <w:tcW w:w="1838" w:type="dxa"/>
          </w:tcPr>
          <w:p w14:paraId="237725A3" w14:textId="53601447" w:rsidR="00A813F1" w:rsidRPr="00B17695" w:rsidRDefault="00A813F1" w:rsidP="00835BA6">
            <w:pPr>
              <w:spacing w:after="0" w:line="240" w:lineRule="auto"/>
              <w:ind w:right="-57"/>
              <w:rPr>
                <w:rFonts w:ascii="Arial Narrow" w:hAnsi="Arial Narrow"/>
                <w:sz w:val="20"/>
              </w:rPr>
            </w:pPr>
            <w:r w:rsidRPr="00E87235">
              <w:rPr>
                <w:rFonts w:ascii="Arial Narrow" w:hAnsi="Arial Narrow"/>
                <w:sz w:val="20"/>
              </w:rPr>
              <w:t>Ander</w:t>
            </w:r>
            <w:r>
              <w:rPr>
                <w:rFonts w:ascii="Arial Narrow" w:hAnsi="Arial Narrow"/>
                <w:sz w:val="20"/>
              </w:rPr>
              <w:t>son &amp; Cameron.</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6" w:tooltip="Anderson, 2011 #27" w:history="1">
              <w:r w:rsidR="00835BA6">
                <w:rPr>
                  <w:rFonts w:ascii="Arial Narrow" w:hAnsi="Arial Narrow"/>
                  <w:noProof/>
                  <w:sz w:val="20"/>
                </w:rPr>
                <w:t>2011</w:t>
              </w:r>
            </w:hyperlink>
            <w:r>
              <w:rPr>
                <w:rFonts w:ascii="Arial Narrow" w:hAnsi="Arial Narrow"/>
                <w:noProof/>
                <w:sz w:val="20"/>
              </w:rPr>
              <w:t>)</w:t>
            </w:r>
            <w:r>
              <w:rPr>
                <w:rFonts w:ascii="Arial Narrow" w:hAnsi="Arial Narrow"/>
                <w:sz w:val="20"/>
              </w:rPr>
              <w:fldChar w:fldCharType="end"/>
            </w:r>
            <w:r>
              <w:rPr>
                <w:rFonts w:ascii="Arial Narrow" w:hAnsi="Arial Narrow"/>
                <w:sz w:val="20"/>
              </w:rPr>
              <w:t>*</w:t>
            </w:r>
          </w:p>
        </w:tc>
        <w:tc>
          <w:tcPr>
            <w:tcW w:w="2268" w:type="dxa"/>
          </w:tcPr>
          <w:p w14:paraId="65EA71D5" w14:textId="04A1E4B6" w:rsidR="00A813F1" w:rsidRPr="00E76D6A" w:rsidRDefault="00E76D6A" w:rsidP="00992BCE">
            <w:pPr>
              <w:spacing w:after="0" w:line="240" w:lineRule="auto"/>
              <w:ind w:right="-57"/>
              <w:rPr>
                <w:rFonts w:ascii="Arial Narrow" w:hAnsi="Arial Narrow"/>
                <w:b/>
                <w:sz w:val="20"/>
              </w:rPr>
            </w:pPr>
            <w:r>
              <w:rPr>
                <w:rFonts w:ascii="Arial Narrow" w:hAnsi="Arial Narrow"/>
                <w:b/>
                <w:sz w:val="20"/>
              </w:rPr>
              <w:t xml:space="preserve">N=33 </w:t>
            </w:r>
            <w:r>
              <w:rPr>
                <w:rFonts w:ascii="Arial Narrow" w:hAnsi="Arial Narrow"/>
                <w:sz w:val="20"/>
              </w:rPr>
              <w:t>w</w:t>
            </w:r>
            <w:r w:rsidR="00A813F1" w:rsidRPr="00B17695">
              <w:rPr>
                <w:rFonts w:ascii="Arial Narrow" w:hAnsi="Arial Narrow"/>
                <w:sz w:val="20"/>
              </w:rPr>
              <w:t>omen with early breast cancer</w:t>
            </w:r>
          </w:p>
        </w:tc>
        <w:tc>
          <w:tcPr>
            <w:tcW w:w="1134" w:type="dxa"/>
          </w:tcPr>
          <w:p w14:paraId="6E1DD5AA" w14:textId="2CB0DCA0" w:rsidR="00A813F1" w:rsidRPr="00B17695" w:rsidRDefault="00E76D6A" w:rsidP="00992BCE">
            <w:pPr>
              <w:spacing w:after="0" w:line="240" w:lineRule="auto"/>
              <w:ind w:right="-57"/>
              <w:rPr>
                <w:rFonts w:ascii="Arial Narrow" w:hAnsi="Arial Narrow"/>
                <w:sz w:val="20"/>
              </w:rPr>
            </w:pPr>
            <w:r>
              <w:rPr>
                <w:rFonts w:ascii="Arial Narrow" w:hAnsi="Arial Narrow"/>
                <w:sz w:val="20"/>
              </w:rPr>
              <w:t>4–</w:t>
            </w:r>
            <w:r w:rsidR="00A813F1" w:rsidRPr="00B17695">
              <w:rPr>
                <w:rFonts w:ascii="Arial Narrow" w:hAnsi="Arial Narrow"/>
                <w:sz w:val="20"/>
              </w:rPr>
              <w:t>5 years</w:t>
            </w:r>
          </w:p>
        </w:tc>
        <w:tc>
          <w:tcPr>
            <w:tcW w:w="1843" w:type="dxa"/>
          </w:tcPr>
          <w:p w14:paraId="099ABA12"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 xml:space="preserve">Pre-chemotherapy age, AMH, and FSH </w:t>
            </w:r>
          </w:p>
        </w:tc>
        <w:tc>
          <w:tcPr>
            <w:tcW w:w="5103" w:type="dxa"/>
          </w:tcPr>
          <w:p w14:paraId="0FE0F9D1" w14:textId="096DFD68"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Only AMH was a significa</w:t>
            </w:r>
            <w:r w:rsidR="00E76D6A">
              <w:rPr>
                <w:rFonts w:ascii="Arial Narrow" w:hAnsi="Arial Narrow"/>
                <w:sz w:val="20"/>
              </w:rPr>
              <w:t>nt predictor for ongoing menses</w:t>
            </w:r>
          </w:p>
          <w:p w14:paraId="44DC8005" w14:textId="082D41D5" w:rsidR="00A813F1" w:rsidRPr="00B17695" w:rsidRDefault="00A813F1" w:rsidP="00992BCE">
            <w:pPr>
              <w:spacing w:after="0" w:line="240" w:lineRule="auto"/>
              <w:ind w:right="-57"/>
              <w:rPr>
                <w:rFonts w:ascii="Arial Narrow" w:hAnsi="Arial Narrow"/>
                <w:sz w:val="20"/>
              </w:rPr>
            </w:pPr>
            <w:r w:rsidRPr="00B17695">
              <w:rPr>
                <w:rFonts w:ascii="Arial Narrow" w:hAnsi="Arial Narrow"/>
                <w:b/>
                <w:sz w:val="20"/>
              </w:rPr>
              <w:t>AMH OR</w:t>
            </w:r>
            <w:r w:rsidR="00EB382C">
              <w:rPr>
                <w:rFonts w:ascii="Arial Narrow" w:hAnsi="Arial Narrow"/>
                <w:b/>
                <w:sz w:val="20"/>
              </w:rPr>
              <w:t>=</w:t>
            </w:r>
            <w:r w:rsidR="00E76D6A">
              <w:rPr>
                <w:rFonts w:ascii="Arial Narrow" w:hAnsi="Arial Narrow"/>
                <w:b/>
                <w:sz w:val="20"/>
              </w:rPr>
              <w:t xml:space="preserve">13.0 (95%CI 2.5, </w:t>
            </w:r>
            <w:r>
              <w:rPr>
                <w:rFonts w:ascii="Arial Narrow" w:hAnsi="Arial Narrow"/>
                <w:b/>
                <w:sz w:val="20"/>
              </w:rPr>
              <w:t>66.7)</w:t>
            </w:r>
          </w:p>
        </w:tc>
        <w:tc>
          <w:tcPr>
            <w:tcW w:w="1701" w:type="dxa"/>
          </w:tcPr>
          <w:p w14:paraId="5A282964"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0.02</w:t>
            </w:r>
          </w:p>
        </w:tc>
      </w:tr>
      <w:tr w:rsidR="00A813F1" w:rsidRPr="00B17695" w14:paraId="2D74579F" w14:textId="77777777" w:rsidTr="00762873">
        <w:trPr>
          <w:trHeight w:val="205"/>
          <w:tblHeader/>
        </w:trPr>
        <w:tc>
          <w:tcPr>
            <w:tcW w:w="1838" w:type="dxa"/>
          </w:tcPr>
          <w:p w14:paraId="1C5C96D2" w14:textId="797D3A45" w:rsidR="00A813F1" w:rsidRPr="00B17695" w:rsidRDefault="00A813F1" w:rsidP="00835BA6">
            <w:pPr>
              <w:spacing w:after="0" w:line="240" w:lineRule="auto"/>
              <w:rPr>
                <w:rFonts w:ascii="Arial Narrow" w:hAnsi="Arial Narrow"/>
                <w:sz w:val="20"/>
              </w:rPr>
            </w:pPr>
            <w:r>
              <w:rPr>
                <w:rFonts w:ascii="Arial Narrow" w:hAnsi="Arial Narrow"/>
                <w:sz w:val="20"/>
              </w:rPr>
              <w:t>Anderson et al.</w:t>
            </w:r>
            <w:r w:rsidRPr="00E87235">
              <w:rPr>
                <w:rFonts w:ascii="Arial Narrow" w:hAnsi="Arial Narrow"/>
                <w:sz w:val="20"/>
              </w:rPr>
              <w:t xml:space="preserve"> </w:t>
            </w:r>
            <w:r>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 </w:instrText>
            </w:r>
            <w:r w:rsidR="00577E24">
              <w:rPr>
                <w:rFonts w:ascii="Arial Narrow" w:hAnsi="Arial Narrow"/>
                <w:sz w:val="20"/>
              </w:rPr>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Pr>
                <w:rFonts w:ascii="Arial Narrow" w:hAnsi="Arial Narrow"/>
                <w:sz w:val="20"/>
              </w:rPr>
              <w:instrText xml:space="preserve"> ADDIN EN.CITE.DATA </w:instrText>
            </w:r>
            <w:r w:rsidR="00577E24">
              <w:rPr>
                <w:rFonts w:ascii="Arial Narrow" w:hAnsi="Arial Narrow"/>
                <w:sz w:val="20"/>
              </w:rPr>
            </w:r>
            <w:r w:rsidR="00577E24">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7" w:tooltip="Anderson, 2013 #28" w:history="1">
              <w:r w:rsidR="00835BA6">
                <w:rPr>
                  <w:rFonts w:ascii="Arial Narrow" w:hAnsi="Arial Narrow"/>
                  <w:noProof/>
                  <w:sz w:val="20"/>
                </w:rPr>
                <w:t>2013</w:t>
              </w:r>
            </w:hyperlink>
            <w:r>
              <w:rPr>
                <w:rFonts w:ascii="Arial Narrow" w:hAnsi="Arial Narrow"/>
                <w:noProof/>
                <w:sz w:val="20"/>
              </w:rPr>
              <w:t>)</w:t>
            </w:r>
            <w:r>
              <w:rPr>
                <w:rFonts w:ascii="Arial Narrow" w:hAnsi="Arial Narrow"/>
                <w:sz w:val="20"/>
              </w:rPr>
              <w:fldChar w:fldCharType="end"/>
            </w:r>
            <w:r>
              <w:rPr>
                <w:rFonts w:ascii="Arial Narrow" w:hAnsi="Arial Narrow"/>
                <w:sz w:val="20"/>
              </w:rPr>
              <w:t>*</w:t>
            </w:r>
          </w:p>
        </w:tc>
        <w:tc>
          <w:tcPr>
            <w:tcW w:w="2268" w:type="dxa"/>
          </w:tcPr>
          <w:p w14:paraId="2712C677" w14:textId="57CC2846" w:rsidR="00A813F1" w:rsidRPr="00B17695" w:rsidRDefault="00A813F1" w:rsidP="00992BCE">
            <w:pPr>
              <w:spacing w:after="0" w:line="240" w:lineRule="auto"/>
              <w:ind w:right="-57"/>
              <w:rPr>
                <w:rFonts w:ascii="Arial Narrow" w:hAnsi="Arial Narrow"/>
                <w:sz w:val="20"/>
              </w:rPr>
            </w:pPr>
            <w:r w:rsidRPr="00B17695">
              <w:rPr>
                <w:rFonts w:ascii="Arial Narrow" w:hAnsi="Arial Narrow"/>
                <w:b/>
                <w:sz w:val="20"/>
              </w:rPr>
              <w:t>N</w:t>
            </w:r>
            <w:r w:rsidR="00EB382C">
              <w:rPr>
                <w:rFonts w:ascii="Arial Narrow" w:hAnsi="Arial Narrow"/>
                <w:b/>
                <w:sz w:val="20"/>
              </w:rPr>
              <w:t>=</w:t>
            </w:r>
            <w:r w:rsidRPr="00B17695">
              <w:rPr>
                <w:rFonts w:ascii="Arial Narrow" w:hAnsi="Arial Narrow"/>
                <w:b/>
                <w:sz w:val="20"/>
              </w:rPr>
              <w:t>46</w:t>
            </w:r>
            <w:r w:rsidR="00E76D6A">
              <w:rPr>
                <w:rFonts w:ascii="Arial Narrow" w:hAnsi="Arial Narrow"/>
                <w:sz w:val="20"/>
              </w:rPr>
              <w:t xml:space="preserve"> p</w:t>
            </w:r>
            <w:r w:rsidRPr="00B17695">
              <w:rPr>
                <w:rFonts w:ascii="Arial Narrow" w:hAnsi="Arial Narrow"/>
                <w:sz w:val="20"/>
              </w:rPr>
              <w:t>re</w:t>
            </w:r>
            <w:r w:rsidR="003036C4">
              <w:rPr>
                <w:rFonts w:ascii="Arial Narrow" w:hAnsi="Arial Narrow"/>
                <w:sz w:val="20"/>
              </w:rPr>
              <w:t>-menopausal</w:t>
            </w:r>
            <w:r w:rsidRPr="00B17695">
              <w:rPr>
                <w:rFonts w:ascii="Arial Narrow" w:hAnsi="Arial Narrow"/>
                <w:sz w:val="20"/>
              </w:rPr>
              <w:t xml:space="preserve"> women with early breast cancer</w:t>
            </w:r>
          </w:p>
        </w:tc>
        <w:tc>
          <w:tcPr>
            <w:tcW w:w="1134" w:type="dxa"/>
          </w:tcPr>
          <w:p w14:paraId="16548459"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2 years</w:t>
            </w:r>
          </w:p>
        </w:tc>
        <w:tc>
          <w:tcPr>
            <w:tcW w:w="1843" w:type="dxa"/>
          </w:tcPr>
          <w:p w14:paraId="4365F7E3" w14:textId="5BF9AF73"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Age, pre-t</w:t>
            </w:r>
            <w:r w:rsidR="00E76D6A">
              <w:rPr>
                <w:rFonts w:ascii="Arial Narrow" w:hAnsi="Arial Narrow"/>
                <w:sz w:val="20"/>
              </w:rPr>
              <w:t>reatment AMH, FSH and inhibin B</w:t>
            </w:r>
          </w:p>
        </w:tc>
        <w:tc>
          <w:tcPr>
            <w:tcW w:w="5103" w:type="dxa"/>
          </w:tcPr>
          <w:p w14:paraId="39E3AA17"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Only AMH was a significant predictor for amenorrhea</w:t>
            </w:r>
          </w:p>
          <w:p w14:paraId="6E00FA09" w14:textId="60211174" w:rsidR="00A813F1" w:rsidRPr="00B17695" w:rsidRDefault="00A813F1" w:rsidP="00992BCE">
            <w:pPr>
              <w:spacing w:after="0" w:line="240" w:lineRule="auto"/>
              <w:ind w:right="-57"/>
              <w:rPr>
                <w:rFonts w:ascii="Arial Narrow" w:hAnsi="Arial Narrow"/>
                <w:sz w:val="20"/>
              </w:rPr>
            </w:pPr>
            <w:r>
              <w:rPr>
                <w:rFonts w:ascii="Arial Narrow" w:hAnsi="Arial Narrow"/>
                <w:b/>
                <w:sz w:val="20"/>
              </w:rPr>
              <w:t>AMH OR</w:t>
            </w:r>
            <w:r w:rsidR="00EB382C">
              <w:rPr>
                <w:rFonts w:ascii="Arial Narrow" w:hAnsi="Arial Narrow"/>
                <w:b/>
                <w:sz w:val="20"/>
              </w:rPr>
              <w:t>=</w:t>
            </w:r>
            <w:r>
              <w:rPr>
                <w:rFonts w:ascii="Arial Narrow" w:hAnsi="Arial Narrow"/>
                <w:b/>
                <w:sz w:val="20"/>
              </w:rPr>
              <w:t>0.013 (</w:t>
            </w:r>
            <w:r w:rsidR="00E76D6A">
              <w:rPr>
                <w:rFonts w:ascii="Arial Narrow" w:hAnsi="Arial Narrow"/>
                <w:b/>
                <w:sz w:val="20"/>
              </w:rPr>
              <w:t xml:space="preserve">95%CI 0.001, </w:t>
            </w:r>
            <w:r w:rsidRPr="00B17695">
              <w:rPr>
                <w:rFonts w:ascii="Arial Narrow" w:hAnsi="Arial Narrow"/>
                <w:b/>
                <w:sz w:val="20"/>
              </w:rPr>
              <w:t>0.227</w:t>
            </w:r>
            <w:r>
              <w:rPr>
                <w:rFonts w:ascii="Arial Narrow" w:hAnsi="Arial Narrow"/>
                <w:b/>
                <w:sz w:val="20"/>
              </w:rPr>
              <w:t>)</w:t>
            </w:r>
          </w:p>
        </w:tc>
        <w:tc>
          <w:tcPr>
            <w:tcW w:w="1701" w:type="dxa"/>
          </w:tcPr>
          <w:p w14:paraId="368528A0"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0.005</w:t>
            </w:r>
          </w:p>
        </w:tc>
      </w:tr>
      <w:tr w:rsidR="00A813F1" w:rsidRPr="00B17695" w14:paraId="05CFC422" w14:textId="77777777" w:rsidTr="00762873">
        <w:trPr>
          <w:trHeight w:val="205"/>
          <w:tblHeader/>
        </w:trPr>
        <w:tc>
          <w:tcPr>
            <w:tcW w:w="1838" w:type="dxa"/>
          </w:tcPr>
          <w:p w14:paraId="63522BE7" w14:textId="081E8418" w:rsidR="00A813F1" w:rsidRPr="00B17695" w:rsidRDefault="00A813F1" w:rsidP="00835BA6">
            <w:pPr>
              <w:spacing w:after="0" w:line="240" w:lineRule="auto"/>
              <w:rPr>
                <w:rFonts w:ascii="Arial Narrow" w:hAnsi="Arial Narrow"/>
                <w:sz w:val="20"/>
              </w:rPr>
            </w:pPr>
            <w:r>
              <w:rPr>
                <w:rFonts w:ascii="Arial Narrow" w:hAnsi="Arial Narrow"/>
                <w:sz w:val="20"/>
              </w:rPr>
              <w:t xml:space="preserve">Henry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ExcludeAuth="1"&gt;&lt;Author&gt;Henry&lt;/Author&gt;&lt;Year&gt;2014&lt;/Year&gt;&lt;RecNum&gt;178&lt;/RecNum&gt;&lt;IDText&gt;68-74&lt;/IDText&gt;&lt;DisplayText&gt;(2014)&lt;/DisplayText&gt;&lt;record&gt;&lt;rec-number&gt;178&lt;/rec-number&gt;&lt;foreign-keys&gt;&lt;key app="EN" db-id="s2dftfxw1fvsr1efx58vfvxtvfwzxea0td02" timestamp="1511748077"&gt;178&lt;/key&gt;&lt;/foreign-keys&gt;&lt;ref-type name="Journal Article"&gt;17&lt;/ref-type&gt;&lt;contributors&gt;&lt;authors&gt;&lt;author&gt;Henry, N. L.&lt;/author&gt;&lt;author&gt;Xia, R.&lt;/author&gt;&lt;author&gt;Schott, A. F.&lt;/author&gt;&lt;author&gt;McConnell, D.&lt;/author&gt;&lt;author&gt;Banerjee, M.&lt;/author&gt;&lt;author&gt;Hayes, D. F.&lt;/author&gt;&lt;/authors&gt;&lt;/contributors&gt;&lt;titles&gt;&lt;title&gt;Prediction of postchemotherapy ovarian function using markers of ovarian reserve&lt;/title&gt;&lt;secondary-title&gt;Oncologist&lt;/secondary-title&gt;&lt;/titles&gt;&lt;periodical&gt;&lt;full-title&gt;Oncologist&lt;/full-title&gt;&lt;/periodical&gt;&lt;pages&gt;68-74&lt;/pages&gt;&lt;volume&gt;19&lt;/volume&gt;&lt;number&gt;1&lt;/number&gt;&lt;keywords&gt;&lt;keyword&gt;Aged&lt;/keyword&gt;&lt;keyword&gt;Decision Making&lt;/keyword&gt;&lt;keyword&gt;Aging&lt;/keyword&gt;&lt;/keywords&gt;&lt;dates&gt;&lt;year&gt;2014&lt;/year&gt;&lt;pub-dates&gt;&lt;date&gt;2014-1-1&lt;/date&gt;&lt;/pub-dates&gt;&lt;/dates&gt;&lt;accession-num&gt;rayyan-6674952&lt;/accession-num&gt;&lt;urls&gt;&lt;related-urls&gt;&lt;url&gt;http://www.embase.com/search/results?subaction=viewrecord&amp;amp;from=export&amp;amp;id=L372137215 http://dx.doi.org/10.1634/theoncologist.2013-0145&lt;/url&gt;&lt;url&gt;https://www.ncbi.nlm.nih.gov/pmc/articles/PMC3903057/pdf/theoncologist_130145.pdf&lt;/url&gt;&lt;/related-urls&gt;&lt;/urls&gt;&lt;custom1&gt;RAYYAN-INCLUSION: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29" w:tooltip="Henry, 2014 #178" w:history="1">
              <w:r w:rsidR="00835BA6">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r w:rsidRPr="00B17695">
              <w:rPr>
                <w:rFonts w:ascii="Arial Narrow" w:hAnsi="Arial Narrow"/>
                <w:sz w:val="20"/>
              </w:rPr>
              <w:t>*</w:t>
            </w:r>
          </w:p>
        </w:tc>
        <w:tc>
          <w:tcPr>
            <w:tcW w:w="2268" w:type="dxa"/>
          </w:tcPr>
          <w:p w14:paraId="626B1F26" w14:textId="520A6DD6" w:rsidR="00A813F1" w:rsidRPr="00B17695" w:rsidRDefault="00A813F1" w:rsidP="00992BCE">
            <w:pPr>
              <w:spacing w:after="0" w:line="240" w:lineRule="auto"/>
              <w:ind w:right="-57"/>
              <w:rPr>
                <w:rFonts w:ascii="Arial Narrow" w:hAnsi="Arial Narrow"/>
                <w:sz w:val="20"/>
              </w:rPr>
            </w:pPr>
            <w:r w:rsidRPr="00B17695">
              <w:rPr>
                <w:rFonts w:ascii="Arial Narrow" w:hAnsi="Arial Narrow"/>
                <w:b/>
                <w:sz w:val="20"/>
              </w:rPr>
              <w:t>N=29</w:t>
            </w:r>
            <w:r w:rsidR="00E76D6A">
              <w:rPr>
                <w:rFonts w:ascii="Arial Narrow" w:hAnsi="Arial Narrow"/>
                <w:sz w:val="20"/>
              </w:rPr>
              <w:t xml:space="preserve"> p</w:t>
            </w:r>
            <w:r w:rsidRPr="00B17695">
              <w:rPr>
                <w:rFonts w:ascii="Arial Narrow" w:hAnsi="Arial Narrow"/>
                <w:sz w:val="20"/>
              </w:rPr>
              <w:t>re- and peri</w:t>
            </w:r>
            <w:r w:rsidR="00E76D6A">
              <w:rPr>
                <w:rFonts w:ascii="Arial Narrow" w:hAnsi="Arial Narrow"/>
                <w:sz w:val="20"/>
              </w:rPr>
              <w:t>-</w:t>
            </w:r>
            <w:r w:rsidRPr="00B17695">
              <w:rPr>
                <w:rFonts w:ascii="Arial Narrow" w:hAnsi="Arial Narrow"/>
                <w:sz w:val="20"/>
              </w:rPr>
              <w:t>menopausal women with newly diagnosed breast cancer</w:t>
            </w:r>
          </w:p>
        </w:tc>
        <w:tc>
          <w:tcPr>
            <w:tcW w:w="1134" w:type="dxa"/>
          </w:tcPr>
          <w:p w14:paraId="4296D3AA"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18 months (average 13.6 months)</w:t>
            </w:r>
          </w:p>
        </w:tc>
        <w:tc>
          <w:tcPr>
            <w:tcW w:w="1843" w:type="dxa"/>
          </w:tcPr>
          <w:p w14:paraId="2F42F8F3"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Age at enrolment, baseline AMH</w:t>
            </w:r>
          </w:p>
        </w:tc>
        <w:tc>
          <w:tcPr>
            <w:tcW w:w="5103" w:type="dxa"/>
          </w:tcPr>
          <w:p w14:paraId="3755541A"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No factors remained statistically significant in the multivariate analysis</w:t>
            </w:r>
          </w:p>
        </w:tc>
        <w:tc>
          <w:tcPr>
            <w:tcW w:w="1701" w:type="dxa"/>
          </w:tcPr>
          <w:p w14:paraId="5F882A68"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NS</w:t>
            </w:r>
          </w:p>
        </w:tc>
      </w:tr>
      <w:tr w:rsidR="00A813F1" w:rsidRPr="00B17695" w14:paraId="18DB7F77" w14:textId="77777777" w:rsidTr="00762873">
        <w:trPr>
          <w:trHeight w:val="205"/>
          <w:tblHeader/>
        </w:trPr>
        <w:tc>
          <w:tcPr>
            <w:tcW w:w="1838" w:type="dxa"/>
          </w:tcPr>
          <w:p w14:paraId="429A90B5" w14:textId="68A80E42" w:rsidR="00A813F1" w:rsidRPr="00B17695" w:rsidRDefault="00A813F1" w:rsidP="00835BA6">
            <w:pPr>
              <w:spacing w:after="0" w:line="240" w:lineRule="auto"/>
              <w:rPr>
                <w:rFonts w:ascii="Arial Narrow" w:hAnsi="Arial Narrow"/>
                <w:sz w:val="20"/>
              </w:rPr>
            </w:pPr>
            <w:r>
              <w:rPr>
                <w:rFonts w:ascii="Arial Narrow" w:hAnsi="Arial Narrow"/>
                <w:sz w:val="20"/>
              </w:rPr>
              <w:t xml:space="preserve">Ruddy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ExcludeAuth="1"&gt;&lt;Author&gt;Ruddy&lt;/Author&gt;&lt;Year&gt;2014&lt;/Year&gt;&lt;RecNum&gt;304&lt;/RecNum&gt;&lt;IDText&gt;591-7&lt;/IDText&gt;&lt;DisplayText&gt;(2014)&lt;/DisplayText&gt;&lt;record&gt;&lt;rec-number&gt;304&lt;/rec-number&gt;&lt;foreign-keys&gt;&lt;key app="EN" db-id="s2dftfxw1fvsr1efx58vfvxtvfwzxea0td02" timestamp="1511748094"&gt;304&lt;/key&gt;&lt;/foreign-keys&gt;&lt;ref-type name="Electronic Article"&gt;43&lt;/ref-type&gt;&lt;contributors&gt;&lt;authors&gt;&lt;author&gt;Ruddy, Kj&lt;/author&gt;&lt;author&gt;O&amp;apos;Neill, A&lt;/author&gt;&lt;author&gt;Miller, Kd&lt;/author&gt;&lt;author&gt;Schneider, Bp&lt;/author&gt;&lt;author&gt;Baker, E&lt;/author&gt;&lt;author&gt;Sparano, Ja&lt;/author&gt;&lt;author&gt;Dang, C&lt;/author&gt;&lt;author&gt;Northfelt, Dw&lt;/author&gt;&lt;author&gt;Sledge, Gw&lt;/author&gt;&lt;author&gt;Partridge, Ah&lt;/author&gt;&lt;/authors&gt;&lt;/contributors&gt;&lt;titles&gt;&lt;title&gt;Biomarker prediction of chemotherapy-related amenorrhea in premenopausal women with breast cancer participating in E5103&lt;/title&gt;&lt;/titles&gt;&lt;pages&gt;591-7&lt;/pages&gt;&lt;volume&gt;144&lt;/volume&gt;&lt;number&gt;3&lt;/number&gt;&lt;keywords&gt;&lt;keyword&gt;Amenorrhea&lt;/keyword&gt;&lt;keyword&gt;Premenopause&lt;/keyword&gt;&lt;keyword&gt;Biological Markers&lt;/keyword&gt;&lt;keyword&gt;Breast Neoplasms&lt;/keyword&gt;&lt;/keywords&gt;&lt;dates&gt;&lt;year&gt;2014&lt;/year&gt;&lt;pub-dates&gt;&lt;date&gt;2014-1-1&lt;/date&gt;&lt;/pub-dates&gt;&lt;/dates&gt;&lt;isbn&gt;0167-6806&lt;/isbn&gt;&lt;accession-num&gt;rayyan-6678069&lt;/accession-num&gt;&lt;urls&gt;&lt;related-urls&gt;&lt;url&gt;http://onlinelibrary.wiley.com/o/cochrane/clcentral/articles/585/CN-00988585/frame.html&lt;/url&gt;&lt;url&gt;https://link.springer.com/content/pdf/10.1007%2Fs10549-014-2891-0.pdf&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59" w:tooltip="Ruddy, 2014 #304" w:history="1">
              <w:r w:rsidR="00835BA6">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r>
              <w:rPr>
                <w:rFonts w:ascii="Arial Narrow" w:hAnsi="Arial Narrow"/>
                <w:sz w:val="20"/>
              </w:rPr>
              <w:t>*</w:t>
            </w:r>
          </w:p>
        </w:tc>
        <w:tc>
          <w:tcPr>
            <w:tcW w:w="2268" w:type="dxa"/>
          </w:tcPr>
          <w:p w14:paraId="3EAE4DCA" w14:textId="3B96B8DE" w:rsidR="00A813F1" w:rsidRPr="00B17695" w:rsidRDefault="00A813F1" w:rsidP="00992BCE">
            <w:pPr>
              <w:spacing w:after="0" w:line="240" w:lineRule="auto"/>
              <w:ind w:right="-57"/>
              <w:rPr>
                <w:rFonts w:ascii="Arial Narrow" w:hAnsi="Arial Narrow"/>
                <w:sz w:val="20"/>
              </w:rPr>
            </w:pPr>
            <w:r w:rsidRPr="00B17695">
              <w:rPr>
                <w:rFonts w:ascii="Arial Narrow" w:hAnsi="Arial Narrow"/>
                <w:b/>
                <w:sz w:val="20"/>
              </w:rPr>
              <w:t>N=124</w:t>
            </w:r>
            <w:r w:rsidR="00E76D6A">
              <w:rPr>
                <w:rFonts w:ascii="Arial Narrow" w:hAnsi="Arial Narrow"/>
                <w:sz w:val="20"/>
              </w:rPr>
              <w:t xml:space="preserve"> at 1-</w:t>
            </w:r>
            <w:r w:rsidRPr="00B17695">
              <w:rPr>
                <w:rFonts w:ascii="Arial Narrow" w:hAnsi="Arial Narrow"/>
                <w:sz w:val="20"/>
              </w:rPr>
              <w:t xml:space="preserve">year, </w:t>
            </w:r>
            <w:r w:rsidRPr="00B17695">
              <w:rPr>
                <w:rFonts w:ascii="Arial Narrow" w:hAnsi="Arial Narrow"/>
                <w:b/>
                <w:sz w:val="20"/>
              </w:rPr>
              <w:t>N=100</w:t>
            </w:r>
            <w:r w:rsidR="00E76D6A">
              <w:rPr>
                <w:rFonts w:ascii="Arial Narrow" w:hAnsi="Arial Narrow"/>
                <w:sz w:val="20"/>
              </w:rPr>
              <w:t xml:space="preserve"> at 18-</w:t>
            </w:r>
            <w:r w:rsidRPr="00B17695">
              <w:rPr>
                <w:rFonts w:ascii="Arial Narrow" w:hAnsi="Arial Narrow"/>
                <w:sz w:val="20"/>
              </w:rPr>
              <w:t>month follow-up</w:t>
            </w:r>
          </w:p>
          <w:p w14:paraId="3FEB16A6" w14:textId="5A4B0FA3"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Pre</w:t>
            </w:r>
            <w:r w:rsidR="003036C4">
              <w:rPr>
                <w:rFonts w:ascii="Arial Narrow" w:hAnsi="Arial Narrow"/>
                <w:sz w:val="20"/>
              </w:rPr>
              <w:t>-menopausal</w:t>
            </w:r>
            <w:r w:rsidRPr="00B17695">
              <w:rPr>
                <w:rFonts w:ascii="Arial Narrow" w:hAnsi="Arial Narrow"/>
                <w:sz w:val="20"/>
              </w:rPr>
              <w:t xml:space="preserve"> women with breast cancer</w:t>
            </w:r>
          </w:p>
        </w:tc>
        <w:tc>
          <w:tcPr>
            <w:tcW w:w="1134" w:type="dxa"/>
          </w:tcPr>
          <w:p w14:paraId="38D0B718"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1 year</w:t>
            </w:r>
          </w:p>
          <w:p w14:paraId="3A0CF6ED"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18 months</w:t>
            </w:r>
          </w:p>
        </w:tc>
        <w:tc>
          <w:tcPr>
            <w:tcW w:w="1843" w:type="dxa"/>
          </w:tcPr>
          <w:p w14:paraId="1E69A875" w14:textId="7625454D" w:rsidR="00A813F1" w:rsidRPr="00B17695" w:rsidRDefault="00E76D6A" w:rsidP="00992BCE">
            <w:pPr>
              <w:spacing w:after="0" w:line="240" w:lineRule="auto"/>
              <w:ind w:right="-57"/>
              <w:rPr>
                <w:rFonts w:ascii="Arial Narrow" w:hAnsi="Arial Narrow"/>
                <w:sz w:val="20"/>
              </w:rPr>
            </w:pPr>
            <w:r>
              <w:rPr>
                <w:rFonts w:ascii="Arial Narrow" w:hAnsi="Arial Narrow"/>
                <w:sz w:val="20"/>
              </w:rPr>
              <w:t>B</w:t>
            </w:r>
            <w:r w:rsidR="00A813F1" w:rsidRPr="00B17695">
              <w:rPr>
                <w:rFonts w:ascii="Arial Narrow" w:hAnsi="Arial Narrow"/>
                <w:sz w:val="20"/>
              </w:rPr>
              <w:t>aseline AMH, age, race, whether or not the patient received bevacizumab, and use of tamoxifen</w:t>
            </w:r>
          </w:p>
        </w:tc>
        <w:tc>
          <w:tcPr>
            <w:tcW w:w="5103" w:type="dxa"/>
          </w:tcPr>
          <w:p w14:paraId="5670597C" w14:textId="77777777" w:rsidR="00A813F1" w:rsidRDefault="00A813F1" w:rsidP="00992BCE">
            <w:pPr>
              <w:spacing w:after="0" w:line="240" w:lineRule="auto"/>
              <w:ind w:right="-57"/>
              <w:rPr>
                <w:rFonts w:ascii="Arial Narrow" w:hAnsi="Arial Narrow"/>
                <w:b/>
                <w:sz w:val="20"/>
              </w:rPr>
            </w:pPr>
            <w:r>
              <w:rPr>
                <w:rFonts w:ascii="Arial Narrow" w:hAnsi="Arial Narrow"/>
                <w:sz w:val="20"/>
              </w:rPr>
              <w:t>A</w:t>
            </w:r>
            <w:r w:rsidRPr="00B17695">
              <w:rPr>
                <w:rFonts w:ascii="Arial Narrow" w:hAnsi="Arial Narrow"/>
                <w:sz w:val="20"/>
              </w:rPr>
              <w:t>ge was predictor for 12 month CRA</w:t>
            </w:r>
          </w:p>
          <w:p w14:paraId="2F25C0BE" w14:textId="17C07F5D" w:rsidR="00A813F1" w:rsidRDefault="00A813F1" w:rsidP="00992BCE">
            <w:pPr>
              <w:spacing w:after="0" w:line="240" w:lineRule="auto"/>
              <w:ind w:right="-57"/>
              <w:rPr>
                <w:rFonts w:ascii="Arial Narrow" w:hAnsi="Arial Narrow"/>
                <w:b/>
                <w:sz w:val="20"/>
              </w:rPr>
            </w:pPr>
            <w:r w:rsidRPr="00B17695">
              <w:rPr>
                <w:rFonts w:ascii="Arial Narrow" w:hAnsi="Arial Narrow"/>
                <w:b/>
                <w:sz w:val="20"/>
              </w:rPr>
              <w:t>AMH OR</w:t>
            </w:r>
            <w:r w:rsidR="00846BA5">
              <w:rPr>
                <w:rFonts w:ascii="Arial Narrow" w:hAnsi="Arial Narrow"/>
                <w:b/>
                <w:sz w:val="20"/>
              </w:rPr>
              <w:t>=</w:t>
            </w:r>
            <w:r w:rsidR="00E76D6A">
              <w:rPr>
                <w:rFonts w:ascii="Arial Narrow" w:hAnsi="Arial Narrow"/>
                <w:b/>
                <w:sz w:val="20"/>
              </w:rPr>
              <w:t xml:space="preserve">0.83 (95%CI 0.58, </w:t>
            </w:r>
            <w:r w:rsidRPr="00B17695">
              <w:rPr>
                <w:rFonts w:ascii="Arial Narrow" w:hAnsi="Arial Narrow"/>
                <w:b/>
                <w:sz w:val="20"/>
              </w:rPr>
              <w:t>1.20)</w:t>
            </w:r>
          </w:p>
          <w:p w14:paraId="565FF291" w14:textId="64D6D387" w:rsidR="00A813F1" w:rsidRPr="00B17695" w:rsidRDefault="00A813F1" w:rsidP="00992BCE">
            <w:pPr>
              <w:spacing w:after="0" w:line="240" w:lineRule="auto"/>
              <w:ind w:right="-57"/>
              <w:rPr>
                <w:rFonts w:ascii="Arial Narrow" w:hAnsi="Arial Narrow"/>
                <w:sz w:val="20"/>
              </w:rPr>
            </w:pPr>
            <w:r>
              <w:rPr>
                <w:rFonts w:ascii="Arial Narrow" w:hAnsi="Arial Narrow"/>
                <w:b/>
                <w:sz w:val="20"/>
              </w:rPr>
              <w:t>A</w:t>
            </w:r>
            <w:r w:rsidRPr="00B17695">
              <w:rPr>
                <w:rFonts w:ascii="Arial Narrow" w:hAnsi="Arial Narrow"/>
                <w:b/>
                <w:sz w:val="20"/>
              </w:rPr>
              <w:t>ge OR</w:t>
            </w:r>
            <w:r w:rsidR="00846BA5">
              <w:rPr>
                <w:rFonts w:ascii="Arial Narrow" w:hAnsi="Arial Narrow"/>
                <w:b/>
                <w:sz w:val="20"/>
              </w:rPr>
              <w:t>=</w:t>
            </w:r>
            <w:r w:rsidRPr="00B17695">
              <w:rPr>
                <w:rFonts w:ascii="Arial Narrow" w:hAnsi="Arial Narrow"/>
                <w:b/>
                <w:sz w:val="20"/>
              </w:rPr>
              <w:t>1.20</w:t>
            </w:r>
            <w:r w:rsidRPr="00B17695">
              <w:rPr>
                <w:rFonts w:ascii="Arial Narrow" w:hAnsi="Arial Narrow"/>
                <w:b/>
                <w:sz w:val="20"/>
                <w:vertAlign w:val="superscript"/>
              </w:rPr>
              <w:t>a</w:t>
            </w:r>
            <w:r>
              <w:rPr>
                <w:rFonts w:ascii="Arial Narrow" w:hAnsi="Arial Narrow"/>
                <w:b/>
                <w:sz w:val="20"/>
              </w:rPr>
              <w:t xml:space="preserve"> (</w:t>
            </w:r>
            <w:r w:rsidR="00E76D6A">
              <w:rPr>
                <w:rFonts w:ascii="Arial Narrow" w:hAnsi="Arial Narrow"/>
                <w:b/>
                <w:sz w:val="20"/>
              </w:rPr>
              <w:t xml:space="preserve">95%CI 1.10, </w:t>
            </w:r>
            <w:r w:rsidRPr="00B17695">
              <w:rPr>
                <w:rFonts w:ascii="Arial Narrow" w:hAnsi="Arial Narrow"/>
                <w:b/>
                <w:sz w:val="20"/>
              </w:rPr>
              <w:t>1.33</w:t>
            </w:r>
            <w:r w:rsidRPr="00B17695">
              <w:rPr>
                <w:rFonts w:ascii="Arial Narrow" w:hAnsi="Arial Narrow"/>
                <w:sz w:val="20"/>
              </w:rPr>
              <w:t>)</w:t>
            </w:r>
          </w:p>
          <w:p w14:paraId="39E991B2" w14:textId="77777777" w:rsidR="00A813F1" w:rsidRPr="00B17695" w:rsidRDefault="00A813F1" w:rsidP="00992BCE">
            <w:pPr>
              <w:spacing w:after="0" w:line="240" w:lineRule="auto"/>
              <w:ind w:right="-57"/>
              <w:rPr>
                <w:rFonts w:ascii="Arial Narrow" w:hAnsi="Arial Narrow"/>
                <w:sz w:val="20"/>
              </w:rPr>
            </w:pPr>
          </w:p>
          <w:p w14:paraId="50873E84"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AMH and age were predictors for 18 month CRA</w:t>
            </w:r>
          </w:p>
          <w:p w14:paraId="6F763A86" w14:textId="145CC05A"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AMH OR</w:t>
            </w:r>
            <w:r w:rsidR="00846BA5">
              <w:rPr>
                <w:rFonts w:ascii="Arial Narrow" w:hAnsi="Arial Narrow"/>
                <w:b/>
                <w:sz w:val="20"/>
              </w:rPr>
              <w:t>=</w:t>
            </w:r>
            <w:r w:rsidRPr="00B17695">
              <w:rPr>
                <w:rFonts w:ascii="Arial Narrow" w:hAnsi="Arial Narrow"/>
                <w:b/>
                <w:sz w:val="20"/>
              </w:rPr>
              <w:t>0.41</w:t>
            </w:r>
            <w:r w:rsidRPr="00B17695">
              <w:rPr>
                <w:rFonts w:ascii="Arial Narrow" w:hAnsi="Arial Narrow"/>
                <w:b/>
                <w:sz w:val="20"/>
                <w:vertAlign w:val="superscript"/>
              </w:rPr>
              <w:t>b</w:t>
            </w:r>
            <w:r w:rsidR="00E76D6A">
              <w:rPr>
                <w:rFonts w:ascii="Arial Narrow" w:hAnsi="Arial Narrow"/>
                <w:b/>
                <w:sz w:val="20"/>
              </w:rPr>
              <w:t xml:space="preserve"> (95%CI 0.18, </w:t>
            </w:r>
            <w:r w:rsidRPr="00B17695">
              <w:rPr>
                <w:rFonts w:ascii="Arial Narrow" w:hAnsi="Arial Narrow"/>
                <w:b/>
                <w:sz w:val="20"/>
              </w:rPr>
              <w:t>0.95)</w:t>
            </w:r>
          </w:p>
          <w:p w14:paraId="25B00817" w14:textId="596C4063"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Age OR</w:t>
            </w:r>
            <w:r w:rsidR="00846BA5">
              <w:rPr>
                <w:rFonts w:ascii="Arial Narrow" w:hAnsi="Arial Narrow"/>
                <w:b/>
                <w:sz w:val="20"/>
              </w:rPr>
              <w:t>=</w:t>
            </w:r>
            <w:r w:rsidRPr="00B17695">
              <w:rPr>
                <w:rFonts w:ascii="Arial Narrow" w:hAnsi="Arial Narrow"/>
                <w:b/>
                <w:sz w:val="20"/>
              </w:rPr>
              <w:t>1.18</w:t>
            </w:r>
            <w:r w:rsidRPr="00B17695">
              <w:rPr>
                <w:rFonts w:ascii="Arial Narrow" w:hAnsi="Arial Narrow"/>
                <w:b/>
                <w:sz w:val="20"/>
                <w:vertAlign w:val="superscript"/>
              </w:rPr>
              <w:t>c</w:t>
            </w:r>
            <w:r w:rsidR="00E76D6A">
              <w:rPr>
                <w:rFonts w:ascii="Arial Narrow" w:hAnsi="Arial Narrow"/>
                <w:b/>
                <w:sz w:val="20"/>
              </w:rPr>
              <w:t xml:space="preserve"> (95%CI 1.04, </w:t>
            </w:r>
            <w:r w:rsidRPr="00B17695">
              <w:rPr>
                <w:rFonts w:ascii="Arial Narrow" w:hAnsi="Arial Narrow"/>
                <w:b/>
                <w:sz w:val="20"/>
              </w:rPr>
              <w:t>1.34)</w:t>
            </w:r>
          </w:p>
        </w:tc>
        <w:tc>
          <w:tcPr>
            <w:tcW w:w="1701" w:type="dxa"/>
          </w:tcPr>
          <w:p w14:paraId="6D3312ED" w14:textId="77777777" w:rsidR="00A813F1" w:rsidRPr="00B17695" w:rsidRDefault="00A813F1" w:rsidP="00992BCE">
            <w:pPr>
              <w:spacing w:after="0" w:line="240" w:lineRule="auto"/>
              <w:ind w:right="-57"/>
              <w:rPr>
                <w:rFonts w:ascii="Arial Narrow" w:hAnsi="Arial Narrow"/>
                <w:sz w:val="20"/>
                <w:u w:val="single"/>
              </w:rPr>
            </w:pPr>
            <w:r w:rsidRPr="00B17695">
              <w:rPr>
                <w:rFonts w:ascii="Arial Narrow" w:hAnsi="Arial Narrow"/>
                <w:sz w:val="20"/>
                <w:u w:val="single"/>
              </w:rPr>
              <w:t>12 months follow-up</w:t>
            </w:r>
          </w:p>
          <w:p w14:paraId="5B69ED41"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AMH: 0.32</w:t>
            </w:r>
          </w:p>
          <w:p w14:paraId="09BFCAD5"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Age: 0.00003</w:t>
            </w:r>
          </w:p>
          <w:p w14:paraId="1DD4F64B" w14:textId="77777777" w:rsidR="00A813F1" w:rsidRPr="00B17695" w:rsidRDefault="00A813F1" w:rsidP="00992BCE">
            <w:pPr>
              <w:spacing w:after="0" w:line="240" w:lineRule="auto"/>
              <w:ind w:right="-57"/>
              <w:rPr>
                <w:rFonts w:ascii="Arial Narrow" w:hAnsi="Arial Narrow"/>
                <w:sz w:val="20"/>
              </w:rPr>
            </w:pPr>
          </w:p>
          <w:p w14:paraId="0DF95578" w14:textId="77777777" w:rsidR="00A813F1" w:rsidRPr="00B17695" w:rsidRDefault="00A813F1" w:rsidP="00992BCE">
            <w:pPr>
              <w:spacing w:after="0" w:line="240" w:lineRule="auto"/>
              <w:ind w:right="-57"/>
              <w:rPr>
                <w:rFonts w:ascii="Arial Narrow" w:hAnsi="Arial Narrow"/>
                <w:sz w:val="20"/>
                <w:u w:val="single"/>
              </w:rPr>
            </w:pPr>
            <w:r w:rsidRPr="00B17695">
              <w:rPr>
                <w:rFonts w:ascii="Arial Narrow" w:hAnsi="Arial Narrow"/>
                <w:sz w:val="20"/>
                <w:u w:val="single"/>
              </w:rPr>
              <w:t>18 months follow-up</w:t>
            </w:r>
          </w:p>
          <w:p w14:paraId="3150953E"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AMH: 0.04</w:t>
            </w:r>
          </w:p>
          <w:p w14:paraId="7B7A2B49"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Age: 0.008</w:t>
            </w:r>
          </w:p>
        </w:tc>
      </w:tr>
      <w:tr w:rsidR="00A813F1" w:rsidRPr="00B17695" w14:paraId="24C8F7F6" w14:textId="77777777" w:rsidTr="00762873">
        <w:trPr>
          <w:trHeight w:val="205"/>
          <w:tblHeader/>
        </w:trPr>
        <w:tc>
          <w:tcPr>
            <w:tcW w:w="1838" w:type="dxa"/>
          </w:tcPr>
          <w:p w14:paraId="37B5BA18" w14:textId="60BFA37A" w:rsidR="00A813F1" w:rsidRPr="00B17695" w:rsidRDefault="00A813F1" w:rsidP="00835BA6">
            <w:pPr>
              <w:spacing w:after="0" w:line="240" w:lineRule="auto"/>
              <w:rPr>
                <w:rFonts w:ascii="Arial Narrow" w:hAnsi="Arial Narrow"/>
                <w:sz w:val="20"/>
              </w:rPr>
            </w:pPr>
            <w:r>
              <w:rPr>
                <w:rFonts w:ascii="Arial Narrow" w:hAnsi="Arial Narrow"/>
                <w:sz w:val="20"/>
              </w:rPr>
              <w:t xml:space="preserve">Su et al. </w:t>
            </w:r>
            <w:r>
              <w:rPr>
                <w:rFonts w:ascii="Arial Narrow" w:hAnsi="Arial Narrow"/>
                <w:sz w:val="20"/>
              </w:rPr>
              <w:fldChar w:fldCharType="begin"/>
            </w:r>
            <w:r w:rsidR="00577E24">
              <w:rPr>
                <w:rFonts w:ascii="Arial Narrow" w:hAnsi="Arial Narrow"/>
                <w:sz w:val="20"/>
              </w:rPr>
              <w:instrText xml:space="preserve"> ADDIN EN.CITE &lt;EndNote&gt;&lt;Cite ExcludeAuth="1"&gt;&lt;Author&gt;Su&lt;/Author&gt;&lt;Year&gt;2014&lt;/Year&gt;&lt;RecNum&gt;333&lt;/RecNum&gt;&lt;IDText&gt;3691-8&lt;/IDText&gt;&lt;DisplayText&gt;(2014)&lt;/DisplayText&gt;&lt;record&gt;&lt;rec-number&gt;333&lt;/rec-number&gt;&lt;foreign-keys&gt;&lt;key app="EN" db-id="s2dftfxw1fvsr1efx58vfvxtvfwzxea0td02" timestamp="1511748097"&gt;333&lt;/key&gt;&lt;/foreign-keys&gt;&lt;ref-type name="Journal Article"&gt;17&lt;/ref-type&gt;&lt;contributors&gt;&lt;authors&gt;&lt;author&gt;Su, H. C.&lt;/author&gt;&lt;author&gt;Haunschild, C.&lt;/author&gt;&lt;author&gt;Chung, K.&lt;/author&gt;&lt;author&gt;Komrokian, S.&lt;/author&gt;&lt;author&gt;Boles, S.&lt;/author&gt;&lt;author&gt;Sammel, M. D.&lt;/author&gt;&lt;author&gt;DeMichele, A.&lt;/author&gt;&lt;/authors&gt;&lt;/contributors&gt;&lt;titles&gt;&lt;title&gt;Prechemotherapy antimullerian hormone, age, and body size predict timing of return of ovarian function in young breast cancer patients&lt;/title&gt;&lt;secondary-title&gt;Cancer&lt;/secondary-title&gt;&lt;/titles&gt;&lt;periodical&gt;&lt;full-title&gt;Cancer&lt;/full-title&gt;&lt;/periodical&gt;&lt;pages&gt;3691-8&lt;/pages&gt;&lt;volume&gt;120&lt;/volume&gt;&lt;number&gt;23&lt;/number&gt;&lt;keywords&gt;&lt;keyword&gt;Anti-Mullerian Hormone&lt;/keyword&gt;&lt;keyword&gt;Cohort Studies&lt;/keyword&gt;&lt;keyword&gt;Follicle Stimulating Hormone&lt;/keyword&gt;&lt;keyword&gt;Breast Neoplasms&lt;/keyword&gt;&lt;/keywords&gt;&lt;dates&gt;&lt;year&gt;2014&lt;/year&gt;&lt;pub-dates&gt;&lt;date&gt;2014-1-1&lt;/date&gt;&lt;/pub-dates&gt;&lt;/dates&gt;&lt;accession-num&gt;rayyan-6678837&lt;/accession-num&gt;&lt;urls&gt;&lt;related-urls&gt;&lt;url&gt;http://onlinelibrary.wiley.com/store/10.1002/cncr.28942/asset/cncr28942.pdf?v=1&amp;amp;t=j5nitqx5&amp;amp;s=0d95d344c5a7464c1d4a85a07eacb6e8d96e10f6&lt;/url&gt;&lt;/related-urls&gt;&lt;/urls&gt;&lt;custom1&gt;RAYYAN-INCLUSION: {&amp;quot;Sharon&amp;quot;=&amp;gt;true}&lt;/custom1&gt;&lt;language&gt;eng&lt;/language&gt;&lt;/record&gt;&lt;/Cite&gt;&lt;/EndNote&gt;</w:instrText>
            </w:r>
            <w:r>
              <w:rPr>
                <w:rFonts w:ascii="Arial Narrow" w:hAnsi="Arial Narrow"/>
                <w:sz w:val="20"/>
              </w:rPr>
              <w:fldChar w:fldCharType="separate"/>
            </w:r>
            <w:r>
              <w:rPr>
                <w:rFonts w:ascii="Arial Narrow" w:hAnsi="Arial Narrow"/>
                <w:noProof/>
                <w:sz w:val="20"/>
              </w:rPr>
              <w:t>(</w:t>
            </w:r>
            <w:hyperlink w:anchor="_ENREF_63" w:tooltip="Su, 2014 #333" w:history="1">
              <w:r w:rsidR="00835BA6">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r w:rsidRPr="00B17695">
              <w:rPr>
                <w:rFonts w:ascii="Arial Narrow" w:hAnsi="Arial Narrow"/>
                <w:sz w:val="20"/>
              </w:rPr>
              <w:t>**</w:t>
            </w:r>
          </w:p>
        </w:tc>
        <w:tc>
          <w:tcPr>
            <w:tcW w:w="2268" w:type="dxa"/>
          </w:tcPr>
          <w:p w14:paraId="51B0F798" w14:textId="5CC3F805"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N</w:t>
            </w:r>
            <w:r w:rsidR="00846BA5">
              <w:rPr>
                <w:rFonts w:ascii="Arial Narrow" w:hAnsi="Arial Narrow"/>
                <w:b/>
                <w:sz w:val="20"/>
              </w:rPr>
              <w:t>=</w:t>
            </w:r>
            <w:r w:rsidRPr="00B17695">
              <w:rPr>
                <w:rFonts w:ascii="Arial Narrow" w:hAnsi="Arial Narrow"/>
                <w:b/>
                <w:sz w:val="20"/>
              </w:rPr>
              <w:t>109</w:t>
            </w:r>
            <w:r w:rsidRPr="00B17695">
              <w:rPr>
                <w:rFonts w:ascii="Arial Narrow" w:hAnsi="Arial Narrow"/>
                <w:sz w:val="20"/>
              </w:rPr>
              <w:t xml:space="preserve"> women with breast cancer </w:t>
            </w:r>
            <w:r w:rsidR="00E76D6A">
              <w:rPr>
                <w:rFonts w:ascii="Arial Narrow" w:hAnsi="Arial Narrow"/>
                <w:sz w:val="20"/>
              </w:rPr>
              <w:t xml:space="preserve">treated with chemotherapy </w:t>
            </w:r>
            <w:r w:rsidRPr="00B17695">
              <w:rPr>
                <w:rFonts w:ascii="Arial Narrow" w:hAnsi="Arial Narrow"/>
                <w:sz w:val="20"/>
              </w:rPr>
              <w:t>and at lea</w:t>
            </w:r>
            <w:r w:rsidR="00E76D6A">
              <w:rPr>
                <w:rFonts w:ascii="Arial Narrow" w:hAnsi="Arial Narrow"/>
                <w:sz w:val="20"/>
              </w:rPr>
              <w:t>st 3 months of amenorrhea</w:t>
            </w:r>
          </w:p>
        </w:tc>
        <w:tc>
          <w:tcPr>
            <w:tcW w:w="1134" w:type="dxa"/>
          </w:tcPr>
          <w:p w14:paraId="564A2511" w14:textId="512906DF"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Median 16</w:t>
            </w:r>
            <w:r w:rsidR="00E76D6A">
              <w:rPr>
                <w:rFonts w:ascii="Arial Narrow" w:hAnsi="Arial Narrow"/>
                <w:sz w:val="20"/>
              </w:rPr>
              <w:t>3 days (range 4–</w:t>
            </w:r>
            <w:r w:rsidR="00992BCE">
              <w:rPr>
                <w:rFonts w:ascii="Arial Narrow" w:hAnsi="Arial Narrow"/>
                <w:sz w:val="20"/>
              </w:rPr>
              <w:t>1009 days)</w:t>
            </w:r>
          </w:p>
        </w:tc>
        <w:tc>
          <w:tcPr>
            <w:tcW w:w="1843" w:type="dxa"/>
          </w:tcPr>
          <w:p w14:paraId="757CD750"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Age, body size, race, chemotherapy regimen, tamoxifen exposure</w:t>
            </w:r>
          </w:p>
        </w:tc>
        <w:tc>
          <w:tcPr>
            <w:tcW w:w="5103" w:type="dxa"/>
          </w:tcPr>
          <w:p w14:paraId="515D059B"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Predictive for shorter time to return of ovarian function:</w:t>
            </w:r>
          </w:p>
          <w:p w14:paraId="78ACFAB9" w14:textId="5547091F"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 xml:space="preserve">Baseline </w:t>
            </w:r>
            <w:r w:rsidRPr="00B17695">
              <w:rPr>
                <w:rFonts w:ascii="Arial Narrow" w:hAnsi="Arial Narrow"/>
                <w:b/>
                <w:sz w:val="20"/>
              </w:rPr>
              <w:t>AMH</w:t>
            </w:r>
            <w:r w:rsidRPr="00B17695">
              <w:rPr>
                <w:rFonts w:ascii="Arial Narrow" w:hAnsi="Arial Narrow"/>
                <w:sz w:val="20"/>
              </w:rPr>
              <w:t xml:space="preserve"> levels &gt;0.7 ng/mL: </w:t>
            </w:r>
            <w:r w:rsidRPr="00B17695">
              <w:rPr>
                <w:rFonts w:ascii="Arial Narrow" w:hAnsi="Arial Narrow"/>
                <w:b/>
                <w:sz w:val="20"/>
              </w:rPr>
              <w:t>HR</w:t>
            </w:r>
            <w:r w:rsidR="00846BA5">
              <w:rPr>
                <w:rFonts w:ascii="Arial Narrow" w:hAnsi="Arial Narrow"/>
                <w:b/>
                <w:sz w:val="20"/>
              </w:rPr>
              <w:t>=</w:t>
            </w:r>
            <w:r w:rsidR="00E76D6A">
              <w:rPr>
                <w:rFonts w:ascii="Arial Narrow" w:hAnsi="Arial Narrow"/>
                <w:b/>
                <w:sz w:val="20"/>
              </w:rPr>
              <w:t xml:space="preserve">2.9 (95%CI 1.5, </w:t>
            </w:r>
            <w:r w:rsidRPr="00B17695">
              <w:rPr>
                <w:rFonts w:ascii="Arial Narrow" w:hAnsi="Arial Narrow"/>
                <w:b/>
                <w:sz w:val="20"/>
              </w:rPr>
              <w:t>5.6</w:t>
            </w:r>
            <w:r w:rsidR="00E76D6A">
              <w:rPr>
                <w:rFonts w:ascii="Arial Narrow" w:hAnsi="Arial Narrow"/>
                <w:sz w:val="20"/>
              </w:rPr>
              <w:t>)</w:t>
            </w:r>
          </w:p>
          <w:p w14:paraId="1F1B8F3C" w14:textId="4920A350" w:rsidR="00A813F1" w:rsidRPr="00B17695" w:rsidRDefault="00A813F1" w:rsidP="00992BCE">
            <w:pPr>
              <w:spacing w:after="0" w:line="240" w:lineRule="auto"/>
              <w:ind w:right="-57"/>
              <w:rPr>
                <w:rFonts w:ascii="Arial Narrow" w:hAnsi="Arial Narrow"/>
                <w:b/>
                <w:sz w:val="20"/>
              </w:rPr>
            </w:pPr>
            <w:r w:rsidRPr="00B17695">
              <w:rPr>
                <w:rFonts w:ascii="Arial Narrow" w:hAnsi="Arial Narrow"/>
                <w:b/>
                <w:sz w:val="20"/>
              </w:rPr>
              <w:t>FSH</w:t>
            </w:r>
            <w:r w:rsidRPr="00B17695">
              <w:rPr>
                <w:rFonts w:ascii="Arial Narrow" w:hAnsi="Arial Narrow"/>
                <w:sz w:val="20"/>
              </w:rPr>
              <w:t xml:space="preserve"> levels </w:t>
            </w:r>
            <w:r w:rsidR="003B42B2">
              <w:rPr>
                <w:rFonts w:ascii="Arial Narrow" w:hAnsi="Arial Narrow"/>
                <w:sz w:val="20"/>
              </w:rPr>
              <w:t>≤</w:t>
            </w:r>
            <w:r w:rsidRPr="00B17695">
              <w:rPr>
                <w:rFonts w:ascii="Arial Narrow" w:hAnsi="Arial Narrow"/>
                <w:sz w:val="20"/>
              </w:rPr>
              <w:t>10 IU/L:</w:t>
            </w:r>
            <w:r>
              <w:rPr>
                <w:rFonts w:ascii="Arial Narrow" w:hAnsi="Arial Narrow"/>
                <w:sz w:val="20"/>
              </w:rPr>
              <w:t xml:space="preserve"> </w:t>
            </w:r>
            <w:r w:rsidRPr="00B17695">
              <w:rPr>
                <w:rFonts w:ascii="Arial Narrow" w:hAnsi="Arial Narrow"/>
                <w:b/>
                <w:sz w:val="20"/>
              </w:rPr>
              <w:t>HR</w:t>
            </w:r>
            <w:r w:rsidR="00846BA5">
              <w:rPr>
                <w:rFonts w:ascii="Arial Narrow" w:hAnsi="Arial Narrow"/>
                <w:b/>
                <w:sz w:val="20"/>
              </w:rPr>
              <w:t>=</w:t>
            </w:r>
            <w:r w:rsidR="00E76D6A">
              <w:rPr>
                <w:rFonts w:ascii="Arial Narrow" w:hAnsi="Arial Narrow"/>
                <w:b/>
                <w:sz w:val="20"/>
              </w:rPr>
              <w:t xml:space="preserve">4.7 (95%CI 1.3, </w:t>
            </w:r>
            <w:r w:rsidRPr="00B17695">
              <w:rPr>
                <w:rFonts w:ascii="Arial Narrow" w:hAnsi="Arial Narrow"/>
                <w:b/>
                <w:sz w:val="20"/>
              </w:rPr>
              <w:t>16.8</w:t>
            </w:r>
            <w:r w:rsidR="00E76D6A">
              <w:rPr>
                <w:rFonts w:ascii="Arial Narrow" w:hAnsi="Arial Narrow"/>
                <w:b/>
                <w:sz w:val="20"/>
              </w:rPr>
              <w:t>)</w:t>
            </w:r>
          </w:p>
          <w:p w14:paraId="7F52A65E" w14:textId="43D0198D" w:rsidR="00A813F1" w:rsidRPr="00B17695" w:rsidRDefault="00A813F1" w:rsidP="00992BCE">
            <w:pPr>
              <w:spacing w:after="0" w:line="240" w:lineRule="auto"/>
              <w:ind w:right="-57"/>
              <w:rPr>
                <w:rFonts w:ascii="Arial Narrow" w:hAnsi="Arial Narrow"/>
                <w:sz w:val="20"/>
              </w:rPr>
            </w:pPr>
            <w:r w:rsidRPr="00B17695">
              <w:rPr>
                <w:rFonts w:ascii="Arial Narrow" w:hAnsi="Arial Narrow"/>
                <w:b/>
                <w:sz w:val="20"/>
              </w:rPr>
              <w:t>Age</w:t>
            </w:r>
            <w:r w:rsidRPr="00B17695">
              <w:rPr>
                <w:rFonts w:ascii="Arial Narrow" w:hAnsi="Arial Narrow"/>
                <w:sz w:val="20"/>
              </w:rPr>
              <w:t xml:space="preserve"> &lt;40 years: </w:t>
            </w:r>
            <w:r w:rsidRPr="00B17695">
              <w:rPr>
                <w:rFonts w:ascii="Arial Narrow" w:hAnsi="Arial Narrow"/>
                <w:b/>
                <w:sz w:val="20"/>
              </w:rPr>
              <w:t>HR</w:t>
            </w:r>
            <w:r w:rsidR="00846BA5">
              <w:rPr>
                <w:rFonts w:ascii="Arial Narrow" w:hAnsi="Arial Narrow"/>
                <w:b/>
                <w:sz w:val="20"/>
              </w:rPr>
              <w:t>=</w:t>
            </w:r>
            <w:r w:rsidR="00E76D6A">
              <w:rPr>
                <w:rFonts w:ascii="Arial Narrow" w:hAnsi="Arial Narrow"/>
                <w:b/>
                <w:sz w:val="20"/>
              </w:rPr>
              <w:t xml:space="preserve">3.39 (95%CI 1.74, </w:t>
            </w:r>
            <w:r w:rsidRPr="00B17695">
              <w:rPr>
                <w:rFonts w:ascii="Arial Narrow" w:hAnsi="Arial Narrow"/>
                <w:b/>
                <w:sz w:val="20"/>
              </w:rPr>
              <w:t>6.60</w:t>
            </w:r>
            <w:r w:rsidR="00E76D6A">
              <w:rPr>
                <w:rFonts w:ascii="Arial Narrow" w:hAnsi="Arial Narrow"/>
                <w:b/>
                <w:sz w:val="20"/>
              </w:rPr>
              <w:t>)</w:t>
            </w:r>
          </w:p>
        </w:tc>
        <w:tc>
          <w:tcPr>
            <w:tcW w:w="1701" w:type="dxa"/>
          </w:tcPr>
          <w:p w14:paraId="20C55F7C"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AMH: 0.002</w:t>
            </w:r>
          </w:p>
          <w:p w14:paraId="4EECCAEC"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FSH: 0.018</w:t>
            </w:r>
          </w:p>
          <w:p w14:paraId="6D31A662" w14:textId="77777777" w:rsidR="00A813F1" w:rsidRPr="00B17695" w:rsidRDefault="00A813F1" w:rsidP="00992BCE">
            <w:pPr>
              <w:spacing w:after="0" w:line="240" w:lineRule="auto"/>
              <w:ind w:right="-57"/>
              <w:rPr>
                <w:rFonts w:ascii="Arial Narrow" w:hAnsi="Arial Narrow"/>
                <w:sz w:val="20"/>
              </w:rPr>
            </w:pPr>
            <w:r w:rsidRPr="00B17695">
              <w:rPr>
                <w:rFonts w:ascii="Arial Narrow" w:hAnsi="Arial Narrow"/>
                <w:sz w:val="20"/>
              </w:rPr>
              <w:t>Age: &lt;0.001</w:t>
            </w:r>
          </w:p>
        </w:tc>
      </w:tr>
    </w:tbl>
    <w:p w14:paraId="4CCA756B" w14:textId="2EB5F00B" w:rsidR="00E97BA9" w:rsidRPr="00DD53E7" w:rsidRDefault="00E97BA9" w:rsidP="00E97BA9">
      <w:pPr>
        <w:spacing w:after="0" w:line="240" w:lineRule="auto"/>
        <w:rPr>
          <w:rFonts w:ascii="Arial Narrow" w:hAnsi="Arial Narrow"/>
          <w:sz w:val="18"/>
          <w:szCs w:val="18"/>
        </w:rPr>
      </w:pPr>
      <w:r w:rsidRPr="002C54E5">
        <w:rPr>
          <w:rFonts w:ascii="Arial Narrow" w:hAnsi="Arial Narrow"/>
          <w:sz w:val="18"/>
          <w:szCs w:val="18"/>
        </w:rPr>
        <w:t>AMH = anti-Mϋllerian hormone;</w:t>
      </w:r>
      <w:r>
        <w:rPr>
          <w:rFonts w:ascii="Arial Narrow" w:hAnsi="Arial Narrow"/>
          <w:sz w:val="18"/>
          <w:szCs w:val="18"/>
        </w:rPr>
        <w:t xml:space="preserve"> </w:t>
      </w:r>
      <w:r w:rsidRPr="002C54E5">
        <w:rPr>
          <w:rFonts w:ascii="Arial Narrow" w:hAnsi="Arial Narrow"/>
          <w:sz w:val="18"/>
          <w:szCs w:val="18"/>
        </w:rPr>
        <w:t>CRA = chemotherapy-related amenorrhea;</w:t>
      </w:r>
      <w:r>
        <w:rPr>
          <w:rFonts w:ascii="Arial Narrow" w:hAnsi="Arial Narrow"/>
          <w:sz w:val="18"/>
          <w:szCs w:val="18"/>
        </w:rPr>
        <w:t xml:space="preserve"> FSH = follicle</w:t>
      </w:r>
      <w:r w:rsidR="00DE6DD5">
        <w:rPr>
          <w:rFonts w:ascii="Arial Narrow" w:hAnsi="Arial Narrow"/>
          <w:sz w:val="18"/>
          <w:szCs w:val="18"/>
        </w:rPr>
        <w:t>-</w:t>
      </w:r>
      <w:r>
        <w:rPr>
          <w:rFonts w:ascii="Arial Narrow" w:hAnsi="Arial Narrow"/>
          <w:sz w:val="18"/>
          <w:szCs w:val="18"/>
        </w:rPr>
        <w:t>stimulating hormone; HR = hazard ratio;</w:t>
      </w:r>
      <w:r w:rsidRPr="002C54E5">
        <w:rPr>
          <w:rFonts w:ascii="Arial Narrow" w:hAnsi="Arial Narrow"/>
          <w:sz w:val="18"/>
          <w:szCs w:val="18"/>
        </w:rPr>
        <w:t xml:space="preserve"> NS = not significant</w:t>
      </w:r>
      <w:r>
        <w:rPr>
          <w:rFonts w:ascii="Arial Narrow" w:hAnsi="Arial Narrow"/>
          <w:sz w:val="18"/>
          <w:szCs w:val="18"/>
        </w:rPr>
        <w:t xml:space="preserve">; </w:t>
      </w:r>
      <w:r w:rsidR="00D50709">
        <w:rPr>
          <w:rFonts w:ascii="Arial Narrow" w:hAnsi="Arial Narrow"/>
          <w:sz w:val="18"/>
          <w:szCs w:val="18"/>
        </w:rPr>
        <w:t>OR = odds ratio</w:t>
      </w:r>
    </w:p>
    <w:p w14:paraId="4CDD63AB" w14:textId="4352A394" w:rsidR="00A813F1" w:rsidRPr="00E474D4" w:rsidRDefault="00A813F1" w:rsidP="00A813F1">
      <w:pPr>
        <w:spacing w:after="0" w:line="259" w:lineRule="auto"/>
        <w:rPr>
          <w:rFonts w:ascii="Arial Narrow" w:eastAsia="Calibri" w:hAnsi="Arial Narrow"/>
          <w:sz w:val="18"/>
          <w:szCs w:val="18"/>
          <w:lang w:eastAsia="en-US"/>
        </w:rPr>
      </w:pPr>
      <w:r w:rsidRPr="00B7183E">
        <w:rPr>
          <w:rFonts w:ascii="Arial Narrow" w:eastAsia="Calibri" w:hAnsi="Arial Narrow"/>
          <w:sz w:val="18"/>
          <w:szCs w:val="18"/>
          <w:vertAlign w:val="superscript"/>
          <w:lang w:eastAsia="en-US"/>
        </w:rPr>
        <w:t>a</w:t>
      </w:r>
      <w:r w:rsidR="00992BCE">
        <w:rPr>
          <w:rFonts w:ascii="Arial Narrow" w:eastAsia="Calibri" w:hAnsi="Arial Narrow"/>
          <w:sz w:val="18"/>
          <w:szCs w:val="18"/>
          <w:lang w:eastAsia="en-US"/>
        </w:rPr>
        <w:t xml:space="preserve"> F</w:t>
      </w:r>
      <w:r w:rsidRPr="00E474D4">
        <w:rPr>
          <w:rFonts w:ascii="Arial Narrow" w:eastAsia="Calibri" w:hAnsi="Arial Narrow"/>
          <w:sz w:val="18"/>
          <w:szCs w:val="18"/>
          <w:lang w:eastAsia="en-US"/>
        </w:rPr>
        <w:t>or every 1 year increase in age, there was a 20% increase in the odds of developing CRA</w:t>
      </w:r>
      <w:r w:rsidR="00E76D6A" w:rsidRPr="00E474D4">
        <w:rPr>
          <w:rFonts w:ascii="Arial Narrow" w:eastAsia="Calibri" w:hAnsi="Arial Narrow"/>
          <w:sz w:val="18"/>
          <w:szCs w:val="18"/>
          <w:lang w:eastAsia="en-US"/>
        </w:rPr>
        <w:t xml:space="preserve"> at 12 months</w:t>
      </w:r>
    </w:p>
    <w:p w14:paraId="64458603" w14:textId="33DF6783" w:rsidR="00A813F1" w:rsidRPr="00E474D4" w:rsidRDefault="00A813F1" w:rsidP="00A813F1">
      <w:pPr>
        <w:spacing w:after="0" w:line="259" w:lineRule="auto"/>
        <w:rPr>
          <w:rFonts w:ascii="Arial Narrow" w:eastAsia="Calibri" w:hAnsi="Arial Narrow"/>
          <w:sz w:val="18"/>
          <w:szCs w:val="18"/>
          <w:lang w:eastAsia="en-US"/>
        </w:rPr>
      </w:pPr>
      <w:r w:rsidRPr="00E474D4">
        <w:rPr>
          <w:rFonts w:ascii="Arial Narrow" w:eastAsia="Calibri" w:hAnsi="Arial Narrow"/>
          <w:sz w:val="18"/>
          <w:szCs w:val="18"/>
          <w:vertAlign w:val="superscript"/>
          <w:lang w:eastAsia="en-US"/>
        </w:rPr>
        <w:t>b</w:t>
      </w:r>
      <w:r w:rsidR="00992BCE">
        <w:rPr>
          <w:rFonts w:ascii="Arial Narrow" w:eastAsia="Calibri" w:hAnsi="Arial Narrow"/>
          <w:sz w:val="18"/>
          <w:szCs w:val="18"/>
          <w:lang w:eastAsia="en-US"/>
        </w:rPr>
        <w:t xml:space="preserve"> F</w:t>
      </w:r>
      <w:r w:rsidRPr="00E474D4">
        <w:rPr>
          <w:rFonts w:ascii="Arial Narrow" w:eastAsia="Calibri" w:hAnsi="Arial Narrow"/>
          <w:sz w:val="18"/>
          <w:szCs w:val="18"/>
          <w:lang w:eastAsia="en-US"/>
        </w:rPr>
        <w:t>or every 1 ng/mL increase in AMH, there was a 59% decrease in the odds of developing CRA</w:t>
      </w:r>
    </w:p>
    <w:p w14:paraId="5A331AB2" w14:textId="17D8D801" w:rsidR="00A813F1" w:rsidRPr="00E474D4" w:rsidRDefault="00A813F1" w:rsidP="00A813F1">
      <w:pPr>
        <w:spacing w:after="0" w:line="259" w:lineRule="auto"/>
        <w:rPr>
          <w:rFonts w:ascii="Arial Narrow" w:eastAsia="Calibri" w:hAnsi="Arial Narrow"/>
          <w:sz w:val="18"/>
          <w:szCs w:val="18"/>
          <w:lang w:eastAsia="en-US"/>
        </w:rPr>
      </w:pPr>
      <w:r w:rsidRPr="00E474D4">
        <w:rPr>
          <w:rFonts w:ascii="Arial Narrow" w:eastAsia="Calibri" w:hAnsi="Arial Narrow"/>
          <w:sz w:val="18"/>
          <w:szCs w:val="18"/>
          <w:vertAlign w:val="superscript"/>
          <w:lang w:eastAsia="en-US"/>
        </w:rPr>
        <w:t>c</w:t>
      </w:r>
      <w:r w:rsidR="00992BCE">
        <w:rPr>
          <w:rFonts w:ascii="Arial Narrow" w:eastAsia="Calibri" w:hAnsi="Arial Narrow"/>
          <w:sz w:val="18"/>
          <w:szCs w:val="18"/>
          <w:lang w:eastAsia="en-US"/>
        </w:rPr>
        <w:t xml:space="preserve"> F</w:t>
      </w:r>
      <w:r w:rsidRPr="00E474D4">
        <w:rPr>
          <w:rFonts w:ascii="Arial Narrow" w:eastAsia="Calibri" w:hAnsi="Arial Narrow"/>
          <w:sz w:val="18"/>
          <w:szCs w:val="18"/>
          <w:lang w:eastAsia="en-US"/>
        </w:rPr>
        <w:t>or every 1 year increase in age, there was a 18% increase in the odds of developing CRA</w:t>
      </w:r>
      <w:r w:rsidR="00E76D6A" w:rsidRPr="00E474D4">
        <w:rPr>
          <w:rFonts w:ascii="Arial Narrow" w:eastAsia="Calibri" w:hAnsi="Arial Narrow"/>
          <w:sz w:val="18"/>
          <w:szCs w:val="18"/>
          <w:lang w:eastAsia="en-US"/>
        </w:rPr>
        <w:t xml:space="preserve"> at 18 months</w:t>
      </w:r>
    </w:p>
    <w:p w14:paraId="7594174C" w14:textId="77777777" w:rsidR="00A813F1" w:rsidRPr="00E474D4" w:rsidRDefault="00A813F1" w:rsidP="00A813F1">
      <w:pPr>
        <w:spacing w:after="0" w:line="259" w:lineRule="auto"/>
        <w:rPr>
          <w:rFonts w:ascii="Arial Narrow" w:eastAsia="Calibri" w:hAnsi="Arial Narrow"/>
          <w:sz w:val="18"/>
          <w:szCs w:val="18"/>
          <w:lang w:eastAsia="en-US"/>
        </w:rPr>
      </w:pPr>
      <w:r w:rsidRPr="00E474D4">
        <w:rPr>
          <w:rFonts w:ascii="Arial Narrow" w:eastAsia="Calibri" w:hAnsi="Arial Narrow"/>
          <w:sz w:val="18"/>
          <w:szCs w:val="18"/>
          <w:lang w:eastAsia="en-US"/>
        </w:rPr>
        <w:t>*Multivariate logistic regression analysis</w:t>
      </w:r>
    </w:p>
    <w:p w14:paraId="27D11C2D" w14:textId="77777777" w:rsidR="007518CF" w:rsidRPr="00E474D4" w:rsidRDefault="00A813F1" w:rsidP="00A813F1">
      <w:pPr>
        <w:spacing w:after="0" w:line="259" w:lineRule="auto"/>
        <w:rPr>
          <w:rFonts w:ascii="Arial Narrow" w:eastAsia="Calibri" w:hAnsi="Arial Narrow"/>
          <w:sz w:val="18"/>
          <w:szCs w:val="18"/>
          <w:lang w:eastAsia="en-US"/>
        </w:rPr>
      </w:pPr>
      <w:r w:rsidRPr="00E474D4">
        <w:rPr>
          <w:rFonts w:ascii="Arial Narrow" w:eastAsia="Calibri" w:hAnsi="Arial Narrow"/>
          <w:sz w:val="18"/>
          <w:szCs w:val="18"/>
          <w:lang w:eastAsia="en-US"/>
        </w:rPr>
        <w:t>**Multivariable Cox regression analysis</w:t>
      </w:r>
    </w:p>
    <w:p w14:paraId="6A7F5233" w14:textId="77777777" w:rsidR="009E5D0E" w:rsidRDefault="009E5D0E" w:rsidP="00A813F1">
      <w:pPr>
        <w:jc w:val="both"/>
        <w:sectPr w:rsidR="009E5D0E" w:rsidSect="009E5D0E">
          <w:pgSz w:w="16838" w:h="11906" w:orient="landscape" w:code="9"/>
          <w:pgMar w:top="1440" w:right="1440" w:bottom="1440" w:left="1440" w:header="720" w:footer="720" w:gutter="0"/>
          <w:cols w:space="720"/>
          <w:docGrid w:linePitch="299"/>
        </w:sectPr>
      </w:pPr>
    </w:p>
    <w:p w14:paraId="223E4590" w14:textId="78658A80" w:rsidR="00A813F1" w:rsidRDefault="00A813F1" w:rsidP="00A813F1">
      <w:pPr>
        <w:jc w:val="both"/>
      </w:pPr>
      <w:r>
        <w:lastRenderedPageBreak/>
        <w:t xml:space="preserve">In the multivariate analyses, AMH remained a significant predictor for continued or return of ovarian function in four out of five studies. Only the study with the smallest study population did not find significant factors for predicting ovarian function </w:t>
      </w:r>
      <w:r w:rsidR="00A109BA">
        <w:fldChar w:fldCharType="begin"/>
      </w:r>
      <w:r w:rsidR="00577E24">
        <w:instrText xml:space="preserve"> ADDIN EN.CITE &lt;EndNote&gt;&lt;Cite&gt;&lt;Author&gt;Henry&lt;/Author&gt;&lt;Year&gt;2014&lt;/Year&gt;&lt;RecNum&gt;178&lt;/RecNum&gt;&lt;IDText&gt;68-74&lt;/IDText&gt;&lt;DisplayText&gt;(Henry et al. 2014)&lt;/DisplayText&gt;&lt;record&gt;&lt;rec-number&gt;178&lt;/rec-number&gt;&lt;foreign-keys&gt;&lt;key app="EN" db-id="s2dftfxw1fvsr1efx58vfvxtvfwzxea0td02" timestamp="1511748077"&gt;178&lt;/key&gt;&lt;/foreign-keys&gt;&lt;ref-type name="Journal Article"&gt;17&lt;/ref-type&gt;&lt;contributors&gt;&lt;authors&gt;&lt;author&gt;Henry, N. L.&lt;/author&gt;&lt;author&gt;Xia, R.&lt;/author&gt;&lt;author&gt;Schott, A. F.&lt;/author&gt;&lt;author&gt;McConnell, D.&lt;/author&gt;&lt;author&gt;Banerjee, M.&lt;/author&gt;&lt;author&gt;Hayes, D. F.&lt;/author&gt;&lt;/authors&gt;&lt;/contributors&gt;&lt;titles&gt;&lt;title&gt;Prediction of postchemotherapy ovarian function using markers of ovarian reserve&lt;/title&gt;&lt;secondary-title&gt;Oncologist&lt;/secondary-title&gt;&lt;/titles&gt;&lt;periodical&gt;&lt;full-title&gt;Oncologist&lt;/full-title&gt;&lt;/periodical&gt;&lt;pages&gt;68-74&lt;/pages&gt;&lt;volume&gt;19&lt;/volume&gt;&lt;number&gt;1&lt;/number&gt;&lt;keywords&gt;&lt;keyword&gt;Aged&lt;/keyword&gt;&lt;keyword&gt;Decision Making&lt;/keyword&gt;&lt;keyword&gt;Aging&lt;/keyword&gt;&lt;/keywords&gt;&lt;dates&gt;&lt;year&gt;2014&lt;/year&gt;&lt;pub-dates&gt;&lt;date&gt;2014-1-1&lt;/date&gt;&lt;/pub-dates&gt;&lt;/dates&gt;&lt;accession-num&gt;rayyan-6674952&lt;/accession-num&gt;&lt;urls&gt;&lt;related-urls&gt;&lt;url&gt;http://www.embase.com/search/results?subaction=viewrecord&amp;amp;from=export&amp;amp;id=L372137215 http://dx.doi.org/10.1634/theoncologist.2013-0145&lt;/url&gt;&lt;url&gt;https://www.ncbi.nlm.nih.gov/pmc/articles/PMC3903057/pdf/theoncologist_130145.pdf&lt;/url&gt;&lt;/related-urls&gt;&lt;/urls&gt;&lt;custom1&gt;RAYYAN-INCLUSION: {&amp;quot;Sharon&amp;quot;=&amp;gt;true, &amp;quot;Joanne&amp;quot;=&amp;gt;true}&lt;/custom1&gt;&lt;/record&gt;&lt;/Cite&gt;&lt;/EndNote&gt;</w:instrText>
      </w:r>
      <w:r w:rsidR="00A109BA">
        <w:fldChar w:fldCharType="separate"/>
      </w:r>
      <w:r w:rsidR="00A109BA">
        <w:rPr>
          <w:noProof/>
        </w:rPr>
        <w:t>(</w:t>
      </w:r>
      <w:hyperlink w:anchor="_ENREF_29" w:tooltip="Henry, 2014 #178" w:history="1">
        <w:r w:rsidR="00835BA6">
          <w:rPr>
            <w:noProof/>
          </w:rPr>
          <w:t>Henry et al. 2014</w:t>
        </w:r>
      </w:hyperlink>
      <w:r w:rsidR="00A109BA">
        <w:rPr>
          <w:noProof/>
        </w:rPr>
        <w:t>)</w:t>
      </w:r>
      <w:r w:rsidR="00A109BA">
        <w:fldChar w:fldCharType="end"/>
      </w:r>
      <w:r>
        <w:t xml:space="preserve">. In the two largest studies, higher age was also a significant predictor for </w:t>
      </w:r>
      <w:r w:rsidR="00757A69">
        <w:t>CRA</w:t>
      </w:r>
      <w:r>
        <w:t xml:space="preserve"> and longer time to return of ovarian function </w:t>
      </w:r>
      <w:r w:rsidR="00A109BA">
        <w:fldChar w:fldCharType="begin">
          <w:fldData xml:space="preserve">PEVuZE5vdGU+PENpdGU+PEF1dGhvcj5SdWRkeTwvQXV0aG9yPjxZZWFyPjIwMTQ8L1llYXI+PFJl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</w:fldData>
        </w:fldChar>
      </w:r>
      <w:r w:rsidR="00577E24">
        <w:instrText xml:space="preserve"> ADDIN EN.CITE </w:instrText>
      </w:r>
      <w:r w:rsidR="00577E24">
        <w:fldChar w:fldCharType="begin">
          <w:fldData xml:space="preserve">PEVuZE5vdGU+PENpdGU+PEF1dGhvcj5SdWRkeTwvQXV0aG9yPjxZZWFyPjIwMTQ8L1llYXI+PFJl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</w:fldData>
        </w:fldChar>
      </w:r>
      <w:r w:rsidR="00577E24">
        <w:instrText xml:space="preserve"> ADDIN EN.CITE.DATA </w:instrText>
      </w:r>
      <w:r w:rsidR="00577E24">
        <w:fldChar w:fldCharType="end"/>
      </w:r>
      <w:r w:rsidR="00A109BA">
        <w:fldChar w:fldCharType="separate"/>
      </w:r>
      <w:r w:rsidR="00A109BA">
        <w:rPr>
          <w:noProof/>
        </w:rPr>
        <w:t>(</w:t>
      </w:r>
      <w:hyperlink w:anchor="_ENREF_59" w:tooltip="Ruddy, 2014 #304" w:history="1">
        <w:r w:rsidR="00835BA6">
          <w:rPr>
            <w:noProof/>
          </w:rPr>
          <w:t>Ruddy et al. 2014</w:t>
        </w:r>
      </w:hyperlink>
      <w:r w:rsidR="00A109BA">
        <w:rPr>
          <w:noProof/>
        </w:rPr>
        <w:t xml:space="preserve">; </w:t>
      </w:r>
      <w:hyperlink w:anchor="_ENREF_63" w:tooltip="Su, 2014 #333" w:history="1">
        <w:r w:rsidR="00835BA6">
          <w:rPr>
            <w:noProof/>
          </w:rPr>
          <w:t>Su, HC et al. 2014</w:t>
        </w:r>
      </w:hyperlink>
      <w:r w:rsidR="00A109BA">
        <w:rPr>
          <w:noProof/>
        </w:rPr>
        <w:t>)</w:t>
      </w:r>
      <w:r w:rsidR="00A109BA">
        <w:fldChar w:fldCharType="end"/>
      </w:r>
      <w:r>
        <w:t xml:space="preserve">. Ruddy et al. (2014) reported that for every </w:t>
      </w:r>
      <w:r w:rsidR="00151D39">
        <w:t>one</w:t>
      </w:r>
      <w:r w:rsidR="00916047">
        <w:t>-</w:t>
      </w:r>
      <w:r>
        <w:t>year increase in age, there was a 20% increase in the odds of developing CRA</w:t>
      </w:r>
      <w:r w:rsidR="00151D39">
        <w:t xml:space="preserve"> at the 12-month follow-up</w:t>
      </w:r>
      <w:r>
        <w:t xml:space="preserve">, and an 18% increase </w:t>
      </w:r>
      <w:r w:rsidR="00151D39">
        <w:t>in the odds of having CRA at the 18-month</w:t>
      </w:r>
      <w:r>
        <w:t xml:space="preserve"> follow-up. AMH was only predictive at 18 months</w:t>
      </w:r>
      <w:r w:rsidR="00151D39">
        <w:t>’</w:t>
      </w:r>
      <w:r>
        <w:t xml:space="preserve"> follow-up in this study, with a 59% decrease in the odds of having CRA at 18 months </w:t>
      </w:r>
      <w:r w:rsidR="00151D39">
        <w:t xml:space="preserve">of follow-up for every 1 </w:t>
      </w:r>
      <w:r>
        <w:t xml:space="preserve">ng/mL increase in AMH level. </w:t>
      </w:r>
      <w:r w:rsidR="00A70D09">
        <w:t>These data suggest there is likely to be an incremental prognostic effect, if it remains significant after controlling for age and FSH.</w:t>
      </w:r>
    </w:p>
    <w:p w14:paraId="49FF7B2E" w14:textId="0CC48E0F" w:rsidR="00A813F1" w:rsidRDefault="00A813F1" w:rsidP="00A813F1">
      <w:pPr>
        <w:jc w:val="both"/>
      </w:pPr>
      <w:r>
        <w:t>Su et al. (2014) reported a haza</w:t>
      </w:r>
      <w:r w:rsidR="00151D39">
        <w:t xml:space="preserve">rd ratio (HR) of 2.9 (95%CI 1.5, </w:t>
      </w:r>
      <w:r>
        <w:t xml:space="preserve">5.6) when baseline levels of AMH were higher than 0.7 ng/mL for shorter time to return of ovarian function. This means </w:t>
      </w:r>
      <w:r w:rsidR="00151D39">
        <w:t xml:space="preserve">that </w:t>
      </w:r>
      <w:r>
        <w:t xml:space="preserve">women with an AMH above 0.7 ng/mL have three times greater probability of a shorter time to ovarian recovery </w:t>
      </w:r>
      <w:r w:rsidR="00151D39">
        <w:t>compared to</w:t>
      </w:r>
      <w:r>
        <w:t xml:space="preserve"> wom</w:t>
      </w:r>
      <w:r w:rsidR="00151D39">
        <w:t>en with an AMH under 0.7 ng/mL, over a median of 163 days</w:t>
      </w:r>
      <w:r>
        <w:t>. FSH (</w:t>
      </w:r>
      <w:r w:rsidR="003B42B2">
        <w:t>≤</w:t>
      </w:r>
      <w:r w:rsidRPr="00AB4B28">
        <w:t>10 IU/L)</w:t>
      </w:r>
      <w:r>
        <w:t xml:space="preserve"> and age (</w:t>
      </w:r>
      <w:r w:rsidR="003B42B2">
        <w:t>&lt;</w:t>
      </w:r>
      <w:r>
        <w:t xml:space="preserve">40 years) were also predictive for shorter time to ovarian recovery, with HRs of 4.7 (95%CI </w:t>
      </w:r>
      <w:r w:rsidR="00151D39">
        <w:t xml:space="preserve">1.3, 16.8) and 3.39 (95%CI 1.74, </w:t>
      </w:r>
      <w:r w:rsidRPr="00AB4B28">
        <w:t>6.60), respectively.</w:t>
      </w:r>
    </w:p>
    <w:p w14:paraId="692573B1" w14:textId="46238574" w:rsidR="00A813F1" w:rsidRDefault="00A813F1" w:rsidP="00A813F1">
      <w:pPr>
        <w:pStyle w:val="Heading5"/>
      </w:pPr>
      <w:r>
        <w:t>Rec</w:t>
      </w:r>
      <w:r w:rsidR="00776418">
        <w:t xml:space="preserve">eiver operating characteristic </w:t>
      </w:r>
      <w:r>
        <w:t>curve analyses</w:t>
      </w:r>
    </w:p>
    <w:p w14:paraId="5CD4414A" w14:textId="7F39119F" w:rsidR="00A813F1" w:rsidRDefault="00A813F1" w:rsidP="00E83643">
      <w:r>
        <w:t xml:space="preserve">Three studies conducted a ROC curve </w:t>
      </w:r>
      <w:r w:rsidR="00BD1F0A">
        <w:t>analysis</w:t>
      </w:r>
      <w:r w:rsidR="00BD1F0A">
        <w:rPr>
          <w:rStyle w:val="FootnoteReference"/>
        </w:rPr>
        <w:footnoteReference w:id="5"/>
      </w:r>
      <w:r w:rsidR="00BD1F0A">
        <w:t xml:space="preserve"> </w:t>
      </w:r>
      <w:r>
        <w:t xml:space="preserve">to assess the accuracy of AMH for predicting ovarian function and to determine the optimal cut-off point for AMH values </w:t>
      </w:r>
      <w:r w:rsidR="00A109BA">
        <w:fldChar w:fldCharType="begin">
          <w:fldData xml:space="preserve">PEVuZE5vdGU+PENpdGU+PEF1dGhvcj5BbmRlcnNvbjwvQXV0aG9yPjxZZWFyPjIwMTE8L1llYXI+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</w:fldData>
        </w:fldChar>
      </w:r>
      <w:r w:rsidR="004308C4">
        <w:instrText xml:space="preserve"> ADDIN EN.CITE </w:instrText>
      </w:r>
      <w:r w:rsidR="004308C4">
        <w:fldChar w:fldCharType="begin">
          <w:fldData xml:space="preserve">PEVuZE5vdGU+PENpdGU+PEF1dGhvcj5BbmRlcnNvbjwvQXV0aG9yPjxZZWFyPjIwMTE8L1llYXI+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</w:fldData>
        </w:fldChar>
      </w:r>
      <w:r w:rsidR="004308C4">
        <w:instrText xml:space="preserve"> ADDIN EN.CITE.DATA </w:instrText>
      </w:r>
      <w:r w:rsidR="004308C4">
        <w:fldChar w:fldCharType="end"/>
      </w:r>
      <w:r w:rsidR="00A109BA">
        <w:fldChar w:fldCharType="separate"/>
      </w:r>
      <w:r w:rsidR="004308C4">
        <w:rPr>
          <w:noProof/>
        </w:rPr>
        <w:t>(</w:t>
      </w:r>
      <w:hyperlink w:anchor="_ENREF_6" w:tooltip="Anderson, 2011 #27" w:history="1">
        <w:r w:rsidR="00835BA6">
          <w:rPr>
            <w:noProof/>
          </w:rPr>
          <w:t>Anderson &amp; Cameron 2011</w:t>
        </w:r>
      </w:hyperlink>
      <w:r w:rsidR="004308C4">
        <w:rPr>
          <w:noProof/>
        </w:rPr>
        <w:t xml:space="preserve">; </w:t>
      </w:r>
      <w:hyperlink w:anchor="_ENREF_7" w:tooltip="Anderson, 2013 #28" w:history="1">
        <w:r w:rsidR="00835BA6">
          <w:rPr>
            <w:noProof/>
          </w:rPr>
          <w:t>Anderson et al. 2013</w:t>
        </w:r>
      </w:hyperlink>
      <w:r w:rsidR="004308C4">
        <w:rPr>
          <w:noProof/>
        </w:rPr>
        <w:t xml:space="preserve">; </w:t>
      </w:r>
      <w:hyperlink w:anchor="_ENREF_15" w:tooltip="D'Avila, 2015 #110" w:history="1">
        <w:r w:rsidR="00835BA6">
          <w:rPr>
            <w:noProof/>
          </w:rPr>
          <w:t>D'Avila et al. 2015</w:t>
        </w:r>
      </w:hyperlink>
      <w:r w:rsidR="004308C4">
        <w:rPr>
          <w:noProof/>
        </w:rPr>
        <w:t>)</w:t>
      </w:r>
      <w:r w:rsidR="00A109BA">
        <w:fldChar w:fldCharType="end"/>
      </w:r>
      <w:r>
        <w:t xml:space="preserve">. As the data used in the ROC curve from the studies by Anderson et al. (2013) and Anderson and Cameron (2011) </w:t>
      </w:r>
      <w:r w:rsidR="00C91AA0">
        <w:t xml:space="preserve">were </w:t>
      </w:r>
      <w:r>
        <w:t xml:space="preserve">combined </w:t>
      </w:r>
      <w:r w:rsidR="00DF0CD0">
        <w:t xml:space="preserve">and fully captured in </w:t>
      </w:r>
      <w:r>
        <w:t xml:space="preserve">the study by Anderson et al. (2013), the results from </w:t>
      </w:r>
      <w:r w:rsidR="00DF0CD0">
        <w:t>the 2011 study are not considered in this report.</w:t>
      </w:r>
    </w:p>
    <w:p w14:paraId="5DE02DAF" w14:textId="7708DB70" w:rsidR="007518CF" w:rsidRDefault="00A813F1" w:rsidP="00A813F1">
      <w:pPr>
        <w:jc w:val="both"/>
      </w:pPr>
      <w:r>
        <w:t xml:space="preserve">Using a combined dataset, Anderson et al. (2013) included 75 women with breast cancer. The </w:t>
      </w:r>
      <w:r w:rsidR="0076789D">
        <w:t>AUC</w:t>
      </w:r>
      <w:r>
        <w:t xml:space="preserve"> for predicting ongoing menses at </w:t>
      </w:r>
      <w:r w:rsidR="00DF0CD0">
        <w:t>2-year</w:t>
      </w:r>
      <w:r>
        <w:t xml:space="preserve"> follow</w:t>
      </w:r>
      <w:r w:rsidR="00DE6DD5">
        <w:t>-</w:t>
      </w:r>
      <w:r>
        <w:t xml:space="preserve">up was 0.90 </w:t>
      </w:r>
      <w:r w:rsidR="00DF0CD0">
        <w:t xml:space="preserve">(95%CI 0.82, </w:t>
      </w:r>
      <w:r w:rsidRPr="00364BF9">
        <w:t>0.97)</w:t>
      </w:r>
      <w:r w:rsidR="00DF0CD0">
        <w:t xml:space="preserve"> and 0.88 (95%CI 0.78, </w:t>
      </w:r>
      <w:r>
        <w:t xml:space="preserve">0.97) for AMH and age, respectively. Based on this, a classification mosaic chart was derived, with age and AMH as predictor variables. An AMH value below 3.8 pmol/L predicted amenorrhea, whereas an AMH value above 20.3 pmol/L predicted ongoing menses. When baseline AMH values fall between these threshold values, an age threshold of 38.6 years was defined above which amenorrhea was predicted. This model had a sensitivity of 98.2% and a specificity of 80.0% in predicting amenorrhea after </w:t>
      </w:r>
      <w:r w:rsidR="00DF0CD0">
        <w:t>two years (</w:t>
      </w:r>
      <w:r>
        <w:t>n=75).</w:t>
      </w:r>
    </w:p>
    <w:p w14:paraId="10345AF9" w14:textId="326BE498" w:rsidR="007518CF" w:rsidRDefault="00A813F1" w:rsidP="00A813F1">
      <w:pPr>
        <w:jc w:val="both"/>
      </w:pPr>
      <w:r>
        <w:t xml:space="preserve">The </w:t>
      </w:r>
      <w:r w:rsidR="00DF0CD0">
        <w:t xml:space="preserve">2015 </w:t>
      </w:r>
      <w:r>
        <w:t>study by D’</w:t>
      </w:r>
      <w:r w:rsidR="0064098D">
        <w:t>A</w:t>
      </w:r>
      <w:r>
        <w:t xml:space="preserve">vila et al. </w:t>
      </w:r>
      <w:r w:rsidR="00DF0CD0">
        <w:t>provided</w:t>
      </w:r>
      <w:r>
        <w:t xml:space="preserve"> a ROC curve for predicting amenorrhea or oligomenorrhea six months after chemotherapy treatment for breast cancer. </w:t>
      </w:r>
      <w:r w:rsidR="00C91AA0">
        <w:t>AMH was slightly better at predicting these outcomes than AFC (</w:t>
      </w:r>
      <w:r>
        <w:t>AUC for AMH</w:t>
      </w:r>
      <w:r w:rsidR="00DF0CD0">
        <w:t xml:space="preserve"> =</w:t>
      </w:r>
      <w:r>
        <w:t xml:space="preserve"> 0.86</w:t>
      </w:r>
      <w:r w:rsidR="00C91AA0">
        <w:t xml:space="preserve">; </w:t>
      </w:r>
      <w:r>
        <w:t>AUC for AFC</w:t>
      </w:r>
      <w:r w:rsidR="00DF0CD0">
        <w:t xml:space="preserve"> =</w:t>
      </w:r>
      <w:r w:rsidR="00C91AA0">
        <w:t xml:space="preserve"> </w:t>
      </w:r>
      <w:r>
        <w:t>0.81</w:t>
      </w:r>
      <w:r w:rsidR="00C91AA0">
        <w:t>)</w:t>
      </w:r>
      <w:r>
        <w:t xml:space="preserve">. The study showed AMH values </w:t>
      </w:r>
      <w:r w:rsidR="003B42B2">
        <w:lastRenderedPageBreak/>
        <w:t>≥</w:t>
      </w:r>
      <w:r>
        <w:t xml:space="preserve">3.32 ng/mL were </w:t>
      </w:r>
      <w:r w:rsidR="00E83643">
        <w:t>protective against</w:t>
      </w:r>
      <w:r>
        <w:t xml:space="preserve"> the occurrence of oligomenorrhea or amenorrhea after treatment, with a sensitivity of 85% and a specificity of 75% (n=52). The cut-off for AFC was &lt;13 follicles to predict </w:t>
      </w:r>
      <w:r w:rsidR="00DF0CD0">
        <w:t>oligomenorrhea</w:t>
      </w:r>
      <w:r>
        <w:t xml:space="preserve"> or ameno</w:t>
      </w:r>
      <w:r w:rsidR="00DF0CD0">
        <w:t>rrhea, having a higher risk at 6-month follow-</w:t>
      </w:r>
      <w:r>
        <w:t>up with a sensitivity of 83% and a specificity of 62%.</w:t>
      </w:r>
    </w:p>
    <w:p w14:paraId="250D5ADF" w14:textId="7C4578B3" w:rsidR="00A813F1" w:rsidRDefault="00A813F1" w:rsidP="00A813F1">
      <w:pPr>
        <w:pStyle w:val="Heading5"/>
      </w:pPr>
      <w:r>
        <w:t>Thresholds</w:t>
      </w:r>
    </w:p>
    <w:p w14:paraId="70824AAA" w14:textId="78BFFBDF" w:rsidR="007518CF" w:rsidRDefault="00A813F1" w:rsidP="00A813F1">
      <w:pPr>
        <w:jc w:val="both"/>
      </w:pPr>
      <w:r>
        <w:t xml:space="preserve">Different thresholds for baseline AMH were used to predict ovarian function. Anders et al. (2008) reported an AMH threshold of 0.7 ng/mL, with 50% (3/6) and 92% (11/12) of women </w:t>
      </w:r>
      <w:r w:rsidR="00836B20">
        <w:t>who had</w:t>
      </w:r>
      <w:r>
        <w:t xml:space="preserve"> a value above and below the threshold </w:t>
      </w:r>
      <w:r w:rsidR="00836B20">
        <w:t>affected by</w:t>
      </w:r>
      <w:r>
        <w:t xml:space="preserve"> CRA </w:t>
      </w:r>
      <w:r w:rsidR="00836B20">
        <w:t xml:space="preserve">after </w:t>
      </w:r>
      <w:r>
        <w:t>one year</w:t>
      </w:r>
      <w:r w:rsidR="00836B20">
        <w:t xml:space="preserve"> of</w:t>
      </w:r>
      <w:r>
        <w:t xml:space="preserve"> follow-</w:t>
      </w:r>
      <w:r w:rsidR="00836B20">
        <w:t>up, respectively</w:t>
      </w:r>
      <w:r>
        <w:t xml:space="preserve">. </w:t>
      </w:r>
      <w:r w:rsidR="00836B20">
        <w:t xml:space="preserve">The relative risk for this outcome was 0.83. </w:t>
      </w:r>
      <w:r>
        <w:t>Su et al. (2014) used the same threshold (</w:t>
      </w:r>
      <w:r w:rsidR="00785301">
        <w:fldChar w:fldCharType="begin"/>
      </w:r>
      <w:r w:rsidR="00785301">
        <w:instrText xml:space="preserve"> REF _Ref501464633 \h </w:instrText>
      </w:r>
      <w:r w:rsidR="00785301">
        <w:fldChar w:fldCharType="separate"/>
      </w:r>
      <w:r w:rsidR="00AC4BE5">
        <w:t>Multivariate analysis in women tested before undergoing gonadotoxic treatment</w:t>
      </w:r>
      <w:r w:rsidR="00785301">
        <w:fldChar w:fldCharType="end"/>
      </w:r>
      <w:r>
        <w:t xml:space="preserve">), in addition to a threshold of 0.17 ng/mL, whereas one other study also used a low threshold of 0.16 ng/mL </w:t>
      </w:r>
      <w:r w:rsidR="00A109BA">
        <w:fldChar w:fldCharType="begin"/>
      </w:r>
      <w:r w:rsidR="00577E24">
        <w:instrText xml:space="preserve"> ADDIN EN.CITE &lt;EndNote&gt;&lt;Cite&gt;&lt;Author&gt;Henry&lt;/Author&gt;&lt;Year&gt;2014&lt;/Year&gt;&lt;RecNum&gt;178&lt;/RecNum&gt;&lt;IDText&gt;68-74&lt;/IDText&gt;&lt;DisplayText&gt;(Henry et al. 2014)&lt;/DisplayText&gt;&lt;record&gt;&lt;rec-number&gt;178&lt;/rec-number&gt;&lt;foreign-keys&gt;&lt;key app="EN" db-id="s2dftfxw1fvsr1efx58vfvxtvfwzxea0td02" timestamp="1511748077"&gt;178&lt;/key&gt;&lt;/foreign-keys&gt;&lt;ref-type name="Journal Article"&gt;17&lt;/ref-type&gt;&lt;contributors&gt;&lt;authors&gt;&lt;author&gt;Henry, N. L.&lt;/author&gt;&lt;author&gt;Xia, R.&lt;/author&gt;&lt;author&gt;Schott, A. F.&lt;/author&gt;&lt;author&gt;McConnell, D.&lt;/author&gt;&lt;author&gt;Banerjee, M.&lt;/author&gt;&lt;author&gt;Hayes, D. F.&lt;/author&gt;&lt;/authors&gt;&lt;/contributors&gt;&lt;titles&gt;&lt;title&gt;Prediction of postchemotherapy ovarian function using markers of ovarian reserve&lt;/title&gt;&lt;secondary-title&gt;Oncologist&lt;/secondary-title&gt;&lt;/titles&gt;&lt;periodical&gt;&lt;full-title&gt;Oncologist&lt;/full-title&gt;&lt;/periodical&gt;&lt;pages&gt;68-74&lt;/pages&gt;&lt;volume&gt;19&lt;/volume&gt;&lt;number&gt;1&lt;/number&gt;&lt;keywords&gt;&lt;keyword&gt;Aged&lt;/keyword&gt;&lt;keyword&gt;Decision Making&lt;/keyword&gt;&lt;keyword&gt;Aging&lt;/keyword&gt;&lt;/keywords&gt;&lt;dates&gt;&lt;year&gt;2014&lt;/year&gt;&lt;pub-dates&gt;&lt;date&gt;2014-1-1&lt;/date&gt;&lt;/pub-dates&gt;&lt;/dates&gt;&lt;accession-num&gt;rayyan-6674952&lt;/accession-num&gt;&lt;urls&gt;&lt;related-urls&gt;&lt;url&gt;http://www.embase.com/search/results?subaction=viewrecord&amp;amp;from=export&amp;amp;id=L372137215 http://dx.doi.org/10.1634/theoncologist.2013-0145&lt;/url&gt;&lt;url&gt;https://www.ncbi.nlm.nih.gov/pmc/articles/PMC3903057/pdf/theoncologist_130145.pdf&lt;/url&gt;&lt;/related-urls&gt;&lt;/urls&gt;&lt;custom1&gt;RAYYAN-INCLUSION: {&amp;quot;Sharon&amp;quot;=&amp;gt;true, &amp;quot;Joanne&amp;quot;=&amp;gt;true}&lt;/custom1&gt;&lt;/record&gt;&lt;/Cite&gt;&lt;/EndNote&gt;</w:instrText>
      </w:r>
      <w:r w:rsidR="00A109BA">
        <w:fldChar w:fldCharType="separate"/>
      </w:r>
      <w:r w:rsidR="00A109BA">
        <w:rPr>
          <w:noProof/>
        </w:rPr>
        <w:t>(</w:t>
      </w:r>
      <w:hyperlink w:anchor="_ENREF_29" w:tooltip="Henry, 2014 #178" w:history="1">
        <w:r w:rsidR="00835BA6">
          <w:rPr>
            <w:noProof/>
          </w:rPr>
          <w:t>Henry et al. 2014</w:t>
        </w:r>
      </w:hyperlink>
      <w:r w:rsidR="00A109BA">
        <w:rPr>
          <w:noProof/>
        </w:rPr>
        <w:t>)</w:t>
      </w:r>
      <w:r w:rsidR="00A109BA">
        <w:fldChar w:fldCharType="end"/>
      </w:r>
      <w:r>
        <w:t xml:space="preserve">. One study </w:t>
      </w:r>
      <w:r w:rsidR="00836B20">
        <w:fldChar w:fldCharType="begin"/>
      </w:r>
      <w:r w:rsidR="004308C4">
        <w:instrText xml:space="preserve"> ADDIN EN.CITE &lt;EndNote&gt;&lt;Cite&gt;&lt;Author&gt;D&amp;apos;Avila&lt;/Author&gt;&lt;Year&gt;2015&lt;/Year&gt;&lt;RecNum&gt;110&lt;/RecNum&gt;&lt;DisplayText&gt;(D&amp;apos;Avila et al. 2015)&lt;/DisplayText&gt;&lt;record&gt;&lt;rec-number&gt;110&lt;/rec-number&gt;&lt;foreign-keys&gt;&lt;key app="EN" db-id="s2dftfxw1fvsr1efx58vfvxtvfwzxea0td02" timestamp="1511748069"&gt;110&lt;/key&gt;&lt;/foreign-keys&gt;&lt;ref-type name="Journal Article"&gt;17&lt;/ref-type&gt;&lt;contributors&gt;&lt;authors&gt;&lt;author&gt;D&amp;apos;Avila, Â. M.&lt;/author&gt;&lt;author&gt;Biolchi, V.&lt;/author&gt;&lt;author&gt;Capp, E.&lt;/author&gt;&lt;author&gt;Corleta, H. V. E.&lt;/author&gt;&lt;/authors&gt;&lt;/contributors&gt;&lt;titles&gt;&lt;title&gt;Age, anti-müllerian hormone, antral follicles count to predict amenorrhea or oligomenorrhea after chemotherapy with cyclophosphamide&lt;/title&gt;&lt;secondary-title&gt;Journal of Ovarian Research&lt;/secondary-title&gt;&lt;/titles&gt;&lt;periodical&gt;&lt;full-title&gt;Journal of Ovarian Research&lt;/full-title&gt;&lt;/periodical&gt;&lt;volume&gt;8&lt;/volume&gt;&lt;number&gt;1&lt;/number&gt;&lt;keywords&gt;&lt;keyword&gt;Logistic Models&lt;/keyword&gt;&lt;keyword&gt;Cyclophosphamide&lt;/keyword&gt;&lt;keyword&gt;Oligomenorrhea&lt;/keyword&gt;&lt;keyword&gt;Breast Neoplasms&lt;/keyword&gt;&lt;keyword&gt;Area Under Curve&lt;/keyword&gt;&lt;keyword&gt;Amenorrhea&lt;/keyword&gt;&lt;/keywords&gt;&lt;dates&gt;&lt;year&gt;2015&lt;/year&gt;&lt;pub-dates&gt;&lt;date&gt;2015-1-1&lt;/date&gt;&lt;/pub-dates&gt;&lt;/dates&gt;&lt;isbn&gt;1757-2215&lt;/isbn&gt;&lt;accession-num&gt;rayyan-6673516&lt;/accession-num&gt;&lt;urls&gt;&lt;related-urls&gt;&lt;url&gt;http://www.embase.com/search/results?subaction=viewrecord&amp;amp;from=export&amp;amp;id=L607244547 http://dx.doi.org/10.1186/s13048-015-0209-4&lt;/url&gt;&lt;/related-urls&gt;&lt;/urls&gt;&lt;custom1&gt;RAYYAN-INCLUSION: {&amp;quot;Sharon&amp;quot;=&amp;gt;true}&lt;/custom1&gt;&lt;/record&gt;&lt;/Cite&gt;&lt;/EndNote&gt;</w:instrText>
      </w:r>
      <w:r w:rsidR="00836B20">
        <w:fldChar w:fldCharType="separate"/>
      </w:r>
      <w:r w:rsidR="004308C4">
        <w:rPr>
          <w:noProof/>
        </w:rPr>
        <w:t>(</w:t>
      </w:r>
      <w:hyperlink w:anchor="_ENREF_15" w:tooltip="D'Avila, 2015 #110" w:history="1">
        <w:r w:rsidR="00835BA6">
          <w:rPr>
            <w:noProof/>
          </w:rPr>
          <w:t>D'Avila et al. 2015</w:t>
        </w:r>
      </w:hyperlink>
      <w:r w:rsidR="004308C4">
        <w:rPr>
          <w:noProof/>
        </w:rPr>
        <w:t>)</w:t>
      </w:r>
      <w:r w:rsidR="00836B20">
        <w:fldChar w:fldCharType="end"/>
      </w:r>
      <w:r w:rsidR="00836B20">
        <w:t xml:space="preserve"> </w:t>
      </w:r>
      <w:r>
        <w:t>used a much higher AMH threshold (3.32 ng/mL) for predicting CRA.</w:t>
      </w:r>
    </w:p>
    <w:p w14:paraId="12FD537C" w14:textId="52D21666" w:rsidR="00A813F1" w:rsidRDefault="00A813F1" w:rsidP="00A813F1">
      <w:pPr>
        <w:pStyle w:val="Heading5"/>
      </w:pPr>
      <w:r>
        <w:t xml:space="preserve">AMH tests in women after gonadotoxic treatment </w:t>
      </w:r>
      <w:r w:rsidR="001E7102">
        <w:t>-</w:t>
      </w:r>
      <w:r>
        <w:t xml:space="preserve"> prediction of ovarian function</w:t>
      </w:r>
    </w:p>
    <w:p w14:paraId="6766A846" w14:textId="6A31142B" w:rsidR="007518CF" w:rsidRDefault="003D27F5" w:rsidP="00A813F1">
      <w:r>
        <w:t>Two</w:t>
      </w:r>
      <w:r w:rsidR="00A813F1">
        <w:t xml:space="preserve"> studies</w:t>
      </w:r>
      <w:r w:rsidR="00067767">
        <w:t xml:space="preserve"> that met the inclusion criteria</w:t>
      </w:r>
      <w:r w:rsidR="00A813F1">
        <w:t xml:space="preserve"> included women who had the AMH test after gonadotoxic treatment</w:t>
      </w:r>
      <w:r>
        <w:t xml:space="preserve"> </w:t>
      </w:r>
      <w:r w:rsidR="00A109BA">
        <w:fldChar w:fldCharType="begin">
          <w:fldData xml:space="preserve">PEVuZE5vdGU+PENpdGU+PEF1dGhvcj5DaGFpPC9BdXRob3I+PFllYXI+MjAxNDwvWWVhcj48UmVj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</w:fldData>
        </w:fldChar>
      </w:r>
      <w:r w:rsidR="00577E24">
        <w:instrText xml:space="preserve"> ADDIN EN.CITE </w:instrText>
      </w:r>
      <w:r w:rsidR="00577E24">
        <w:fldChar w:fldCharType="begin">
          <w:fldData xml:space="preserve">PEVuZE5vdGU+PENpdGU+PEF1dGhvcj5DaGFpPC9BdXRob3I+PFllYXI+MjAxNDwvWWVhcj48UmVj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</w:fldData>
        </w:fldChar>
      </w:r>
      <w:r w:rsidR="00577E24">
        <w:instrText xml:space="preserve"> ADDIN EN.CITE.DATA </w:instrText>
      </w:r>
      <w:r w:rsidR="00577E24">
        <w:fldChar w:fldCharType="end"/>
      </w:r>
      <w:r w:rsidR="00A109BA">
        <w:fldChar w:fldCharType="separate"/>
      </w:r>
      <w:r w:rsidR="00A109BA">
        <w:rPr>
          <w:noProof/>
        </w:rPr>
        <w:t>(</w:t>
      </w:r>
      <w:hyperlink w:anchor="_ENREF_14" w:tooltip="Chai, 2014 #88" w:history="1">
        <w:r w:rsidR="00835BA6">
          <w:rPr>
            <w:noProof/>
          </w:rPr>
          <w:t>Chai et al. 2014</w:t>
        </w:r>
      </w:hyperlink>
      <w:r w:rsidR="00A109BA">
        <w:rPr>
          <w:noProof/>
        </w:rPr>
        <w:t xml:space="preserve">; </w:t>
      </w:r>
      <w:hyperlink w:anchor="_ENREF_64" w:tooltip="Su, 2010 #334" w:history="1">
        <w:r w:rsidR="00835BA6">
          <w:rPr>
            <w:noProof/>
          </w:rPr>
          <w:t>Su 2010</w:t>
        </w:r>
      </w:hyperlink>
      <w:r w:rsidR="00A109BA">
        <w:rPr>
          <w:noProof/>
        </w:rPr>
        <w:t>)</w:t>
      </w:r>
      <w:r w:rsidR="00A109BA">
        <w:fldChar w:fldCharType="end"/>
      </w:r>
      <w:r>
        <w:t>.</w:t>
      </w:r>
    </w:p>
    <w:p w14:paraId="3C347F32" w14:textId="77523E6F" w:rsidR="007518CF" w:rsidRDefault="00A813F1" w:rsidP="003D27F5">
      <w:pPr>
        <w:jc w:val="both"/>
      </w:pPr>
      <w:r>
        <w:t xml:space="preserve">Su et al. (2010) included 127 female post-chemotherapy breast cancer survivors, of which 111 women provided </w:t>
      </w:r>
      <w:r w:rsidR="009A4F4B">
        <w:t>data on menstrual status</w:t>
      </w:r>
      <w:r>
        <w:t xml:space="preserve"> at follow-up (2 were deceased, 1 declined and 13 were not able to be reached). AMH was measured </w:t>
      </w:r>
      <w:r w:rsidR="009A4F4B">
        <w:t>one to four</w:t>
      </w:r>
      <w:r>
        <w:t xml:space="preserve"> years after treatment and follow-up was at </w:t>
      </w:r>
      <w:r w:rsidR="009A4F4B">
        <w:t>two to seven</w:t>
      </w:r>
      <w:r>
        <w:t xml:space="preserve"> years </w:t>
      </w:r>
      <w:r w:rsidR="009A4F4B">
        <w:t xml:space="preserve">after </w:t>
      </w:r>
      <w:r>
        <w:t>treatment.</w:t>
      </w:r>
    </w:p>
    <w:p w14:paraId="3C00639E" w14:textId="74C91A0D" w:rsidR="007518CF" w:rsidRDefault="00A813F1" w:rsidP="00A813F1">
      <w:pPr>
        <w:jc w:val="both"/>
      </w:pPr>
      <w:r>
        <w:t xml:space="preserve">Return of menses occurred in </w:t>
      </w:r>
      <w:r w:rsidR="009A4F4B">
        <w:t>nine</w:t>
      </w:r>
      <w:r>
        <w:t xml:space="preserve"> women who</w:t>
      </w:r>
      <w:r w:rsidR="009A4F4B">
        <w:t xml:space="preserve"> had CRA when AMH was measured </w:t>
      </w:r>
      <w:r>
        <w:t>and</w:t>
      </w:r>
      <w:r w:rsidR="009A4F4B">
        <w:t xml:space="preserve"> had been measured at follow-up</w:t>
      </w:r>
      <w:r>
        <w:t>. It was reported that AMH levels did not differ between women with CRA reversal compared to women with continued amenorrhea (</w:t>
      </w:r>
      <w:r w:rsidR="009A4F4B">
        <w:t>p=</w:t>
      </w:r>
      <w:r>
        <w:t>0.92). Similarly, no differences were observed between groups for inhibin B levels (</w:t>
      </w:r>
      <w:r w:rsidR="009A4F4B">
        <w:t>p=</w:t>
      </w:r>
      <w:r>
        <w:t>0.27) and FSH levels (</w:t>
      </w:r>
      <w:r w:rsidR="009A4F4B">
        <w:t>p=</w:t>
      </w:r>
      <w:r>
        <w:t>0.73). However, women with CRA reversal were younger on average (</w:t>
      </w:r>
      <w:r w:rsidR="009A4F4B">
        <w:t>mean age 41.7 years, range 38.4–44.8 years vs 47.3 years, range</w:t>
      </w:r>
      <w:r w:rsidRPr="00011502">
        <w:t xml:space="preserve"> 40.3</w:t>
      </w:r>
      <w:r w:rsidR="009A4F4B">
        <w:t>–56 years]; p</w:t>
      </w:r>
      <w:r w:rsidRPr="00011502">
        <w:t>&lt;</w:t>
      </w:r>
      <w:r>
        <w:t>0</w:t>
      </w:r>
      <w:r w:rsidRPr="00011502">
        <w:t>.001</w:t>
      </w:r>
      <w:r>
        <w:t>) and received more dose-dense therapy (</w:t>
      </w:r>
      <w:r w:rsidRPr="00011502">
        <w:t>risk ratio</w:t>
      </w:r>
      <w:r>
        <w:t xml:space="preserve"> 6.4; </w:t>
      </w:r>
      <w:r w:rsidR="009A4F4B">
        <w:t>p=</w:t>
      </w:r>
      <w:r>
        <w:t>0</w:t>
      </w:r>
      <w:r w:rsidRPr="00011502">
        <w:t>.03)</w:t>
      </w:r>
      <w:r>
        <w:t xml:space="preserve"> than women with continued amenorrhea.</w:t>
      </w:r>
    </w:p>
    <w:p w14:paraId="243A2DCF" w14:textId="5D14E2ED" w:rsidR="007518CF" w:rsidRDefault="00A813F1" w:rsidP="00A813F1">
      <w:pPr>
        <w:jc w:val="both"/>
      </w:pPr>
      <w:r>
        <w:t>Four women experienced CRA between AMH measurement and the follow-up visit. Compared to women without CRA, the average AMH value in these four women was s</w:t>
      </w:r>
      <w:r w:rsidR="00EE1AA3">
        <w:t>ignificantly lower (25.2 pg/mL, range &lt;25–233.5 pg/mL</w:t>
      </w:r>
      <w:r>
        <w:t xml:space="preserve"> vs </w:t>
      </w:r>
      <w:r w:rsidRPr="00011502">
        <w:t>179.4 pg/m</w:t>
      </w:r>
      <w:r w:rsidR="00EE1AA3">
        <w:t>L, range 96.2–334.1 pg/mL</w:t>
      </w:r>
      <w:r>
        <w:t xml:space="preserve">; </w:t>
      </w:r>
      <w:r w:rsidR="009A4F4B">
        <w:t>p=</w:t>
      </w:r>
      <w:r>
        <w:t>0</w:t>
      </w:r>
      <w:r w:rsidRPr="00011502">
        <w:t>.03)</w:t>
      </w:r>
      <w:r>
        <w:t xml:space="preserve">. FSH was also higher in women with CRA </w:t>
      </w:r>
      <w:r w:rsidR="00EE1AA3">
        <w:t>(48.1 IU/L, range 13.3–173.7 IU/L</w:t>
      </w:r>
      <w:r w:rsidRPr="00011502">
        <w:t xml:space="preserve"> vs 17.4 I</w:t>
      </w:r>
      <w:r w:rsidR="00EE1AA3">
        <w:t>U/L, range 12.2–24.7 IU/L</w:t>
      </w:r>
      <w:r>
        <w:t xml:space="preserve">; </w:t>
      </w:r>
      <w:r w:rsidR="009A4F4B">
        <w:t>p=</w:t>
      </w:r>
      <w:r>
        <w:t>0</w:t>
      </w:r>
      <w:r w:rsidRPr="00011502">
        <w:t>.04)</w:t>
      </w:r>
      <w:r>
        <w:t>. It was reported that women in which CRA occurred had a similar age to those with continuation of menstruation.</w:t>
      </w:r>
    </w:p>
    <w:p w14:paraId="748BAE7A" w14:textId="435F4CEF" w:rsidR="007518CF" w:rsidRDefault="00A813F1" w:rsidP="00A813F1">
      <w:pPr>
        <w:jc w:val="both"/>
        <w:rPr>
          <w:color w:val="000000" w:themeColor="text1"/>
        </w:rPr>
      </w:pPr>
      <w:r w:rsidRPr="002A040E">
        <w:rPr>
          <w:color w:val="000000" w:themeColor="text1"/>
        </w:rPr>
        <w:t xml:space="preserve">The </w:t>
      </w:r>
      <w:r w:rsidRPr="00837A27">
        <w:rPr>
          <w:color w:val="000000" w:themeColor="text1"/>
        </w:rPr>
        <w:t>study by Chai et al. (2014) looked at the ability</w:t>
      </w:r>
      <w:r>
        <w:rPr>
          <w:color w:val="000000" w:themeColor="text1"/>
        </w:rPr>
        <w:t xml:space="preserve"> of the </w:t>
      </w:r>
      <w:r w:rsidR="00196530">
        <w:rPr>
          <w:color w:val="000000" w:themeColor="text1"/>
        </w:rPr>
        <w:t>pico</w:t>
      </w:r>
      <w:r>
        <w:rPr>
          <w:color w:val="000000" w:themeColor="text1"/>
        </w:rPr>
        <w:t xml:space="preserve">-AMH ELISA to detect AMH in the 1-year post-chemotherapy serum </w:t>
      </w:r>
      <w:r w:rsidR="00EE1AA3">
        <w:rPr>
          <w:color w:val="000000" w:themeColor="text1"/>
        </w:rPr>
        <w:t>of</w:t>
      </w:r>
      <w:r>
        <w:rPr>
          <w:color w:val="000000" w:themeColor="text1"/>
        </w:rPr>
        <w:t xml:space="preserve"> 42 women diagnosed with early stage breast cancer who had o</w:t>
      </w:r>
      <w:r w:rsidR="00EE1AA3">
        <w:rPr>
          <w:color w:val="000000" w:themeColor="text1"/>
        </w:rPr>
        <w:t>r had not resumed menstruation three</w:t>
      </w:r>
      <w:r>
        <w:rPr>
          <w:color w:val="000000" w:themeColor="text1"/>
        </w:rPr>
        <w:t xml:space="preserve"> years after chemotherapy. In this study, detection of AMH by </w:t>
      </w:r>
      <w:r>
        <w:rPr>
          <w:color w:val="000000" w:themeColor="text1"/>
        </w:rPr>
        <w:lastRenderedPageBreak/>
        <w:t xml:space="preserve">the </w:t>
      </w:r>
      <w:r w:rsidR="00196530">
        <w:rPr>
          <w:color w:val="000000" w:themeColor="text1"/>
        </w:rPr>
        <w:t>pico</w:t>
      </w:r>
      <w:r>
        <w:rPr>
          <w:color w:val="000000" w:themeColor="text1"/>
        </w:rPr>
        <w:t xml:space="preserve">-AMH ELISA </w:t>
      </w:r>
      <w:r w:rsidR="00EE1AA3">
        <w:rPr>
          <w:color w:val="000000" w:themeColor="text1"/>
        </w:rPr>
        <w:t>predicted</w:t>
      </w:r>
      <w:r w:rsidRPr="005361FC">
        <w:rPr>
          <w:color w:val="000000" w:themeColor="text1"/>
        </w:rPr>
        <w:t xml:space="preserve"> future menses</w:t>
      </w:r>
      <w:r>
        <w:rPr>
          <w:color w:val="000000" w:themeColor="text1"/>
        </w:rPr>
        <w:t xml:space="preserve"> in the validation cohort of 42 women </w:t>
      </w:r>
      <w:r w:rsidR="00EE1AA3">
        <w:rPr>
          <w:color w:val="000000" w:themeColor="text1"/>
        </w:rPr>
        <w:t>with a sensitivity of 91%</w:t>
      </w:r>
      <w:r w:rsidR="00772EDC">
        <w:rPr>
          <w:color w:val="000000" w:themeColor="text1"/>
        </w:rPr>
        <w:t xml:space="preserve"> (95%CI 59%, 100%) and 9% false-</w:t>
      </w:r>
      <w:r w:rsidR="00EE1AA3">
        <w:rPr>
          <w:color w:val="000000" w:themeColor="text1"/>
        </w:rPr>
        <w:t>negative rate</w:t>
      </w:r>
      <w:r>
        <w:rPr>
          <w:color w:val="000000" w:themeColor="text1"/>
        </w:rPr>
        <w:t>, but was less accurate in predicting</w:t>
      </w:r>
      <w:r w:rsidRPr="005361FC">
        <w:rPr>
          <w:color w:val="000000" w:themeColor="text1"/>
        </w:rPr>
        <w:t xml:space="preserve"> amenorrhoea</w:t>
      </w:r>
      <w:r w:rsidR="00EE1AA3">
        <w:rPr>
          <w:color w:val="000000" w:themeColor="text1"/>
        </w:rPr>
        <w:t>, with a specificity of 74%</w:t>
      </w:r>
      <w:r>
        <w:rPr>
          <w:color w:val="000000" w:themeColor="text1"/>
        </w:rPr>
        <w:t xml:space="preserve"> </w:t>
      </w:r>
      <w:r w:rsidR="00EE1AA3">
        <w:rPr>
          <w:color w:val="000000" w:themeColor="text1"/>
        </w:rPr>
        <w:t>(</w:t>
      </w:r>
      <w:r>
        <w:rPr>
          <w:color w:val="000000" w:themeColor="text1"/>
        </w:rPr>
        <w:t>95%CI 55%, 88%</w:t>
      </w:r>
      <w:r w:rsidR="00EE1AA3">
        <w:rPr>
          <w:color w:val="000000" w:themeColor="text1"/>
        </w:rPr>
        <w:t>) and</w:t>
      </w:r>
      <w:r>
        <w:rPr>
          <w:color w:val="000000" w:themeColor="text1"/>
        </w:rPr>
        <w:t xml:space="preserve"> 26% </w:t>
      </w:r>
      <w:r w:rsidR="00776418">
        <w:rPr>
          <w:color w:val="000000" w:themeColor="text1"/>
        </w:rPr>
        <w:t>FPR</w:t>
      </w:r>
      <w:r>
        <w:rPr>
          <w:color w:val="000000" w:themeColor="text1"/>
        </w:rPr>
        <w:t>)</w:t>
      </w:r>
      <w:r w:rsidRPr="005361FC">
        <w:rPr>
          <w:color w:val="000000" w:themeColor="text1"/>
        </w:rPr>
        <w:t>.</w:t>
      </w:r>
    </w:p>
    <w:p w14:paraId="796BE1FD" w14:textId="09A34151" w:rsidR="00A813F1" w:rsidRDefault="00A813F1" w:rsidP="00A813F1">
      <w:pPr>
        <w:jc w:val="both"/>
        <w:rPr>
          <w:color w:val="000000" w:themeColor="text1"/>
        </w:rPr>
      </w:pPr>
      <w:r w:rsidRPr="00837A27">
        <w:rPr>
          <w:color w:val="000000" w:themeColor="text1"/>
        </w:rPr>
        <w:t>Chai et al. (2014) measured the</w:t>
      </w:r>
      <w:r>
        <w:rPr>
          <w:color w:val="000000" w:themeColor="text1"/>
        </w:rPr>
        <w:t xml:space="preserve"> AMH, FSH, E2 and inhibin B serum levels </w:t>
      </w:r>
      <w:r w:rsidR="00A5099B">
        <w:rPr>
          <w:color w:val="000000" w:themeColor="text1"/>
        </w:rPr>
        <w:t xml:space="preserve">two years post-chemotherapy in </w:t>
      </w:r>
      <w:r w:rsidRPr="00A93D91">
        <w:rPr>
          <w:color w:val="000000" w:themeColor="text1"/>
        </w:rPr>
        <w:t>39 women</w:t>
      </w:r>
      <w:r>
        <w:rPr>
          <w:color w:val="000000" w:themeColor="text1"/>
        </w:rPr>
        <w:t xml:space="preserve"> diagnosed with early breast cancer. These women </w:t>
      </w:r>
      <w:r w:rsidRPr="00A93D91">
        <w:rPr>
          <w:color w:val="000000" w:themeColor="text1"/>
        </w:rPr>
        <w:t>were subdivided into three groups</w:t>
      </w:r>
      <w:r>
        <w:rPr>
          <w:color w:val="000000" w:themeColor="text1"/>
        </w:rPr>
        <w:t xml:space="preserve"> </w:t>
      </w:r>
      <w:r w:rsidRPr="00A93D91">
        <w:rPr>
          <w:color w:val="000000" w:themeColor="text1"/>
        </w:rPr>
        <w:t>according to their menstrual pattern over the follow</w:t>
      </w:r>
      <w:r>
        <w:rPr>
          <w:color w:val="000000" w:themeColor="text1"/>
        </w:rPr>
        <w:t>-</w:t>
      </w:r>
      <w:r w:rsidRPr="00A93D91">
        <w:rPr>
          <w:color w:val="000000" w:themeColor="text1"/>
        </w:rPr>
        <w:t>up</w:t>
      </w:r>
      <w:r>
        <w:rPr>
          <w:color w:val="000000" w:themeColor="text1"/>
        </w:rPr>
        <w:t xml:space="preserve"> </w:t>
      </w:r>
      <w:r w:rsidRPr="00A93D91">
        <w:rPr>
          <w:color w:val="000000" w:themeColor="text1"/>
        </w:rPr>
        <w:t>period</w:t>
      </w:r>
      <w:r w:rsidR="00A5099B">
        <w:rPr>
          <w:color w:val="000000" w:themeColor="text1"/>
        </w:rPr>
        <w:t xml:space="preserve"> (2–5 years)</w:t>
      </w:r>
      <w:r w:rsidRPr="00A93D91">
        <w:rPr>
          <w:color w:val="000000" w:themeColor="text1"/>
        </w:rPr>
        <w:t>: ongoing menses (n</w:t>
      </w:r>
      <w:r w:rsidR="00846BA5">
        <w:rPr>
          <w:color w:val="000000" w:themeColor="text1"/>
        </w:rPr>
        <w:t>=</w:t>
      </w:r>
      <w:r w:rsidRPr="00A93D91">
        <w:rPr>
          <w:color w:val="000000" w:themeColor="text1"/>
        </w:rPr>
        <w:t>10), transient</w:t>
      </w:r>
      <w:r>
        <w:rPr>
          <w:color w:val="000000" w:themeColor="text1"/>
        </w:rPr>
        <w:t xml:space="preserve"> </w:t>
      </w:r>
      <w:r w:rsidRPr="00A93D91">
        <w:rPr>
          <w:color w:val="000000" w:themeColor="text1"/>
        </w:rPr>
        <w:t>amenorrhoea (n</w:t>
      </w:r>
      <w:r w:rsidR="00846BA5">
        <w:rPr>
          <w:color w:val="000000" w:themeColor="text1"/>
        </w:rPr>
        <w:t>=</w:t>
      </w:r>
      <w:r w:rsidRPr="00A93D91">
        <w:rPr>
          <w:color w:val="000000" w:themeColor="text1"/>
        </w:rPr>
        <w:t>4), and amenorrhoea (n</w:t>
      </w:r>
      <w:r w:rsidR="00846BA5">
        <w:rPr>
          <w:color w:val="000000" w:themeColor="text1"/>
        </w:rPr>
        <w:t>=</w:t>
      </w:r>
      <w:r w:rsidRPr="00A93D91">
        <w:rPr>
          <w:color w:val="000000" w:themeColor="text1"/>
        </w:rPr>
        <w:t>25).</w:t>
      </w:r>
      <w:r>
        <w:rPr>
          <w:color w:val="000000" w:themeColor="text1"/>
        </w:rPr>
        <w:t xml:space="preserve"> The authors then used </w:t>
      </w:r>
      <w:r w:rsidRPr="00D6218B">
        <w:rPr>
          <w:color w:val="000000" w:themeColor="text1"/>
        </w:rPr>
        <w:t>ROC curve analysis</w:t>
      </w:r>
      <w:r>
        <w:rPr>
          <w:color w:val="000000" w:themeColor="text1"/>
        </w:rPr>
        <w:t xml:space="preserve"> to determine the </w:t>
      </w:r>
      <w:r w:rsidRPr="00D6218B">
        <w:rPr>
          <w:color w:val="000000" w:themeColor="text1"/>
        </w:rPr>
        <w:t>ability of the various hormones to discriminate</w:t>
      </w:r>
      <w:r>
        <w:rPr>
          <w:color w:val="000000" w:themeColor="text1"/>
        </w:rPr>
        <w:t xml:space="preserve"> </w:t>
      </w:r>
      <w:r w:rsidRPr="00D6218B">
        <w:rPr>
          <w:color w:val="000000" w:themeColor="text1"/>
        </w:rPr>
        <w:t>betwee</w:t>
      </w:r>
      <w:r>
        <w:rPr>
          <w:color w:val="000000" w:themeColor="text1"/>
        </w:rPr>
        <w:t>n the 35 women with and without menses (</w:t>
      </w:r>
      <w:r w:rsidR="002F0A7E" w:rsidRPr="00992BCE">
        <w:rPr>
          <w:color w:val="000000" w:themeColor="text1"/>
        </w:rPr>
        <w:fldChar w:fldCharType="begin"/>
      </w:r>
      <w:r w:rsidR="002F0A7E" w:rsidRPr="00992BCE">
        <w:rPr>
          <w:color w:val="000000" w:themeColor="text1"/>
        </w:rPr>
        <w:instrText xml:space="preserve"> REF _Ref498012887 \h </w:instrText>
      </w:r>
      <w:r w:rsidR="00A5099B" w:rsidRPr="00992BCE">
        <w:rPr>
          <w:color w:val="000000" w:themeColor="text1"/>
        </w:rPr>
        <w:instrText xml:space="preserve"> \* MERGEFORMAT </w:instrText>
      </w:r>
      <w:r w:rsidR="002F0A7E" w:rsidRPr="00992BCE">
        <w:rPr>
          <w:color w:val="000000" w:themeColor="text1"/>
        </w:rPr>
      </w:r>
      <w:r w:rsidR="002F0A7E" w:rsidRPr="00992BCE">
        <w:rPr>
          <w:color w:val="000000" w:themeColor="text1"/>
        </w:rPr>
        <w:fldChar w:fldCharType="separate"/>
      </w:r>
      <w:r w:rsidR="00AC4BE5">
        <w:t xml:space="preserve">Table </w:t>
      </w:r>
      <w:r w:rsidR="00AC4BE5">
        <w:rPr>
          <w:noProof/>
        </w:rPr>
        <w:t>48</w:t>
      </w:r>
      <w:r w:rsidR="002F0A7E" w:rsidRPr="00992BCE">
        <w:rPr>
          <w:color w:val="000000" w:themeColor="text1"/>
        </w:rPr>
        <w:fldChar w:fldCharType="end"/>
      </w:r>
      <w:r>
        <w:rPr>
          <w:color w:val="000000" w:themeColor="text1"/>
        </w:rPr>
        <w:t xml:space="preserve">). When the four women with </w:t>
      </w:r>
      <w:r w:rsidRPr="00F67994">
        <w:rPr>
          <w:color w:val="000000" w:themeColor="text1"/>
        </w:rPr>
        <w:t>transient amenorrhoea</w:t>
      </w:r>
      <w:r>
        <w:rPr>
          <w:color w:val="000000" w:themeColor="text1"/>
        </w:rPr>
        <w:t xml:space="preserve"> were included the ROC analysis, the </w:t>
      </w:r>
      <w:r w:rsidR="00A5099B">
        <w:rPr>
          <w:color w:val="000000" w:themeColor="text1"/>
        </w:rPr>
        <w:t>AUC</w:t>
      </w:r>
      <w:r>
        <w:rPr>
          <w:color w:val="000000" w:themeColor="text1"/>
        </w:rPr>
        <w:t xml:space="preserve"> varied little for AMH and FSH, but reduced considerably for E2 and inhibin B. This was due to the marked variability of the levels of these hormones in these four women over the 3-year testing period. The AUC for AMH was above 0.9</w:t>
      </w:r>
      <w:r w:rsidR="00A5099B">
        <w:rPr>
          <w:color w:val="000000" w:themeColor="text1"/>
        </w:rPr>
        <w:t>,</w:t>
      </w:r>
      <w:r>
        <w:rPr>
          <w:color w:val="000000" w:themeColor="text1"/>
        </w:rPr>
        <w:t xml:space="preserve"> indicating very good test performance</w:t>
      </w:r>
      <w:r w:rsidRPr="007C286A">
        <w:rPr>
          <w:color w:val="000000" w:themeColor="text1"/>
        </w:rPr>
        <w:t xml:space="preserve"> </w:t>
      </w:r>
      <w:r w:rsidR="00A5099B">
        <w:rPr>
          <w:color w:val="000000" w:themeColor="text1"/>
        </w:rPr>
        <w:t>to predict</w:t>
      </w:r>
      <w:r>
        <w:rPr>
          <w:color w:val="000000" w:themeColor="text1"/>
        </w:rPr>
        <w:t xml:space="preserve"> CRA in women post-chemotherapy. For FSH and E2, the AUC was above 0.8, indicating good predictive test performance</w:t>
      </w:r>
      <w:r w:rsidR="00A5099B">
        <w:rPr>
          <w:color w:val="000000" w:themeColor="text1"/>
        </w:rPr>
        <w:t>. F</w:t>
      </w:r>
      <w:r>
        <w:rPr>
          <w:color w:val="000000" w:themeColor="text1"/>
        </w:rPr>
        <w:t>or inhibin B the AUC was below 0.7</w:t>
      </w:r>
      <w:r w:rsidR="00A5099B">
        <w:rPr>
          <w:color w:val="000000" w:themeColor="text1"/>
        </w:rPr>
        <w:t>, indicating poor test performance</w:t>
      </w:r>
      <w:r>
        <w:rPr>
          <w:color w:val="000000" w:themeColor="text1"/>
        </w:rPr>
        <w:t>.</w:t>
      </w:r>
      <w:r w:rsidR="004D108D">
        <w:rPr>
          <w:color w:val="000000" w:themeColor="text1"/>
        </w:rPr>
        <w:t xml:space="preserve"> As the AMH test</w:t>
      </w:r>
      <w:r w:rsidR="00A5099B">
        <w:rPr>
          <w:color w:val="000000" w:themeColor="text1"/>
        </w:rPr>
        <w:t xml:space="preserve"> performs better at predicting ovarian function</w:t>
      </w:r>
      <w:r w:rsidR="004D108D">
        <w:rPr>
          <w:color w:val="000000" w:themeColor="text1"/>
        </w:rPr>
        <w:t xml:space="preserve"> than the other tests, it is likely that it provides incremental prognostic information.</w:t>
      </w:r>
    </w:p>
    <w:p w14:paraId="3AC9A697" w14:textId="77777777" w:rsidR="00A813F1" w:rsidRDefault="00A813F1" w:rsidP="00A813F1">
      <w:pPr>
        <w:pStyle w:val="TableHeading"/>
      </w:pPr>
      <w:bookmarkStart w:id="322" w:name="_Ref498012887"/>
      <w:bookmarkStart w:id="323" w:name="_Toc502833066"/>
      <w:r>
        <w:t xml:space="preserve">Table </w:t>
      </w:r>
      <w:r w:rsidR="00AC4BE5">
        <w:fldChar w:fldCharType="begin"/>
      </w:r>
      <w:r w:rsidR="00AC4BE5">
        <w:instrText xml:space="preserve"> SEQ Table \* ARABIC </w:instrText>
      </w:r>
      <w:r w:rsidR="00AC4BE5">
        <w:fldChar w:fldCharType="separate"/>
      </w:r>
      <w:r w:rsidR="00AC4BE5">
        <w:rPr>
          <w:noProof/>
        </w:rPr>
        <w:t>48</w:t>
      </w:r>
      <w:r w:rsidR="00AC4BE5">
        <w:rPr>
          <w:noProof/>
        </w:rPr>
        <w:fldChar w:fldCharType="end"/>
      </w:r>
      <w:bookmarkEnd w:id="322"/>
      <w:r>
        <w:tab/>
      </w:r>
      <w:r w:rsidRPr="00D6218B">
        <w:t>AUC values</w:t>
      </w:r>
      <w:r>
        <w:t xml:space="preserve"> from ROC analysis conducted by </w:t>
      </w:r>
      <w:r w:rsidRPr="00292AFC">
        <w:t>Chai et al. (2014)</w:t>
      </w:r>
      <w:bookmarkEnd w:id="323"/>
    </w:p>
    <w:tbl>
      <w:tblPr>
        <w:tblStyle w:val="TableGrid"/>
        <w:tblW w:w="0" w:type="auto"/>
        <w:tblLook w:val="04A0" w:firstRow="1" w:lastRow="0" w:firstColumn="1" w:lastColumn="0" w:noHBand="0" w:noVBand="1"/>
        <w:tblCaption w:val="AUC values from ROC analysis conducted by Chai et al. (2014)"/>
        <w:tblDescription w:val="AUC values from ROC analysis conducted by Chai et al. (2014)"/>
      </w:tblPr>
      <w:tblGrid>
        <w:gridCol w:w="1555"/>
        <w:gridCol w:w="4455"/>
        <w:gridCol w:w="3006"/>
      </w:tblGrid>
      <w:tr w:rsidR="00A813F1" w:rsidRPr="00292AFC" w14:paraId="3CEC84CB" w14:textId="77777777" w:rsidTr="00C22CC2">
        <w:trPr>
          <w:tblHeader/>
        </w:trPr>
        <w:tc>
          <w:tcPr>
            <w:tcW w:w="1555" w:type="dxa"/>
          </w:tcPr>
          <w:p w14:paraId="6508B61C" w14:textId="62B62A34" w:rsidR="00A813F1" w:rsidRPr="00B7183E" w:rsidRDefault="00A813F1" w:rsidP="00B7183E">
            <w:pPr>
              <w:pStyle w:val="TableText0"/>
              <w:ind w:left="0"/>
              <w:rPr>
                <w:b/>
              </w:rPr>
            </w:pPr>
            <w:r w:rsidRPr="00B7183E">
              <w:rPr>
                <w:b/>
              </w:rPr>
              <w:t xml:space="preserve">AUC </w:t>
            </w:r>
            <w:r w:rsidR="00A5099B" w:rsidRPr="00B7183E">
              <w:rPr>
                <w:b/>
              </w:rPr>
              <w:t>[95%CI] and/or p-value for</w:t>
            </w:r>
            <w:r w:rsidRPr="00B7183E">
              <w:rPr>
                <w:b/>
              </w:rPr>
              <w:t>:</w:t>
            </w:r>
          </w:p>
        </w:tc>
        <w:tc>
          <w:tcPr>
            <w:tcW w:w="4455" w:type="dxa"/>
          </w:tcPr>
          <w:p w14:paraId="1A3F4669" w14:textId="77777777" w:rsidR="00A813F1" w:rsidRPr="00B7183E" w:rsidRDefault="00A813F1" w:rsidP="00B7183E">
            <w:pPr>
              <w:pStyle w:val="TableText0"/>
              <w:rPr>
                <w:b/>
              </w:rPr>
            </w:pPr>
            <w:r w:rsidRPr="00B7183E">
              <w:rPr>
                <w:b/>
              </w:rPr>
              <w:t>35 women with ongoing menses and amenorrhoea</w:t>
            </w:r>
          </w:p>
        </w:tc>
        <w:tc>
          <w:tcPr>
            <w:tcW w:w="3006" w:type="dxa"/>
          </w:tcPr>
          <w:p w14:paraId="087CF5C0" w14:textId="77777777" w:rsidR="00A813F1" w:rsidRPr="00B7183E" w:rsidRDefault="00A813F1" w:rsidP="00B7183E">
            <w:pPr>
              <w:pStyle w:val="TableText0"/>
              <w:rPr>
                <w:b/>
              </w:rPr>
            </w:pPr>
            <w:r w:rsidRPr="00B7183E">
              <w:rPr>
                <w:b/>
              </w:rPr>
              <w:t>All 39 women</w:t>
            </w:r>
          </w:p>
        </w:tc>
      </w:tr>
      <w:tr w:rsidR="00A813F1" w:rsidRPr="00292AFC" w14:paraId="7D680D13" w14:textId="77777777" w:rsidTr="00762873">
        <w:tc>
          <w:tcPr>
            <w:tcW w:w="1555" w:type="dxa"/>
          </w:tcPr>
          <w:p w14:paraId="58AF2282" w14:textId="77777777" w:rsidR="00A813F1" w:rsidRPr="00B7183E" w:rsidRDefault="00A813F1" w:rsidP="00B7183E">
            <w:pPr>
              <w:pStyle w:val="TableText0"/>
              <w:ind w:left="0"/>
              <w:rPr>
                <w:b/>
              </w:rPr>
            </w:pPr>
            <w:r w:rsidRPr="00B7183E">
              <w:rPr>
                <w:b/>
              </w:rPr>
              <w:t>AMH</w:t>
            </w:r>
          </w:p>
        </w:tc>
        <w:tc>
          <w:tcPr>
            <w:tcW w:w="4455" w:type="dxa"/>
          </w:tcPr>
          <w:p w14:paraId="51CBA8FF" w14:textId="5D8DAE90" w:rsidR="00A813F1" w:rsidRPr="00292AFC" w:rsidRDefault="00A5099B" w:rsidP="00B7183E">
            <w:pPr>
              <w:pStyle w:val="TableText0"/>
            </w:pPr>
            <w:r>
              <w:t>0.99 [0.97, 1.01]; &lt;0.</w:t>
            </w:r>
            <w:r w:rsidR="00A813F1" w:rsidRPr="00292AFC">
              <w:t>001</w:t>
            </w:r>
          </w:p>
        </w:tc>
        <w:tc>
          <w:tcPr>
            <w:tcW w:w="3006" w:type="dxa"/>
          </w:tcPr>
          <w:p w14:paraId="0D1F1B54" w14:textId="71133346" w:rsidR="00A813F1" w:rsidRPr="00292AFC" w:rsidRDefault="00A813F1" w:rsidP="00B7183E">
            <w:pPr>
              <w:pStyle w:val="TableText0"/>
            </w:pPr>
            <w:r w:rsidRPr="00292AFC">
              <w:t>0.97</w:t>
            </w:r>
            <w:r w:rsidR="00A5099B">
              <w:t>; &lt;</w:t>
            </w:r>
            <w:r>
              <w:t>0.05</w:t>
            </w:r>
          </w:p>
        </w:tc>
      </w:tr>
      <w:tr w:rsidR="00A813F1" w:rsidRPr="00292AFC" w14:paraId="237F8E4A" w14:textId="77777777" w:rsidTr="00762873">
        <w:tc>
          <w:tcPr>
            <w:tcW w:w="1555" w:type="dxa"/>
          </w:tcPr>
          <w:p w14:paraId="1BCA8E83" w14:textId="77777777" w:rsidR="00A813F1" w:rsidRPr="00B7183E" w:rsidRDefault="00A813F1" w:rsidP="00B7183E">
            <w:pPr>
              <w:pStyle w:val="TableText0"/>
              <w:ind w:left="0"/>
              <w:rPr>
                <w:b/>
              </w:rPr>
            </w:pPr>
            <w:r w:rsidRPr="00B7183E">
              <w:rPr>
                <w:b/>
              </w:rPr>
              <w:t>FSH</w:t>
            </w:r>
          </w:p>
        </w:tc>
        <w:tc>
          <w:tcPr>
            <w:tcW w:w="4455" w:type="dxa"/>
          </w:tcPr>
          <w:p w14:paraId="44C9EDC3" w14:textId="0418F0BF" w:rsidR="00A813F1" w:rsidRPr="00292AFC" w:rsidRDefault="00A813F1" w:rsidP="00B7183E">
            <w:pPr>
              <w:pStyle w:val="TableText0"/>
            </w:pPr>
            <w:r w:rsidRPr="00292AFC">
              <w:t xml:space="preserve">0.86 </w:t>
            </w:r>
            <w:r w:rsidR="00A5099B">
              <w:t xml:space="preserve">[0.73, 0.98]; </w:t>
            </w:r>
            <w:r w:rsidRPr="00292AFC">
              <w:t>0.001</w:t>
            </w:r>
          </w:p>
        </w:tc>
        <w:tc>
          <w:tcPr>
            <w:tcW w:w="3006" w:type="dxa"/>
          </w:tcPr>
          <w:p w14:paraId="11B33832" w14:textId="5391195B" w:rsidR="00A813F1" w:rsidRPr="00292AFC" w:rsidRDefault="00A813F1" w:rsidP="00B7183E">
            <w:pPr>
              <w:pStyle w:val="TableText0"/>
            </w:pPr>
            <w:r w:rsidRPr="00292AFC">
              <w:t>0.87</w:t>
            </w:r>
            <w:r w:rsidR="00A5099B">
              <w:t xml:space="preserve">; </w:t>
            </w:r>
            <w:r>
              <w:t>&lt;0.05</w:t>
            </w:r>
          </w:p>
        </w:tc>
      </w:tr>
      <w:tr w:rsidR="00A813F1" w:rsidRPr="00292AFC" w14:paraId="6D4BB269" w14:textId="77777777" w:rsidTr="00762873">
        <w:tc>
          <w:tcPr>
            <w:tcW w:w="1555" w:type="dxa"/>
          </w:tcPr>
          <w:p w14:paraId="6F82623B" w14:textId="77777777" w:rsidR="00A813F1" w:rsidRPr="00B7183E" w:rsidRDefault="00A813F1" w:rsidP="00B7183E">
            <w:pPr>
              <w:pStyle w:val="TableText0"/>
              <w:ind w:left="0"/>
              <w:rPr>
                <w:b/>
              </w:rPr>
            </w:pPr>
            <w:r w:rsidRPr="00B7183E">
              <w:rPr>
                <w:b/>
              </w:rPr>
              <w:t>E2</w:t>
            </w:r>
          </w:p>
        </w:tc>
        <w:tc>
          <w:tcPr>
            <w:tcW w:w="4455" w:type="dxa"/>
          </w:tcPr>
          <w:p w14:paraId="77FF57DC" w14:textId="03DA4074" w:rsidR="00A813F1" w:rsidRPr="00292AFC" w:rsidRDefault="00A813F1" w:rsidP="00B7183E">
            <w:pPr>
              <w:pStyle w:val="TableText0"/>
            </w:pPr>
            <w:r w:rsidRPr="00292AFC">
              <w:t xml:space="preserve">0.93 </w:t>
            </w:r>
            <w:r w:rsidR="00A5099B">
              <w:t>[CI 0.83, 1.03]; &lt;0.</w:t>
            </w:r>
            <w:r w:rsidRPr="00292AFC">
              <w:t>001</w:t>
            </w:r>
          </w:p>
        </w:tc>
        <w:tc>
          <w:tcPr>
            <w:tcW w:w="3006" w:type="dxa"/>
          </w:tcPr>
          <w:p w14:paraId="19DA7874" w14:textId="4A0A0D4B" w:rsidR="00A813F1" w:rsidRPr="00292AFC" w:rsidRDefault="00A813F1" w:rsidP="00B7183E">
            <w:pPr>
              <w:pStyle w:val="TableText0"/>
            </w:pPr>
            <w:r w:rsidRPr="00292AFC">
              <w:t>0.86</w:t>
            </w:r>
            <w:r w:rsidR="00A5099B">
              <w:t xml:space="preserve">; </w:t>
            </w:r>
            <w:r>
              <w:t>&lt;0.05</w:t>
            </w:r>
          </w:p>
        </w:tc>
      </w:tr>
      <w:tr w:rsidR="00A813F1" w:rsidRPr="00292AFC" w14:paraId="257A4A17" w14:textId="77777777" w:rsidTr="00762873">
        <w:tc>
          <w:tcPr>
            <w:tcW w:w="1555" w:type="dxa"/>
          </w:tcPr>
          <w:p w14:paraId="0C084FCC" w14:textId="64A5FB50" w:rsidR="00A813F1" w:rsidRPr="00B7183E" w:rsidRDefault="00A5099B" w:rsidP="00B7183E">
            <w:pPr>
              <w:pStyle w:val="TableText0"/>
              <w:ind w:left="0"/>
              <w:rPr>
                <w:b/>
              </w:rPr>
            </w:pPr>
            <w:r w:rsidRPr="00B7183E">
              <w:rPr>
                <w:b/>
              </w:rPr>
              <w:t>I</w:t>
            </w:r>
            <w:r w:rsidR="00A813F1" w:rsidRPr="00B7183E">
              <w:rPr>
                <w:b/>
              </w:rPr>
              <w:t>nhibin B</w:t>
            </w:r>
          </w:p>
        </w:tc>
        <w:tc>
          <w:tcPr>
            <w:tcW w:w="4455" w:type="dxa"/>
          </w:tcPr>
          <w:p w14:paraId="35E9FD15" w14:textId="417E9834" w:rsidR="00A813F1" w:rsidRPr="00292AFC" w:rsidRDefault="00A5099B" w:rsidP="00B7183E">
            <w:pPr>
              <w:pStyle w:val="TableText0"/>
            </w:pPr>
            <w:r>
              <w:t xml:space="preserve">0.74 [0.54, 0.94]; </w:t>
            </w:r>
            <w:r w:rsidR="00A813F1" w:rsidRPr="00292AFC">
              <w:t>0.03</w:t>
            </w:r>
          </w:p>
        </w:tc>
        <w:tc>
          <w:tcPr>
            <w:tcW w:w="3006" w:type="dxa"/>
          </w:tcPr>
          <w:p w14:paraId="6C9EDC67" w14:textId="5230081D" w:rsidR="00A813F1" w:rsidRPr="00292AFC" w:rsidRDefault="00A813F1" w:rsidP="00B7183E">
            <w:pPr>
              <w:pStyle w:val="TableText0"/>
            </w:pPr>
            <w:r w:rsidRPr="00292AFC">
              <w:t>0.65</w:t>
            </w:r>
            <w:r w:rsidR="00A5099B">
              <w:t xml:space="preserve">; </w:t>
            </w:r>
            <w:r>
              <w:t>&gt;0.05</w:t>
            </w:r>
            <w:r w:rsidRPr="00292AFC">
              <w:t xml:space="preserve"> (</w:t>
            </w:r>
            <w:r w:rsidR="00992BCE">
              <w:t>NS</w:t>
            </w:r>
            <w:r w:rsidR="00A5099B">
              <w:t>)</w:t>
            </w:r>
          </w:p>
        </w:tc>
      </w:tr>
    </w:tbl>
    <w:p w14:paraId="5F7912C5" w14:textId="11971C53" w:rsidR="00A813F1" w:rsidRDefault="00A813F1" w:rsidP="00992BCE">
      <w:pPr>
        <w:pStyle w:val="Tablenotes0"/>
        <w:spacing w:after="240"/>
      </w:pPr>
      <w:r>
        <w:t xml:space="preserve">AMH = </w:t>
      </w:r>
      <w:r w:rsidRPr="001E4EC4">
        <w:t>anti-Müllerian hormone;</w:t>
      </w:r>
      <w:r>
        <w:t xml:space="preserve"> AUC = area under the curve; CI = confidence interval; </w:t>
      </w:r>
      <w:r w:rsidR="00A5099B">
        <w:t xml:space="preserve">E2 = estradiol; </w:t>
      </w:r>
      <w:r>
        <w:t>FSH = follicle</w:t>
      </w:r>
      <w:r w:rsidR="00DE6DD5">
        <w:t>-</w:t>
      </w:r>
      <w:r>
        <w:t>stimula</w:t>
      </w:r>
      <w:r w:rsidR="00A5099B">
        <w:t>ting hormone</w:t>
      </w:r>
      <w:r>
        <w:t xml:space="preserve">; </w:t>
      </w:r>
      <w:r w:rsidR="00992BCE">
        <w:t xml:space="preserve">NS = not significant; </w:t>
      </w:r>
      <w:r>
        <w:t xml:space="preserve">ROC = </w:t>
      </w:r>
      <w:r w:rsidRPr="001E4EC4">
        <w:t>receiver operator characteristic</w:t>
      </w:r>
    </w:p>
    <w:p w14:paraId="42D1F52B" w14:textId="42313FE9" w:rsidR="00A813F1" w:rsidRDefault="00A813F1" w:rsidP="00A813F1">
      <w:pPr>
        <w:jc w:val="both"/>
        <w:rPr>
          <w:color w:val="000000" w:themeColor="text1"/>
        </w:rPr>
      </w:pPr>
      <w:r w:rsidRPr="00837A27">
        <w:rPr>
          <w:color w:val="000000" w:themeColor="text1"/>
        </w:rPr>
        <w:t xml:space="preserve">Chai et al. (2014) determined that the optimum threshold according to the ROC analysis for the </w:t>
      </w:r>
      <w:r w:rsidR="004D108D" w:rsidRPr="00837A27">
        <w:rPr>
          <w:color w:val="000000" w:themeColor="text1"/>
        </w:rPr>
        <w:t>pico</w:t>
      </w:r>
      <w:r w:rsidRPr="00837A27">
        <w:rPr>
          <w:color w:val="000000" w:themeColor="text1"/>
        </w:rPr>
        <w:t>-AMH ELISA was 16.1 pg/</w:t>
      </w:r>
      <w:r w:rsidR="00023800">
        <w:rPr>
          <w:color w:val="000000" w:themeColor="text1"/>
        </w:rPr>
        <w:t>mL</w:t>
      </w:r>
      <w:r w:rsidRPr="00837A27">
        <w:rPr>
          <w:color w:val="000000" w:themeColor="text1"/>
        </w:rPr>
        <w:t>, giving</w:t>
      </w:r>
      <w:r w:rsidRPr="001E4EC4">
        <w:rPr>
          <w:color w:val="000000" w:themeColor="text1"/>
        </w:rPr>
        <w:t xml:space="preserve"> a sensitivity of 96% and specificity of 90%</w:t>
      </w:r>
      <w:r>
        <w:rPr>
          <w:color w:val="000000" w:themeColor="text1"/>
        </w:rPr>
        <w:t xml:space="preserve"> in predicting CRA</w:t>
      </w:r>
      <w:r w:rsidRPr="001E4EC4">
        <w:rPr>
          <w:color w:val="000000" w:themeColor="text1"/>
        </w:rPr>
        <w:t xml:space="preserve">. </w:t>
      </w:r>
      <w:r>
        <w:rPr>
          <w:color w:val="000000" w:themeColor="text1"/>
        </w:rPr>
        <w:t>The authors concluded that this value wa</w:t>
      </w:r>
      <w:r w:rsidRPr="001E4EC4">
        <w:rPr>
          <w:color w:val="000000" w:themeColor="text1"/>
        </w:rPr>
        <w:t xml:space="preserve">s close </w:t>
      </w:r>
      <w:r>
        <w:rPr>
          <w:color w:val="000000" w:themeColor="text1"/>
        </w:rPr>
        <w:t xml:space="preserve">enough </w:t>
      </w:r>
      <w:r w:rsidRPr="001E4EC4">
        <w:rPr>
          <w:color w:val="000000" w:themeColor="text1"/>
        </w:rPr>
        <w:t>to the limit of detection of the assay</w:t>
      </w:r>
      <w:r>
        <w:rPr>
          <w:color w:val="000000" w:themeColor="text1"/>
        </w:rPr>
        <w:t>. Thus,</w:t>
      </w:r>
      <w:r w:rsidRPr="001E4EC4">
        <w:rPr>
          <w:color w:val="000000" w:themeColor="text1"/>
        </w:rPr>
        <w:t xml:space="preserve"> th</w:t>
      </w:r>
      <w:r>
        <w:rPr>
          <w:color w:val="000000" w:themeColor="text1"/>
        </w:rPr>
        <w:t>e AMH</w:t>
      </w:r>
      <w:r w:rsidRPr="001E4EC4">
        <w:rPr>
          <w:color w:val="000000" w:themeColor="text1"/>
        </w:rPr>
        <w:t xml:space="preserve"> result</w:t>
      </w:r>
      <w:r>
        <w:rPr>
          <w:color w:val="000000" w:themeColor="text1"/>
        </w:rPr>
        <w:t xml:space="preserve">s can be interpreted to indicate </w:t>
      </w:r>
      <w:r w:rsidRPr="001E4EC4">
        <w:rPr>
          <w:color w:val="000000" w:themeColor="text1"/>
        </w:rPr>
        <w:t>that a woman with detectable AMH</w:t>
      </w:r>
      <w:r>
        <w:rPr>
          <w:color w:val="000000" w:themeColor="text1"/>
        </w:rPr>
        <w:t xml:space="preserve"> post-treatment</w:t>
      </w:r>
      <w:r w:rsidRPr="001E4EC4">
        <w:rPr>
          <w:color w:val="000000" w:themeColor="text1"/>
        </w:rPr>
        <w:t xml:space="preserve"> is very likely to ha</w:t>
      </w:r>
      <w:r w:rsidR="00FB1F37">
        <w:rPr>
          <w:color w:val="000000" w:themeColor="text1"/>
        </w:rPr>
        <w:t>ve ongoing menses for at least three</w:t>
      </w:r>
      <w:r w:rsidRPr="001E4EC4">
        <w:rPr>
          <w:color w:val="000000" w:themeColor="text1"/>
        </w:rPr>
        <w:t xml:space="preserve"> years whereas a woman with undetectable AMH </w:t>
      </w:r>
      <w:r>
        <w:rPr>
          <w:color w:val="000000" w:themeColor="text1"/>
        </w:rPr>
        <w:t xml:space="preserve">will continue to have </w:t>
      </w:r>
      <w:r w:rsidRPr="001E4EC4">
        <w:rPr>
          <w:color w:val="000000" w:themeColor="text1"/>
        </w:rPr>
        <w:t>amenorrhoea d</w:t>
      </w:r>
      <w:r>
        <w:rPr>
          <w:color w:val="000000" w:themeColor="text1"/>
        </w:rPr>
        <w:t>u</w:t>
      </w:r>
      <w:r w:rsidRPr="001E4EC4">
        <w:rPr>
          <w:color w:val="000000" w:themeColor="text1"/>
        </w:rPr>
        <w:t xml:space="preserve">e </w:t>
      </w:r>
      <w:r>
        <w:rPr>
          <w:color w:val="000000" w:themeColor="text1"/>
        </w:rPr>
        <w:t xml:space="preserve">the lack of </w:t>
      </w:r>
      <w:r w:rsidRPr="001E4EC4">
        <w:rPr>
          <w:color w:val="000000" w:themeColor="text1"/>
        </w:rPr>
        <w:t>ovarian reserve.</w:t>
      </w:r>
    </w:p>
    <w:p w14:paraId="09339BC3" w14:textId="3605AFB4" w:rsidR="007518CF" w:rsidRDefault="00067767" w:rsidP="00A813F1">
      <w:pPr>
        <w:jc w:val="both"/>
        <w:rPr>
          <w:color w:val="000000" w:themeColor="text1"/>
        </w:rPr>
      </w:pPr>
      <w:r>
        <w:rPr>
          <w:color w:val="000000" w:themeColor="text1"/>
        </w:rPr>
        <w:t>One study was identified on AMH testing in childhood cancer surviv</w:t>
      </w:r>
      <w:r w:rsidR="00FB1F37">
        <w:rPr>
          <w:color w:val="000000" w:themeColor="text1"/>
        </w:rPr>
        <w:t>ors to assess ovarian reserve after gonadotoxic treatment</w:t>
      </w:r>
      <w:r>
        <w:rPr>
          <w:color w:val="000000" w:themeColor="text1"/>
        </w:rPr>
        <w:t xml:space="preserve"> </w:t>
      </w:r>
      <w:r w:rsidR="00A109BA">
        <w:rPr>
          <w:color w:val="000000" w:themeColor="text1"/>
        </w:rPr>
        <w:fldChar w:fldCharType="begin"/>
      </w:r>
      <w:r w:rsidR="00577E24">
        <w:rPr>
          <w:color w:val="000000" w:themeColor="text1"/>
        </w:rPr>
        <w:instrText xml:space="preserve"> ADDIN EN.CITE &lt;EndNote&gt;&lt;Cite&gt;&lt;Author&gt;Lunsford&lt;/Author&gt;&lt;Year&gt;2014&lt;/Year&gt;&lt;RecNum&gt;239&lt;/RecNum&gt;&lt;IDText&gt;227-31&lt;/IDText&gt;&lt;DisplayText&gt;(Lunsford et al. 2014)&lt;/DisplayText&gt;&lt;record&gt;&lt;rec-number&gt;239&lt;/rec-number&gt;&lt;foreign-keys&gt;&lt;key app="EN" db-id="s2dftfxw1fvsr1efx58vfvxtvfwzxea0td02" timestamp="1511748085"&gt;239&lt;/key&gt;&lt;/foreign-keys&gt;&lt;ref-type name="Journal Article"&gt;17&lt;/ref-type&gt;&lt;contributors&gt;&lt;authors&gt;&lt;author&gt;Lunsford, A. J.&lt;/author&gt;&lt;author&gt;Whelan, K.&lt;/author&gt;&lt;author&gt;McCormick, K.&lt;/author&gt;&lt;author&gt;McLaren, J. F.&lt;/author&gt;&lt;/authors&gt;&lt;/contributors&gt;&lt;titles&gt;&lt;title&gt;Antimullerian hormone as a measure of reproductive function in female childhood cancer survivors&lt;/title&gt;&lt;secondary-title&gt;Fertil Steril&lt;/secondary-title&gt;&lt;/titles&gt;&lt;periodical&gt;&lt;full-title&gt;Fertil Steril&lt;/full-title&gt;&lt;/periodical&gt;&lt;pages&gt;227-31&lt;/pages&gt;&lt;volume&gt;101&lt;/volume&gt;&lt;number&gt;1&lt;/number&gt;&lt;keywords&gt;&lt;keyword&gt;Self-Fertilization&lt;/keyword&gt;&lt;keyword&gt;Survivors&lt;/keyword&gt;&lt;keyword&gt;Puberty, Delayed&lt;/keyword&gt;&lt;keyword&gt;Cross-Sectional Studies&lt;/keyword&gt;&lt;keyword&gt;Follicle Stimulating Hormone&lt;/keyword&gt;&lt;/keywords&gt;&lt;dates&gt;&lt;year&gt;2014&lt;/year&gt;&lt;pub-dates&gt;&lt;date&gt;2014-1-1&lt;/date&gt;&lt;/pub-dates&gt;&lt;/dates&gt;&lt;isbn&gt;0015-0282&lt;/isbn&gt;&lt;accession-num&gt;rayyan-5557269&lt;/accession-num&gt;&lt;urls&gt;&lt;/urls&gt;&lt;custom1&gt;RAYYAN-INCLUSION: {&amp;quot;Sharon&amp;quot;=&amp;gt;true}&lt;/custom1&gt;&lt;language&gt;eng&lt;/language&gt;&lt;/record&gt;&lt;/Cite&gt;&lt;/EndNote&gt;</w:instrText>
      </w:r>
      <w:r w:rsidR="00A109BA">
        <w:rPr>
          <w:color w:val="000000" w:themeColor="text1"/>
        </w:rPr>
        <w:fldChar w:fldCharType="separate"/>
      </w:r>
      <w:r w:rsidR="00A109BA">
        <w:rPr>
          <w:noProof/>
          <w:color w:val="000000" w:themeColor="text1"/>
        </w:rPr>
        <w:t>(</w:t>
      </w:r>
      <w:hyperlink w:anchor="_ENREF_40" w:tooltip="Lunsford, 2014 #239" w:history="1">
        <w:r w:rsidR="00835BA6">
          <w:rPr>
            <w:noProof/>
            <w:color w:val="000000" w:themeColor="text1"/>
          </w:rPr>
          <w:t>Lunsford et al. 2014</w:t>
        </w:r>
      </w:hyperlink>
      <w:r w:rsidR="00A109BA">
        <w:rPr>
          <w:noProof/>
          <w:color w:val="000000" w:themeColor="text1"/>
        </w:rPr>
        <w:t>)</w:t>
      </w:r>
      <w:r w:rsidR="00A109BA">
        <w:rPr>
          <w:color w:val="000000" w:themeColor="text1"/>
        </w:rPr>
        <w:fldChar w:fldCharType="end"/>
      </w:r>
      <w:r>
        <w:rPr>
          <w:color w:val="000000" w:themeColor="text1"/>
        </w:rPr>
        <w:t xml:space="preserve">. </w:t>
      </w:r>
      <w:r w:rsidR="00FB1F37">
        <w:rPr>
          <w:color w:val="000000" w:themeColor="text1"/>
        </w:rPr>
        <w:t>The study was not an official include</w:t>
      </w:r>
      <w:r>
        <w:rPr>
          <w:color w:val="000000" w:themeColor="text1"/>
        </w:rPr>
        <w:t xml:space="preserve"> as </w:t>
      </w:r>
      <w:r w:rsidR="00FB1F37">
        <w:rPr>
          <w:color w:val="000000" w:themeColor="text1"/>
        </w:rPr>
        <w:t xml:space="preserve">the results were not prognostic or </w:t>
      </w:r>
      <w:r>
        <w:rPr>
          <w:color w:val="000000" w:themeColor="text1"/>
        </w:rPr>
        <w:t xml:space="preserve">predictive, </w:t>
      </w:r>
      <w:r w:rsidR="00FB1F37">
        <w:rPr>
          <w:color w:val="000000" w:themeColor="text1"/>
        </w:rPr>
        <w:t>but it did report</w:t>
      </w:r>
      <w:r>
        <w:rPr>
          <w:color w:val="000000" w:themeColor="text1"/>
        </w:rPr>
        <w:t xml:space="preserve"> that all patients with delayed pubertal development (n=10) had an AMH </w:t>
      </w:r>
      <w:r w:rsidR="003B42B2">
        <w:rPr>
          <w:color w:val="000000" w:themeColor="text1"/>
        </w:rPr>
        <w:t>&lt;</w:t>
      </w:r>
      <w:r>
        <w:rPr>
          <w:color w:val="000000" w:themeColor="text1"/>
        </w:rPr>
        <w:t>1ng/mL, and the majority of these patients (90%) had an undetectable AMH value. It was reported that AMH levels were statistically significantly lower in the patients with delayed puberty compared with those with normal pubertal progression (</w:t>
      </w:r>
      <w:r w:rsidRPr="00067767">
        <w:rPr>
          <w:color w:val="000000" w:themeColor="text1"/>
        </w:rPr>
        <w:t>p&lt;0.001)</w:t>
      </w:r>
      <w:r>
        <w:rPr>
          <w:color w:val="000000" w:themeColor="text1"/>
        </w:rPr>
        <w:t>.</w:t>
      </w:r>
    </w:p>
    <w:p w14:paraId="13BD885E" w14:textId="2F6AC2EC" w:rsidR="00A813F1" w:rsidRDefault="00A813F1" w:rsidP="00A813F1">
      <w:pPr>
        <w:pStyle w:val="Heading4"/>
      </w:pPr>
      <w:r>
        <w:lastRenderedPageBreak/>
        <w:t>Progno</w:t>
      </w:r>
      <w:r w:rsidR="00FB6462">
        <w:t xml:space="preserve">stic value of AMH </w:t>
      </w:r>
      <w:r w:rsidR="001E7102">
        <w:t>-</w:t>
      </w:r>
      <w:r w:rsidR="00FB6462">
        <w:t xml:space="preserve"> predicting spontaneous</w:t>
      </w:r>
      <w:r>
        <w:t xml:space="preserve"> pregnancy</w:t>
      </w:r>
    </w:p>
    <w:p w14:paraId="2D1B23E6" w14:textId="77777777" w:rsidR="007518CF" w:rsidRDefault="00B9288C" w:rsidP="003D27F5">
      <w:pPr>
        <w:jc w:val="both"/>
      </w:pPr>
      <w:r>
        <w:t>S</w:t>
      </w:r>
      <w:r w:rsidR="00DB167D">
        <w:t>ix</w:t>
      </w:r>
      <w:r>
        <w:t xml:space="preserve"> studies reporting </w:t>
      </w:r>
      <w:r w:rsidR="00DB167D">
        <w:t xml:space="preserve">on whether AMH </w:t>
      </w:r>
      <w:r w:rsidR="00A813F1">
        <w:t xml:space="preserve">was able to predict pregnancy were identified. Five studies reported AMH thresholds and showed how many women achieved pregnancy when divided into groups based on AMH score (see </w:t>
      </w:r>
      <w:r w:rsidR="002F0A7E">
        <w:fldChar w:fldCharType="begin"/>
      </w:r>
      <w:r w:rsidR="002F0A7E">
        <w:instrText xml:space="preserve"> REF _Ref498012910 \h </w:instrText>
      </w:r>
      <w:r w:rsidR="002F0A7E">
        <w:fldChar w:fldCharType="separate"/>
      </w:r>
      <w:r w:rsidR="00AC4BE5">
        <w:t xml:space="preserve">Table </w:t>
      </w:r>
      <w:r w:rsidR="00AC4BE5">
        <w:rPr>
          <w:noProof/>
        </w:rPr>
        <w:t>49</w:t>
      </w:r>
      <w:r w:rsidR="002F0A7E">
        <w:fldChar w:fldCharType="end"/>
      </w:r>
      <w:r w:rsidR="00A813F1">
        <w:t>).</w:t>
      </w:r>
    </w:p>
    <w:p w14:paraId="0D19AEAD" w14:textId="15B40138" w:rsidR="007518CF" w:rsidRDefault="00245FB2" w:rsidP="00A813F1">
      <w:pPr>
        <w:jc w:val="both"/>
      </w:pPr>
      <w:r>
        <w:t xml:space="preserve">All women underwent </w:t>
      </w:r>
      <w:r w:rsidR="00A813F1">
        <w:t xml:space="preserve">gonadotoxic treatment for </w:t>
      </w:r>
      <w:r>
        <w:t>endometriosis, breast cancer or lymphoma</w:t>
      </w:r>
      <w:r w:rsidR="00A813F1">
        <w:t xml:space="preserve"> and </w:t>
      </w:r>
      <w:r>
        <w:t>wanted</w:t>
      </w:r>
      <w:r w:rsidR="00A813F1">
        <w:t xml:space="preserve"> to </w:t>
      </w:r>
      <w:r>
        <w:t>become</w:t>
      </w:r>
      <w:r w:rsidR="00A813F1">
        <w:t xml:space="preserve"> pregnant. Follow-up was </w:t>
      </w:r>
      <w:r>
        <w:t>at least one</w:t>
      </w:r>
      <w:r w:rsidR="00A813F1">
        <w:t xml:space="preserve"> year in all studies </w:t>
      </w:r>
      <w:r>
        <w:t xml:space="preserve">as </w:t>
      </w:r>
      <w:r w:rsidR="00A813F1">
        <w:t xml:space="preserve">shown in </w:t>
      </w:r>
      <w:r w:rsidR="002F0A7E">
        <w:fldChar w:fldCharType="begin"/>
      </w:r>
      <w:r w:rsidR="002F0A7E">
        <w:instrText xml:space="preserve"> REF _Ref498012910 \h </w:instrText>
      </w:r>
      <w:r w:rsidR="002F0A7E">
        <w:fldChar w:fldCharType="separate"/>
      </w:r>
      <w:r w:rsidR="00AC4BE5">
        <w:t xml:space="preserve">Table </w:t>
      </w:r>
      <w:r w:rsidR="00AC4BE5">
        <w:rPr>
          <w:noProof/>
        </w:rPr>
        <w:t>49</w:t>
      </w:r>
      <w:r w:rsidR="002F0A7E">
        <w:fldChar w:fldCharType="end"/>
      </w:r>
      <w:r w:rsidR="00A813F1">
        <w:t>. Only a small study by Ozaki et al. (n=35) reported a higher pregnancy ra</w:t>
      </w:r>
      <w:r>
        <w:t>te in patients with a high AMH, compared to AMH &lt;1.1 ng/mL</w:t>
      </w:r>
      <w:r w:rsidR="007F4459">
        <w:t xml:space="preserve">. </w:t>
      </w:r>
      <w:r w:rsidR="00A813F1">
        <w:t>This study included women with endometriosis who underwent laparascopic cystectomy. The other four studies did not report a statistically significant pregnancy rate difference in women with higher AMH values, compared to women with lower AMH values.</w:t>
      </w:r>
      <w:r w:rsidR="00054521">
        <w:t xml:space="preserve"> This suggests that although AMH may assist in predicting which women will have amenorrhea or menses, this relationship is not strong enough to </w:t>
      </w:r>
      <w:r w:rsidR="00F90EAC">
        <w:t>predict</w:t>
      </w:r>
      <w:r w:rsidR="00054521">
        <w:t xml:space="preserve"> ability to conceive.</w:t>
      </w:r>
    </w:p>
    <w:p w14:paraId="43366EB2" w14:textId="329D7A48" w:rsidR="007518CF" w:rsidRDefault="00E147E1" w:rsidP="00A813F1">
      <w:pPr>
        <w:jc w:val="both"/>
      </w:pPr>
      <w:r>
        <w:t xml:space="preserve">The recently published and largest study by Stochino-Loi et al. (n=180) </w:t>
      </w:r>
      <w:r w:rsidR="00387A03">
        <w:t>included women with endometriosis undergoing ovarian endometrioma ablation. In women</w:t>
      </w:r>
      <w:r w:rsidR="00245FB2">
        <w:t xml:space="preserve"> with a low baseline AMH score </w:t>
      </w:r>
      <w:r w:rsidR="00387A03">
        <w:t>(&lt;2 ng/mL) 34 pregnancies were reported in 46 women (73.9%). In women with a high baseline AMH score (≥2 ng/mL) 100 pregnancies were reported in 134 women (74.6%). The probability of pregnancy within 12 months was 50% and 65% in the women with a low and high AMH value, respectively (p=0.19)</w:t>
      </w:r>
      <w:r w:rsidR="007F4459">
        <w:t xml:space="preserve">. </w:t>
      </w:r>
      <w:r w:rsidR="007558CC">
        <w:t xml:space="preserve">The estimation of the probability of the rate of live births </w:t>
      </w:r>
      <w:r w:rsidR="00F90EAC">
        <w:t xml:space="preserve">(HR) </w:t>
      </w:r>
      <w:r w:rsidR="007558CC">
        <w:t xml:space="preserve">using a Cox multivariate model in women with AMH </w:t>
      </w:r>
      <w:r w:rsidR="00F90EAC">
        <w:t xml:space="preserve">level </w:t>
      </w:r>
      <w:r w:rsidR="003B42B2">
        <w:t>&lt;</w:t>
      </w:r>
      <w:r w:rsidR="007558CC">
        <w:t>2 ng/mL was 0.98 (95%CI 0.6, 1.5)</w:t>
      </w:r>
      <w:r w:rsidR="00E80339">
        <w:t xml:space="preserve"> at 36 months after surgery</w:t>
      </w:r>
      <w:r w:rsidR="00F90EAC">
        <w:t xml:space="preserve">, </w:t>
      </w:r>
      <w:r w:rsidR="007558CC">
        <w:t xml:space="preserve">compared to </w:t>
      </w:r>
      <w:r w:rsidR="00F90EAC">
        <w:t xml:space="preserve">women with </w:t>
      </w:r>
      <w:r w:rsidR="00E80339">
        <w:t xml:space="preserve">AMH level </w:t>
      </w:r>
      <w:r w:rsidR="003B42B2">
        <w:t>≥</w:t>
      </w:r>
      <w:r w:rsidR="00F90EAC">
        <w:t>2 ng/mL</w:t>
      </w:r>
      <w:r w:rsidR="00E80339">
        <w:t>.</w:t>
      </w:r>
      <w:r w:rsidR="00D86EB2">
        <w:t xml:space="preserve"> This means the impact of preoperative AMH level on the probability of live birth was not statistically significant after adjusting for women’s age, antecedents of ovarian cystectomy, ablation of ovarian endometriomas, documented preoperative infertility, and colorectal surgery for endometriosis</w:t>
      </w:r>
      <w:r w:rsidR="00A76DA1">
        <w:t xml:space="preserve"> </w:t>
      </w:r>
      <w:r w:rsidR="00A109BA">
        <w:fldChar w:fldCharType="begin"/>
      </w:r>
      <w:r w:rsidR="00577E24">
        <w:instrText xml:space="preserve"> ADDIN EN.CITE &lt;EndNote&gt;&lt;Cite&gt;&lt;Author&gt;Stochino-Loi&lt;/Author&gt;&lt;Year&gt;2017&lt;/Year&gt;&lt;RecNum&gt;332&lt;/RecNum&gt;&lt;IDText&gt;707-713 e3&lt;/IDText&gt;&lt;DisplayText&gt;(Stochino-Loi et al. 2017)&lt;/DisplayText&gt;&lt;record&gt;&lt;rec-number&gt;332&lt;/rec-number&gt;&lt;foreign-keys&gt;&lt;key app="EN" db-id="s2dftfxw1fvsr1efx58vfvxtvfwzxea0td02" timestamp="1511748097"&gt;332&lt;/key&gt;&lt;/foreign-keys&gt;&lt;ref-type name="Journal Article"&gt;17&lt;/ref-type&gt;&lt;contributors&gt;&lt;authors&gt;&lt;author&gt;Stochino-Loi, E.&lt;/author&gt;&lt;author&gt;Darwish, B.&lt;/author&gt;&lt;author&gt;Mircea, O.&lt;/author&gt;&lt;author&gt;Touleimat, S.&lt;/author&gt;&lt;author&gt;Millochau, J. C.&lt;/author&gt;&lt;author&gt;Abo, C.&lt;/author&gt;&lt;author&gt;Angioni, S.&lt;/author&gt;&lt;author&gt;Roman, H.&lt;/author&gt;&lt;/authors&gt;&lt;/contributors&gt;&lt;titles&gt;&lt;title&gt;Does preoperative antimullerian hormone level influence postoperative pregnancy rate in women undergoing surgery for severe endometriosis?&lt;/title&gt;&lt;secondary-title&gt;Fertil Steril&lt;/secondary-title&gt;&lt;/titles&gt;&lt;periodical&gt;&lt;full-title&gt;Fertil Steril&lt;/full-title&gt;&lt;/periodical&gt;&lt;pages&gt;707-713 e3&lt;/pages&gt;&lt;volume&gt;107&lt;/volume&gt;&lt;number&gt;3&lt;/number&gt;&lt;keywords&gt;&lt;keyword&gt;Self-Fertilization&lt;/keyword&gt;&lt;keyword&gt;Pregnancy Rate&lt;/keyword&gt;&lt;keyword&gt;Probability&lt;/keyword&gt;&lt;keyword&gt;Endometriosis&lt;/keyword&gt;&lt;keyword&gt;Pregnancy&lt;/keyword&gt;&lt;/keywords&gt;&lt;dates&gt;&lt;year&gt;2017&lt;/year&gt;&lt;pub-dates&gt;&lt;date&gt;2017-1-1&lt;/date&gt;&lt;/pub-dates&gt;&lt;/dates&gt;&lt;isbn&gt;0015-0282&lt;/isbn&gt;&lt;accession-num&gt;rayyan-6678804&lt;/accession-num&gt;&lt;urls&gt;&lt;/urls&gt;&lt;custom1&gt;RAYYAN-INCLUSION: {&amp;quot;Sharon&amp;quot;=&amp;gt;true}&lt;/custom1&gt;&lt;language&gt;eng&lt;/language&gt;&lt;/record&gt;&lt;/Cite&gt;&lt;/EndNote&gt;</w:instrText>
      </w:r>
      <w:r w:rsidR="00A109BA">
        <w:fldChar w:fldCharType="separate"/>
      </w:r>
      <w:r w:rsidR="00A109BA">
        <w:rPr>
          <w:noProof/>
        </w:rPr>
        <w:t>(</w:t>
      </w:r>
      <w:hyperlink w:anchor="_ENREF_62" w:tooltip="Stochino-Loi, 2017 #332" w:history="1">
        <w:r w:rsidR="00835BA6">
          <w:rPr>
            <w:noProof/>
          </w:rPr>
          <w:t>Stochino-Loi et al. 2017</w:t>
        </w:r>
      </w:hyperlink>
      <w:r w:rsidR="00A109BA">
        <w:rPr>
          <w:noProof/>
        </w:rPr>
        <w:t>)</w:t>
      </w:r>
      <w:r w:rsidR="00A109BA">
        <w:fldChar w:fldCharType="end"/>
      </w:r>
      <w:r w:rsidR="00D86EB2">
        <w:t>.</w:t>
      </w:r>
    </w:p>
    <w:p w14:paraId="2055F0AF" w14:textId="77777777" w:rsidR="00791552" w:rsidRDefault="00A813F1" w:rsidP="00A813F1">
      <w:pPr>
        <w:jc w:val="both"/>
        <w:sectPr w:rsidR="00791552" w:rsidSect="009E5D0E">
          <w:pgSz w:w="11906" w:h="16838"/>
          <w:pgMar w:top="1440" w:right="1440" w:bottom="1440" w:left="1440" w:header="720" w:footer="720" w:gutter="0"/>
          <w:paperSrc w:first="1512" w:other="1512"/>
          <w:cols w:space="720"/>
          <w:docGrid w:linePitch="299"/>
        </w:sectPr>
      </w:pPr>
      <w:r>
        <w:t>The</w:t>
      </w:r>
      <w:r w:rsidR="006B3AEA">
        <w:t xml:space="preserve"> other</w:t>
      </w:r>
      <w:r>
        <w:t xml:space="preserve"> larger study by Hamy et al. (n=134) included women with breast cancer. Of the women who became pregnant during the follow-up of this study, 65</w:t>
      </w:r>
      <w:r w:rsidR="00B169D7">
        <w:t>%</w:t>
      </w:r>
      <w:r>
        <w:t xml:space="preserve"> had undetectable AMH levels (11/17), compared to 70</w:t>
      </w:r>
      <w:r w:rsidR="00B169D7">
        <w:t>%</w:t>
      </w:r>
      <w:r>
        <w:t xml:space="preserve"> </w:t>
      </w:r>
      <w:r w:rsidR="00032528">
        <w:t>among</w:t>
      </w:r>
      <w:r>
        <w:t xml:space="preserve"> women who did not achieve pregnancy. This was confirmed by a study in lymphoma cancer survivors</w:t>
      </w:r>
      <w:r w:rsidR="00DB167D">
        <w:t>. T</w:t>
      </w:r>
      <w:r w:rsidR="009E767E">
        <w:t>his study was no</w:t>
      </w:r>
      <w:r w:rsidR="00054521">
        <w:t>t</w:t>
      </w:r>
      <w:r w:rsidR="009E767E">
        <w:t xml:space="preserve"> official</w:t>
      </w:r>
      <w:r w:rsidR="00054521">
        <w:t>ly</w:t>
      </w:r>
      <w:r w:rsidR="009E767E">
        <w:t xml:space="preserve"> include</w:t>
      </w:r>
      <w:r w:rsidR="00054521">
        <w:t>d in the systematic review</w:t>
      </w:r>
      <w:r w:rsidR="009E767E">
        <w:t xml:space="preserve"> due to the data no</w:t>
      </w:r>
      <w:r w:rsidR="00032528">
        <w:t xml:space="preserve">t being prognostic, i.e. </w:t>
      </w:r>
      <w:r w:rsidR="009E767E">
        <w:t xml:space="preserve">AMH was measured only at </w:t>
      </w:r>
      <w:r w:rsidR="00032528">
        <w:t>the end of the follow-up period</w:t>
      </w:r>
      <w:r w:rsidR="009E767E">
        <w:t>. However it stated</w:t>
      </w:r>
      <w:r>
        <w:t xml:space="preserve"> that </w:t>
      </w:r>
      <w:r w:rsidR="00032528">
        <w:t>nearly a quarter (4/</w:t>
      </w:r>
      <w:r>
        <w:t>15</w:t>
      </w:r>
      <w:r w:rsidR="00032528">
        <w:t>)</w:t>
      </w:r>
      <w:r>
        <w:t xml:space="preserve"> </w:t>
      </w:r>
      <w:r w:rsidR="00032528">
        <w:t xml:space="preserve">of </w:t>
      </w:r>
      <w:r>
        <w:t>women with critically low AMH values</w:t>
      </w:r>
      <w:r w:rsidR="009E767E">
        <w:t xml:space="preserve"> at the end of the study</w:t>
      </w:r>
      <w:r>
        <w:t xml:space="preserve"> (≤0.3 ng/mL) had given birth during the follow-up period, and</w:t>
      </w:r>
      <w:r w:rsidR="009E767E">
        <w:t xml:space="preserve"> it reported</w:t>
      </w:r>
      <w:r>
        <w:t xml:space="preserve"> </w:t>
      </w:r>
      <w:r w:rsidR="00032528">
        <w:t xml:space="preserve">that another </w:t>
      </w:r>
      <w:r>
        <w:t xml:space="preserve">three women with an AMH value ≤0.3 ng/mL became pregnant </w:t>
      </w:r>
      <w:r w:rsidR="00032528">
        <w:t>shortly</w:t>
      </w:r>
      <w:r>
        <w:t xml:space="preserve"> after the follow-up survey</w:t>
      </w:r>
      <w:r w:rsidR="009E767E">
        <w:t xml:space="preserve"> and AMH measurement</w:t>
      </w:r>
      <w:r>
        <w:t xml:space="preserve"> </w:t>
      </w:r>
      <w:r w:rsidR="00A109BA">
        <w:fldChar w:fldCharType="begin"/>
      </w:r>
      <w:r w:rsidR="00577E24">
        <w:instrText xml:space="preserve"> ADDIN EN.CITE &lt;EndNote&gt;&lt;Cite&gt;&lt;Author&gt;Hamre&lt;/Author&gt;&lt;Year&gt;2012&lt;/Year&gt;&lt;RecNum&gt;173&lt;/RecNum&gt;&lt;IDText&gt;271-277&lt;/IDText&gt;&lt;DisplayText&gt;(Hamre et al. 2012)&lt;/DisplayText&gt;&lt;record&gt;&lt;rec-number&gt;173&lt;/rec-number&gt;&lt;foreign-keys&gt;&lt;key app="EN" db-id="s2dftfxw1fvsr1efx58vfvxtvfwzxea0td02" timestamp="1511748076"&gt;173&lt;/key&gt;&lt;/foreign-keys&gt;&lt;ref-type name="Journal Article"&gt;17&lt;/ref-type&gt;&lt;contributors&gt;&lt;authors&gt;&lt;author&gt;Hamre, H.&lt;/author&gt;&lt;author&gt;Kiserud, C. E.&lt;/author&gt;&lt;author&gt;Ruud, E.&lt;/author&gt;&lt;author&gt;Thorsby, P. M.&lt;/author&gt;&lt;author&gt;Fosså, S. D.&lt;/author&gt;&lt;/authors&gt;&lt;/contributors&gt;&lt;titles&gt;&lt;title&gt;Gonadal function and parenthood 20 years after treatment for childhood lymphoma: A cross-sectional study&lt;/title&gt;&lt;secondary-title&gt;Pediatric Blood and Cancer&lt;/secondary-title&gt;&lt;/titles&gt;&lt;periodical&gt;&lt;full-title&gt;Pediatric Blood and Cancer&lt;/full-title&gt;&lt;/periodical&gt;&lt;pages&gt;271-277&lt;/pages&gt;&lt;volume&gt;59&lt;/volume&gt;&lt;number&gt;2&lt;/number&gt;&lt;keywords&gt;&lt;keyword&gt;Survivors&lt;/keyword&gt;&lt;keyword&gt;Cesarean Section&lt;/keyword&gt;&lt;keyword&gt;Hypogonadism&lt;/keyword&gt;&lt;keyword&gt;Pregnancy&lt;/keyword&gt;&lt;keyword&gt;Gonads&lt;/keyword&gt;&lt;keyword&gt;Cross-Sectional Studies&lt;/keyword&gt;&lt;/keywords&gt;&lt;dates&gt;&lt;year&gt;2012&lt;/year&gt;&lt;pub-dates&gt;&lt;date&gt;2012-1-1&lt;/date&gt;&lt;/pub-dates&gt;&lt;/dates&gt;&lt;accession-num&gt;rayyan-6674816&lt;/accession-num&gt;&lt;urls&gt;&lt;related-urls&gt;&lt;url&gt;http://www.embase.com/search/results?subaction=viewrecord&amp;amp;from=export&amp;amp;id=L365003883 http://dx.doi.org/10.1002/pbc.23363&lt;/url&gt;&lt;url&gt;http://onlinelibrary.wiley.com/store/10.1002/pbc.23363/asset/23363_ftp.pdf?v=1&amp;amp;t=j5nikaa8&amp;amp;s=34815b77f42ef2fd53e0746ba81438127b1ce12d&lt;/url&gt;&lt;/related-urls&gt;&lt;/urls&gt;&lt;custom1&gt;RAYYAN-INCLUSION: {&amp;quot;Sharon&amp;quot;=&amp;gt;false, &amp;quot;Joanne&amp;quot;=&amp;gt;true}&lt;/custom1&gt;&lt;/record&gt;&lt;/Cite&gt;&lt;/EndNote&gt;</w:instrText>
      </w:r>
      <w:r w:rsidR="00A109BA">
        <w:fldChar w:fldCharType="separate"/>
      </w:r>
      <w:r w:rsidR="00A109BA">
        <w:rPr>
          <w:noProof/>
        </w:rPr>
        <w:t>(</w:t>
      </w:r>
      <w:hyperlink w:anchor="_ENREF_25" w:tooltip="Hamre, 2012 #173" w:history="1">
        <w:r w:rsidR="00835BA6">
          <w:rPr>
            <w:noProof/>
          </w:rPr>
          <w:t>Hamre et al. 2012</w:t>
        </w:r>
      </w:hyperlink>
      <w:r w:rsidR="00A109BA">
        <w:rPr>
          <w:noProof/>
        </w:rPr>
        <w:t>)</w:t>
      </w:r>
      <w:r w:rsidR="00A109BA">
        <w:fldChar w:fldCharType="end"/>
      </w:r>
      <w:r>
        <w:t xml:space="preserve">. </w:t>
      </w:r>
      <w:r w:rsidR="009E767E">
        <w:t>The authors stated</w:t>
      </w:r>
      <w:r>
        <w:t xml:space="preserve"> th</w:t>
      </w:r>
      <w:r w:rsidR="00032528">
        <w:t xml:space="preserve">at the relation between low AMH </w:t>
      </w:r>
      <w:r>
        <w:t>levels and reproductive outcomes may differ i</w:t>
      </w:r>
      <w:r w:rsidR="00032528">
        <w:t>n cancer survivors compared to older</w:t>
      </w:r>
      <w:r>
        <w:t xml:space="preserve"> women from the general population </w:t>
      </w:r>
      <w:r w:rsidR="00A109BA">
        <w:fldChar w:fldCharType="begin"/>
      </w:r>
      <w:r w:rsidR="00577E24">
        <w:instrText xml:space="preserve"> ADDIN EN.CITE &lt;EndNote&gt;&lt;Cite&gt;&lt;Author&gt;Hamre&lt;/Author&gt;&lt;Year&gt;2012&lt;/Year&gt;&lt;RecNum&gt;173&lt;/RecNum&gt;&lt;IDText&gt;271-277&lt;/IDText&gt;&lt;DisplayText&gt;(Hamre et al. 2012)&lt;/DisplayText&gt;&lt;record&gt;&lt;rec-number&gt;173&lt;/rec-number&gt;&lt;foreign-keys&gt;&lt;key app="EN" db-id="s2dftfxw1fvsr1efx58vfvxtvfwzxea0td02" timestamp="1511748076"&gt;173&lt;/key&gt;&lt;/foreign-keys&gt;&lt;ref-type name="Journal Article"&gt;17&lt;/ref-type&gt;&lt;contributors&gt;&lt;authors&gt;&lt;author&gt;Hamre, H.&lt;/author&gt;&lt;author&gt;Kiserud, C. E.&lt;/author&gt;&lt;author&gt;Ruud, E.&lt;/author&gt;&lt;author&gt;Thorsby, P. M.&lt;/author&gt;&lt;author&gt;Fosså, S. D.&lt;/author&gt;&lt;/authors&gt;&lt;/contributors&gt;&lt;titles&gt;&lt;title&gt;Gonadal function and parenthood 20 years after treatment for childhood lymphoma: A cross-sectional study&lt;/title&gt;&lt;secondary-title&gt;Pediatric Blood and Cancer&lt;/secondary-title&gt;&lt;/titles&gt;&lt;periodical&gt;&lt;full-title&gt;Pediatric Blood and Cancer&lt;/full-title&gt;&lt;/periodical&gt;&lt;pages&gt;271-277&lt;/pages&gt;&lt;volume&gt;59&lt;/volume&gt;&lt;number&gt;2&lt;/number&gt;&lt;keywords&gt;&lt;keyword&gt;Survivors&lt;/keyword&gt;&lt;keyword&gt;Cesarean Section&lt;/keyword&gt;&lt;keyword&gt;Hypogonadism&lt;/keyword&gt;&lt;keyword&gt;Pregnancy&lt;/keyword&gt;&lt;keyword&gt;Gonads&lt;/keyword&gt;&lt;keyword&gt;Cross-Sectional Studies&lt;/keyword&gt;&lt;/keywords&gt;&lt;dates&gt;&lt;year&gt;2012&lt;/year&gt;&lt;pub-dates&gt;&lt;date&gt;2012-1-1&lt;/date&gt;&lt;/pub-dates&gt;&lt;/dates&gt;&lt;accession-num&gt;rayyan-6674816&lt;/accession-num&gt;&lt;urls&gt;&lt;related-urls&gt;&lt;url&gt;http://www.embase.com/search/results?subaction=viewrecord&amp;amp;from=export&amp;amp;id=L365003883 http://dx.doi.org/10.1002/pbc.23363&lt;/url&gt;&lt;url&gt;http://onlinelibrary.wiley.com/store/10.1002/pbc.23363/asset/23363_ftp.pdf?v=1&amp;amp;t=j5nikaa8&amp;amp;s=34815b77f42ef2fd53e0746ba81438127b1ce12d&lt;/url&gt;&lt;/related-urls&gt;&lt;/urls&gt;&lt;custom1&gt;RAYYAN-INCLUSION: {&amp;quot;Sharon&amp;quot;=&amp;gt;false, &amp;quot;Joanne&amp;quot;=&amp;gt;true}&lt;/custom1&gt;&lt;/record&gt;&lt;/Cite&gt;&lt;/EndNote&gt;</w:instrText>
      </w:r>
      <w:r w:rsidR="00A109BA">
        <w:fldChar w:fldCharType="separate"/>
      </w:r>
      <w:r w:rsidR="00A109BA">
        <w:rPr>
          <w:noProof/>
        </w:rPr>
        <w:t>(</w:t>
      </w:r>
      <w:hyperlink w:anchor="_ENREF_25" w:tooltip="Hamre, 2012 #173" w:history="1">
        <w:r w:rsidR="00835BA6">
          <w:rPr>
            <w:noProof/>
          </w:rPr>
          <w:t>Hamre et al. 2012</w:t>
        </w:r>
      </w:hyperlink>
      <w:r w:rsidR="00A109BA">
        <w:rPr>
          <w:noProof/>
        </w:rPr>
        <w:t>)</w:t>
      </w:r>
      <w:r w:rsidR="00A109BA">
        <w:fldChar w:fldCharType="end"/>
      </w:r>
      <w:r>
        <w:t>.</w:t>
      </w:r>
    </w:p>
    <w:p w14:paraId="00CC77DE" w14:textId="2EC80A3F" w:rsidR="00A813F1" w:rsidRDefault="00A813F1" w:rsidP="00A813F1">
      <w:pPr>
        <w:pStyle w:val="Caption"/>
        <w:keepNext/>
      </w:pPr>
      <w:bookmarkStart w:id="324" w:name="_Ref498012910"/>
      <w:bookmarkStart w:id="325" w:name="_Toc502833067"/>
      <w:r>
        <w:lastRenderedPageBreak/>
        <w:t xml:space="preserve">Table </w:t>
      </w:r>
      <w:r w:rsidR="00AC4BE5">
        <w:fldChar w:fldCharType="begin"/>
      </w:r>
      <w:r w:rsidR="00AC4BE5">
        <w:instrText xml:space="preserve"> SEQ Table \* ARABIC </w:instrText>
      </w:r>
      <w:r w:rsidR="00AC4BE5">
        <w:fldChar w:fldCharType="separate"/>
      </w:r>
      <w:r w:rsidR="00AC4BE5">
        <w:rPr>
          <w:noProof/>
        </w:rPr>
        <w:t>49</w:t>
      </w:r>
      <w:r w:rsidR="00AC4BE5">
        <w:rPr>
          <w:noProof/>
        </w:rPr>
        <w:fldChar w:fldCharType="end"/>
      </w:r>
      <w:bookmarkEnd w:id="324"/>
      <w:r w:rsidR="00992BCE">
        <w:tab/>
      </w:r>
      <w:r>
        <w:t>Predictive value of AMH predicting pregnancy outcomes in women un</w:t>
      </w:r>
      <w:r w:rsidR="00311B6D">
        <w:t xml:space="preserve">dergoing gonadotoxic treatment, </w:t>
      </w:r>
      <w:r>
        <w:t>ordered by study size</w:t>
      </w:r>
      <w:bookmarkEnd w:id="325"/>
    </w:p>
    <w:tbl>
      <w:tblPr>
        <w:tblStyle w:val="TableGrid10"/>
        <w:tblW w:w="13948" w:type="dxa"/>
        <w:tblLook w:val="04A0" w:firstRow="1" w:lastRow="0" w:firstColumn="1" w:lastColumn="0" w:noHBand="0" w:noVBand="1"/>
        <w:tblCaption w:val="Predictive value of AMH predicting pregnancy outcomes in women undergoing gonadotoxic treatment (ordered by study size)"/>
        <w:tblDescription w:val="Predictive value of AMH predicting pregnancy outcomes in women undergoing gonadotoxic treatment (ordered by study size)"/>
      </w:tblPr>
      <w:tblGrid>
        <w:gridCol w:w="988"/>
        <w:gridCol w:w="1656"/>
        <w:gridCol w:w="1320"/>
        <w:gridCol w:w="1843"/>
        <w:gridCol w:w="2552"/>
        <w:gridCol w:w="2315"/>
        <w:gridCol w:w="2505"/>
        <w:gridCol w:w="769"/>
      </w:tblGrid>
      <w:tr w:rsidR="00A813F1" w:rsidRPr="001D7E02" w14:paraId="5ED8D507" w14:textId="77777777" w:rsidTr="00837A27">
        <w:trPr>
          <w:trHeight w:val="205"/>
          <w:tblHeader/>
        </w:trPr>
        <w:tc>
          <w:tcPr>
            <w:tcW w:w="988" w:type="dxa"/>
          </w:tcPr>
          <w:p w14:paraId="3F1F3D17" w14:textId="77777777" w:rsidR="00A813F1" w:rsidRPr="001D7E02" w:rsidRDefault="00A813F1" w:rsidP="00762873">
            <w:pPr>
              <w:spacing w:after="0" w:line="240" w:lineRule="auto"/>
              <w:ind w:right="-57"/>
              <w:rPr>
                <w:rFonts w:ascii="Arial Narrow" w:hAnsi="Arial Narrow"/>
                <w:b/>
                <w:sz w:val="20"/>
              </w:rPr>
            </w:pPr>
            <w:r w:rsidRPr="001D7E02">
              <w:rPr>
                <w:rFonts w:ascii="Arial Narrow" w:hAnsi="Arial Narrow"/>
                <w:b/>
                <w:sz w:val="20"/>
              </w:rPr>
              <w:t>Study</w:t>
            </w:r>
          </w:p>
        </w:tc>
        <w:tc>
          <w:tcPr>
            <w:tcW w:w="1656" w:type="dxa"/>
          </w:tcPr>
          <w:p w14:paraId="2C777319" w14:textId="77777777" w:rsidR="00A813F1" w:rsidRPr="001D7E02" w:rsidRDefault="00A813F1" w:rsidP="00762873">
            <w:pPr>
              <w:spacing w:after="0" w:line="240" w:lineRule="auto"/>
              <w:ind w:right="-57"/>
              <w:rPr>
                <w:rFonts w:ascii="Arial Narrow" w:hAnsi="Arial Narrow"/>
                <w:b/>
                <w:sz w:val="20"/>
              </w:rPr>
            </w:pPr>
            <w:r w:rsidRPr="001D7E02">
              <w:rPr>
                <w:rFonts w:ascii="Arial Narrow" w:hAnsi="Arial Narrow"/>
                <w:b/>
                <w:sz w:val="20"/>
              </w:rPr>
              <w:t>Population</w:t>
            </w:r>
          </w:p>
        </w:tc>
        <w:tc>
          <w:tcPr>
            <w:tcW w:w="1320" w:type="dxa"/>
          </w:tcPr>
          <w:p w14:paraId="7D875FEB" w14:textId="77777777" w:rsidR="00A813F1" w:rsidRPr="001D7E02" w:rsidRDefault="00A813F1" w:rsidP="00762873">
            <w:pPr>
              <w:spacing w:after="0" w:line="240" w:lineRule="auto"/>
              <w:ind w:right="-57"/>
              <w:rPr>
                <w:rFonts w:ascii="Arial Narrow" w:hAnsi="Arial Narrow"/>
                <w:b/>
                <w:sz w:val="20"/>
              </w:rPr>
            </w:pPr>
            <w:r w:rsidRPr="001D7E02">
              <w:rPr>
                <w:rFonts w:ascii="Arial Narrow" w:hAnsi="Arial Narrow"/>
                <w:b/>
                <w:sz w:val="20"/>
              </w:rPr>
              <w:t>Follow-up</w:t>
            </w:r>
          </w:p>
        </w:tc>
        <w:tc>
          <w:tcPr>
            <w:tcW w:w="1843" w:type="dxa"/>
          </w:tcPr>
          <w:p w14:paraId="4D77B268" w14:textId="77777777" w:rsidR="00A813F1" w:rsidRPr="001D7E02" w:rsidRDefault="00A813F1" w:rsidP="00762873">
            <w:pPr>
              <w:spacing w:after="0" w:line="240" w:lineRule="auto"/>
              <w:ind w:right="-57"/>
              <w:rPr>
                <w:rFonts w:ascii="Arial Narrow" w:hAnsi="Arial Narrow"/>
                <w:b/>
                <w:sz w:val="20"/>
              </w:rPr>
            </w:pPr>
            <w:r w:rsidRPr="001D7E02">
              <w:rPr>
                <w:rFonts w:ascii="Arial Narrow" w:hAnsi="Arial Narrow"/>
                <w:b/>
                <w:sz w:val="20"/>
              </w:rPr>
              <w:t>Threshold AMH</w:t>
            </w:r>
          </w:p>
        </w:tc>
        <w:tc>
          <w:tcPr>
            <w:tcW w:w="2552" w:type="dxa"/>
          </w:tcPr>
          <w:p w14:paraId="04041953" w14:textId="77777777" w:rsidR="00A813F1" w:rsidRPr="001D7E02" w:rsidRDefault="00A813F1" w:rsidP="00762873">
            <w:pPr>
              <w:spacing w:after="0" w:line="240" w:lineRule="auto"/>
              <w:ind w:right="-57"/>
              <w:rPr>
                <w:rFonts w:ascii="Arial Narrow" w:hAnsi="Arial Narrow"/>
                <w:b/>
                <w:sz w:val="20"/>
              </w:rPr>
            </w:pPr>
            <w:r w:rsidRPr="001D7E02">
              <w:rPr>
                <w:rFonts w:ascii="Arial Narrow" w:hAnsi="Arial Narrow"/>
                <w:b/>
                <w:sz w:val="20"/>
              </w:rPr>
              <w:t xml:space="preserve">Outcomes low AMH </w:t>
            </w:r>
          </w:p>
        </w:tc>
        <w:tc>
          <w:tcPr>
            <w:tcW w:w="2315" w:type="dxa"/>
          </w:tcPr>
          <w:p w14:paraId="2C4C3AF4" w14:textId="77777777" w:rsidR="00A813F1" w:rsidRPr="001D7E02" w:rsidRDefault="00A813F1" w:rsidP="00762873">
            <w:pPr>
              <w:spacing w:after="0" w:line="240" w:lineRule="auto"/>
              <w:ind w:right="-57"/>
              <w:rPr>
                <w:rFonts w:ascii="Arial Narrow" w:hAnsi="Arial Narrow"/>
                <w:b/>
                <w:sz w:val="20"/>
              </w:rPr>
            </w:pPr>
            <w:r w:rsidRPr="001D7E02">
              <w:rPr>
                <w:rFonts w:ascii="Arial Narrow" w:hAnsi="Arial Narrow"/>
                <w:b/>
                <w:sz w:val="20"/>
              </w:rPr>
              <w:t>Outcomes normal AMH</w:t>
            </w:r>
          </w:p>
        </w:tc>
        <w:tc>
          <w:tcPr>
            <w:tcW w:w="2505" w:type="dxa"/>
          </w:tcPr>
          <w:p w14:paraId="037E6628" w14:textId="77777777" w:rsidR="00A813F1" w:rsidRPr="001D7E02" w:rsidRDefault="00A813F1" w:rsidP="00762873">
            <w:pPr>
              <w:spacing w:after="0" w:line="240" w:lineRule="auto"/>
              <w:ind w:right="-57"/>
              <w:rPr>
                <w:rFonts w:ascii="Arial Narrow" w:hAnsi="Arial Narrow"/>
                <w:b/>
                <w:sz w:val="20"/>
              </w:rPr>
            </w:pPr>
            <w:r w:rsidRPr="001D7E02">
              <w:rPr>
                <w:rFonts w:ascii="Arial Narrow" w:hAnsi="Arial Narrow"/>
                <w:b/>
                <w:sz w:val="20"/>
              </w:rPr>
              <w:t xml:space="preserve">Outcomes high AMH </w:t>
            </w:r>
          </w:p>
        </w:tc>
        <w:tc>
          <w:tcPr>
            <w:tcW w:w="769" w:type="dxa"/>
          </w:tcPr>
          <w:p w14:paraId="2321B2E6" w14:textId="77777777" w:rsidR="00A813F1" w:rsidRPr="001D7E02" w:rsidRDefault="00A813F1" w:rsidP="00762873">
            <w:pPr>
              <w:spacing w:after="0" w:line="240" w:lineRule="auto"/>
              <w:ind w:right="-57"/>
              <w:rPr>
                <w:rFonts w:ascii="Arial Narrow" w:hAnsi="Arial Narrow"/>
                <w:b/>
                <w:sz w:val="20"/>
              </w:rPr>
            </w:pPr>
            <w:r w:rsidRPr="001D7E02">
              <w:rPr>
                <w:rFonts w:ascii="Arial Narrow" w:hAnsi="Arial Narrow"/>
                <w:b/>
                <w:sz w:val="20"/>
              </w:rPr>
              <w:t>p-value</w:t>
            </w:r>
          </w:p>
        </w:tc>
      </w:tr>
      <w:tr w:rsidR="00A813F1" w:rsidRPr="001D7E02" w14:paraId="21DE0E88" w14:textId="77777777" w:rsidTr="00837A27">
        <w:trPr>
          <w:trHeight w:val="205"/>
        </w:trPr>
        <w:tc>
          <w:tcPr>
            <w:tcW w:w="988" w:type="dxa"/>
          </w:tcPr>
          <w:p w14:paraId="3F62362F" w14:textId="77777777" w:rsidR="00A813F1" w:rsidRDefault="00A813F1" w:rsidP="00762873">
            <w:pPr>
              <w:spacing w:after="0" w:line="240" w:lineRule="auto"/>
              <w:ind w:right="-57"/>
              <w:rPr>
                <w:rFonts w:ascii="Arial Narrow" w:hAnsi="Arial Narrow"/>
                <w:sz w:val="20"/>
              </w:rPr>
            </w:pPr>
            <w:r w:rsidRPr="001D7E02">
              <w:rPr>
                <w:rFonts w:ascii="Arial Narrow" w:hAnsi="Arial Narrow"/>
                <w:sz w:val="20"/>
              </w:rPr>
              <w:t>Stochino-Loi et al. (2017)</w:t>
            </w:r>
          </w:p>
          <w:p w14:paraId="35C5732E" w14:textId="77777777" w:rsidR="006B3AEA" w:rsidRDefault="006B3AEA" w:rsidP="00762873">
            <w:pPr>
              <w:spacing w:after="0" w:line="240" w:lineRule="auto"/>
              <w:ind w:right="-57"/>
              <w:rPr>
                <w:rFonts w:ascii="Arial Narrow" w:hAnsi="Arial Narrow"/>
                <w:sz w:val="20"/>
              </w:rPr>
            </w:pPr>
          </w:p>
          <w:p w14:paraId="3F716594" w14:textId="72E077D6" w:rsidR="006B3AEA" w:rsidRPr="001D7E02" w:rsidRDefault="006B3AEA" w:rsidP="00762873">
            <w:pPr>
              <w:spacing w:after="0" w:line="240" w:lineRule="auto"/>
              <w:ind w:right="-57"/>
              <w:rPr>
                <w:rFonts w:ascii="Arial Narrow" w:hAnsi="Arial Narrow"/>
                <w:sz w:val="20"/>
              </w:rPr>
            </w:pPr>
            <w:r>
              <w:rPr>
                <w:rFonts w:ascii="Arial Narrow" w:hAnsi="Arial Narrow"/>
                <w:sz w:val="20"/>
              </w:rPr>
              <w:t>Moderate risk of bias</w:t>
            </w:r>
          </w:p>
        </w:tc>
        <w:tc>
          <w:tcPr>
            <w:tcW w:w="1656" w:type="dxa"/>
          </w:tcPr>
          <w:p w14:paraId="7C52B827"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b/>
                <w:sz w:val="20"/>
              </w:rPr>
              <w:t>N=180</w:t>
            </w:r>
            <w:r w:rsidRPr="001D7E02">
              <w:rPr>
                <w:rFonts w:ascii="Arial Narrow" w:hAnsi="Arial Narrow"/>
                <w:sz w:val="20"/>
              </w:rPr>
              <w:t xml:space="preserve"> endometriosis patients undergoing ovarian endometrioma ablation</w:t>
            </w:r>
          </w:p>
          <w:p w14:paraId="0C6FA4C3" w14:textId="77777777" w:rsidR="00A813F1" w:rsidRPr="001D7E02" w:rsidRDefault="00A813F1" w:rsidP="00762873">
            <w:pPr>
              <w:spacing w:after="0" w:line="240" w:lineRule="auto"/>
              <w:ind w:right="-57"/>
              <w:rPr>
                <w:rFonts w:ascii="Arial Narrow" w:hAnsi="Arial Narrow"/>
                <w:sz w:val="20"/>
              </w:rPr>
            </w:pPr>
          </w:p>
          <w:p w14:paraId="3210723B" w14:textId="7D201CE5" w:rsidR="00A813F1" w:rsidRPr="001D7E02" w:rsidRDefault="00A813F1" w:rsidP="00762873">
            <w:pPr>
              <w:spacing w:after="0" w:line="240" w:lineRule="auto"/>
              <w:ind w:right="-57"/>
              <w:rPr>
                <w:rFonts w:ascii="Arial Narrow" w:hAnsi="Arial Narrow"/>
                <w:sz w:val="20"/>
                <w:u w:val="single"/>
              </w:rPr>
            </w:pPr>
            <w:r w:rsidRPr="001D7E02">
              <w:rPr>
                <w:rFonts w:ascii="Arial Narrow" w:hAnsi="Arial Narrow"/>
                <w:sz w:val="20"/>
              </w:rPr>
              <w:t>Mean age: 30.5</w:t>
            </w:r>
            <w:r w:rsidR="00CB05BE" w:rsidRPr="00CB05BE">
              <w:rPr>
                <w:rFonts w:ascii="Arial Narrow" w:hAnsi="Arial Narrow"/>
                <w:sz w:val="20"/>
              </w:rPr>
              <w:t> ± </w:t>
            </w:r>
            <w:r w:rsidRPr="001D7E02">
              <w:rPr>
                <w:rFonts w:ascii="Arial Narrow" w:hAnsi="Arial Narrow"/>
                <w:sz w:val="20"/>
              </w:rPr>
              <w:t xml:space="preserve">4.1 years </w:t>
            </w:r>
          </w:p>
        </w:tc>
        <w:tc>
          <w:tcPr>
            <w:tcW w:w="1320" w:type="dxa"/>
          </w:tcPr>
          <w:p w14:paraId="3BFB0D69"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AMH was measured preoperatively</w:t>
            </w:r>
          </w:p>
          <w:p w14:paraId="293E5607" w14:textId="77777777" w:rsidR="00A813F1" w:rsidRPr="001D7E02" w:rsidRDefault="00A813F1" w:rsidP="00762873">
            <w:pPr>
              <w:spacing w:after="0" w:line="240" w:lineRule="auto"/>
              <w:ind w:right="-57"/>
              <w:rPr>
                <w:rFonts w:ascii="Arial Narrow" w:hAnsi="Arial Narrow"/>
                <w:sz w:val="20"/>
              </w:rPr>
            </w:pPr>
          </w:p>
          <w:p w14:paraId="37CEFAAE" w14:textId="77777777" w:rsidR="00311B6D" w:rsidRDefault="00A813F1" w:rsidP="00762873">
            <w:pPr>
              <w:spacing w:after="0" w:line="240" w:lineRule="auto"/>
              <w:ind w:right="-57"/>
              <w:rPr>
                <w:rFonts w:ascii="Arial Narrow" w:hAnsi="Arial Narrow"/>
                <w:sz w:val="20"/>
              </w:rPr>
            </w:pPr>
            <w:r w:rsidRPr="001D7E02">
              <w:rPr>
                <w:rFonts w:ascii="Arial Narrow" w:hAnsi="Arial Narrow"/>
                <w:sz w:val="20"/>
              </w:rPr>
              <w:t xml:space="preserve">Follow-up: </w:t>
            </w:r>
            <w:r w:rsidR="00035EEF">
              <w:rPr>
                <w:rFonts w:ascii="Arial Narrow" w:hAnsi="Arial Narrow"/>
                <w:sz w:val="20"/>
              </w:rPr>
              <w:t>&gt;</w:t>
            </w:r>
            <w:r w:rsidR="00311B6D">
              <w:rPr>
                <w:rFonts w:ascii="Arial Narrow" w:hAnsi="Arial Narrow"/>
                <w:sz w:val="20"/>
              </w:rPr>
              <w:t>1 year</w:t>
            </w:r>
          </w:p>
          <w:p w14:paraId="0FEF7E75" w14:textId="45E7AA25"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Questionnaires completed at 1</w:t>
            </w:r>
            <w:r w:rsidR="00594E1B">
              <w:rPr>
                <w:rFonts w:ascii="Arial Narrow" w:hAnsi="Arial Narrow"/>
                <w:sz w:val="20"/>
              </w:rPr>
              <w:t xml:space="preserve">, 3, and 5 years after </w:t>
            </w:r>
            <w:r w:rsidR="00311B6D">
              <w:rPr>
                <w:rFonts w:ascii="Arial Narrow" w:hAnsi="Arial Narrow"/>
                <w:sz w:val="20"/>
              </w:rPr>
              <w:t>surgery</w:t>
            </w:r>
          </w:p>
        </w:tc>
        <w:tc>
          <w:tcPr>
            <w:tcW w:w="1843" w:type="dxa"/>
          </w:tcPr>
          <w:p w14:paraId="71D31994"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Low: &lt;2 ng/mL (n=46)</w:t>
            </w:r>
          </w:p>
          <w:p w14:paraId="473F89D1" w14:textId="58F4AF90" w:rsidR="00A813F1" w:rsidRPr="001D7E02" w:rsidRDefault="00A813F1" w:rsidP="004D6D0A">
            <w:pPr>
              <w:spacing w:after="3480" w:line="240" w:lineRule="auto"/>
              <w:ind w:right="-57"/>
              <w:rPr>
                <w:rFonts w:ascii="Arial Narrow" w:hAnsi="Arial Narrow"/>
                <w:sz w:val="20"/>
              </w:rPr>
            </w:pPr>
            <w:r w:rsidRPr="001D7E02">
              <w:rPr>
                <w:rFonts w:ascii="Arial Narrow" w:hAnsi="Arial Narrow"/>
                <w:sz w:val="20"/>
              </w:rPr>
              <w:t>High:</w:t>
            </w:r>
            <w:r w:rsidRPr="00594E1B">
              <w:rPr>
                <w:rFonts w:ascii="Arial Narrow" w:hAnsi="Arial Narrow"/>
                <w:sz w:val="20"/>
              </w:rPr>
              <w:t xml:space="preserve"> </w:t>
            </w:r>
            <w:r w:rsidRPr="001D7E02">
              <w:rPr>
                <w:rFonts w:ascii="Arial Narrow" w:hAnsi="Arial Narrow"/>
                <w:sz w:val="20"/>
              </w:rPr>
              <w:t>≥2 ng/mL (n=134)</w:t>
            </w:r>
          </w:p>
          <w:p w14:paraId="19056C53"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Low: &lt;1 ng/mL (n=22)</w:t>
            </w:r>
          </w:p>
          <w:p w14:paraId="001969D3"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Normal: 1-1.9 ng/mL (n=24)</w:t>
            </w:r>
          </w:p>
          <w:p w14:paraId="69FD639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High: ≥2 ng/mL (n=134)</w:t>
            </w:r>
          </w:p>
        </w:tc>
        <w:tc>
          <w:tcPr>
            <w:tcW w:w="2552" w:type="dxa"/>
          </w:tcPr>
          <w:p w14:paraId="38E1C06B" w14:textId="7546B0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00387A03">
              <w:rPr>
                <w:rFonts w:ascii="Arial Narrow" w:hAnsi="Arial Narrow"/>
                <w:sz w:val="20"/>
              </w:rPr>
              <w:t>: 34/4</w:t>
            </w:r>
            <w:r w:rsidRPr="001D7E02">
              <w:rPr>
                <w:rFonts w:ascii="Arial Narrow" w:hAnsi="Arial Narrow"/>
                <w:sz w:val="20"/>
              </w:rPr>
              <w:t>6 (73.9%)</w:t>
            </w:r>
          </w:p>
          <w:p w14:paraId="479F8AF5"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Through ART: 14/34 (41.2%)</w:t>
            </w:r>
          </w:p>
          <w:p w14:paraId="4EA2BAC9"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Spontaneous: 20/34 (58.8%)</w:t>
            </w:r>
          </w:p>
          <w:p w14:paraId="53E48C6E" w14:textId="77777777" w:rsidR="00A813F1" w:rsidRPr="001D7E02" w:rsidRDefault="00A813F1" w:rsidP="00762873">
            <w:pPr>
              <w:spacing w:after="0" w:line="240" w:lineRule="auto"/>
              <w:ind w:right="-57"/>
              <w:rPr>
                <w:rFonts w:ascii="Arial Narrow" w:hAnsi="Arial Narrow"/>
                <w:sz w:val="20"/>
                <w:u w:val="single"/>
              </w:rPr>
            </w:pPr>
          </w:p>
          <w:p w14:paraId="01EC48E2" w14:textId="77777777" w:rsidR="00A813F1" w:rsidRPr="001D7E02" w:rsidRDefault="00A813F1" w:rsidP="00762873">
            <w:pPr>
              <w:spacing w:after="0" w:line="240" w:lineRule="auto"/>
              <w:ind w:right="-57"/>
              <w:rPr>
                <w:rFonts w:ascii="Arial Narrow" w:hAnsi="Arial Narrow"/>
                <w:sz w:val="20"/>
                <w:u w:val="single"/>
              </w:rPr>
            </w:pPr>
            <w:r w:rsidRPr="001D7E02">
              <w:rPr>
                <w:rFonts w:ascii="Arial Narrow" w:hAnsi="Arial Narrow"/>
                <w:sz w:val="20"/>
                <w:u w:val="single"/>
              </w:rPr>
              <w:t>Probability of pregnancy</w:t>
            </w:r>
          </w:p>
          <w:p w14:paraId="60B4AF4F" w14:textId="70C8D2AE" w:rsidR="00A813F1" w:rsidRPr="001D7E02" w:rsidRDefault="00992BCE" w:rsidP="00762873">
            <w:pPr>
              <w:spacing w:after="0" w:line="240" w:lineRule="auto"/>
              <w:ind w:right="-57"/>
              <w:rPr>
                <w:rFonts w:ascii="Arial Narrow" w:hAnsi="Arial Narrow"/>
                <w:sz w:val="20"/>
              </w:rPr>
            </w:pPr>
            <w:r>
              <w:rPr>
                <w:rFonts w:ascii="Arial Narrow" w:hAnsi="Arial Narrow"/>
                <w:sz w:val="20"/>
              </w:rPr>
              <w:t>12 month follow-up: 50% [95%CI 34, 69%]</w:t>
            </w:r>
          </w:p>
          <w:p w14:paraId="0EB66629" w14:textId="561F3662" w:rsidR="00A813F1" w:rsidRPr="001D7E02" w:rsidRDefault="00992BCE" w:rsidP="00762873">
            <w:pPr>
              <w:spacing w:after="0" w:line="240" w:lineRule="auto"/>
              <w:ind w:right="-57"/>
              <w:rPr>
                <w:rFonts w:ascii="Arial Narrow" w:hAnsi="Arial Narrow"/>
                <w:sz w:val="20"/>
              </w:rPr>
            </w:pPr>
            <w:r>
              <w:rPr>
                <w:rFonts w:ascii="Arial Narrow" w:hAnsi="Arial Narrow"/>
                <w:sz w:val="20"/>
              </w:rPr>
              <w:t>24 month follow-up: 77% [95%CI 61, 90%]</w:t>
            </w:r>
          </w:p>
          <w:p w14:paraId="0679F210" w14:textId="1891E58B" w:rsidR="00A813F1" w:rsidRPr="001D7E02" w:rsidRDefault="00992BCE" w:rsidP="00762873">
            <w:pPr>
              <w:spacing w:after="0" w:line="240" w:lineRule="auto"/>
              <w:ind w:right="-57"/>
              <w:rPr>
                <w:rFonts w:ascii="Arial Narrow" w:hAnsi="Arial Narrow"/>
                <w:sz w:val="20"/>
              </w:rPr>
            </w:pPr>
            <w:r>
              <w:rPr>
                <w:rFonts w:ascii="Arial Narrow" w:hAnsi="Arial Narrow"/>
                <w:sz w:val="20"/>
              </w:rPr>
              <w:t>36 month follow-up: 83% [95%CI 68, 94%]</w:t>
            </w:r>
          </w:p>
          <w:p w14:paraId="0F480803" w14:textId="7519684B" w:rsidR="00A813F1" w:rsidRPr="001D7E02" w:rsidRDefault="00A813F1" w:rsidP="00762873">
            <w:pPr>
              <w:spacing w:after="0" w:line="240" w:lineRule="auto"/>
              <w:ind w:right="-57"/>
              <w:rPr>
                <w:rFonts w:ascii="Arial Narrow" w:hAnsi="Arial Narrow"/>
                <w:sz w:val="20"/>
                <w:u w:val="single"/>
              </w:rPr>
            </w:pPr>
          </w:p>
          <w:p w14:paraId="59681768" w14:textId="77777777" w:rsidR="00A813F1" w:rsidRPr="001D7E02" w:rsidRDefault="00A813F1" w:rsidP="00762873">
            <w:pPr>
              <w:spacing w:after="0" w:line="240" w:lineRule="auto"/>
              <w:ind w:right="-57"/>
              <w:rPr>
                <w:rFonts w:ascii="Arial Narrow" w:hAnsi="Arial Narrow"/>
                <w:sz w:val="20"/>
                <w:u w:val="single"/>
              </w:rPr>
            </w:pPr>
            <w:r w:rsidRPr="001D7E02">
              <w:rPr>
                <w:rFonts w:ascii="Arial Narrow" w:hAnsi="Arial Narrow"/>
                <w:sz w:val="20"/>
                <w:u w:val="single"/>
              </w:rPr>
              <w:t>Pregnancy outcomes</w:t>
            </w:r>
          </w:p>
          <w:p w14:paraId="5F493BE7" w14:textId="77777777" w:rsidR="007518CF" w:rsidRDefault="00A813F1" w:rsidP="00762873">
            <w:pPr>
              <w:spacing w:after="0" w:line="240" w:lineRule="auto"/>
              <w:ind w:right="-57"/>
              <w:rPr>
                <w:rFonts w:ascii="Arial Narrow" w:hAnsi="Arial Narrow"/>
                <w:sz w:val="20"/>
              </w:rPr>
            </w:pPr>
            <w:r w:rsidRPr="001D7E02">
              <w:rPr>
                <w:rFonts w:ascii="Arial Narrow" w:hAnsi="Arial Narrow"/>
                <w:sz w:val="20"/>
              </w:rPr>
              <w:t>Ongoing (&gt;12wk): 4/34 (11.8%)</w:t>
            </w:r>
          </w:p>
          <w:p w14:paraId="62ECD8D1" w14:textId="32800A57" w:rsidR="00A813F1" w:rsidRPr="001D7E02" w:rsidRDefault="00594E1B" w:rsidP="00762873">
            <w:pPr>
              <w:spacing w:after="0" w:line="240" w:lineRule="auto"/>
              <w:ind w:right="-57"/>
              <w:rPr>
                <w:rFonts w:ascii="Arial Narrow" w:hAnsi="Arial Narrow"/>
                <w:sz w:val="20"/>
              </w:rPr>
            </w:pPr>
            <w:r>
              <w:rPr>
                <w:rFonts w:ascii="Arial Narrow" w:hAnsi="Arial Narrow"/>
                <w:sz w:val="20"/>
              </w:rPr>
              <w:t>Delivery: 25/34 (73.5%)</w:t>
            </w:r>
          </w:p>
          <w:p w14:paraId="3346C45C"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Miscarriage: 4/34 (11.8%)</w:t>
            </w:r>
          </w:p>
          <w:p w14:paraId="3CE7CF9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Ectopic pregnancy: 1/34 (2.9%)</w:t>
            </w:r>
          </w:p>
          <w:p w14:paraId="2414C434" w14:textId="77777777" w:rsidR="00A813F1" w:rsidRPr="001D7E02" w:rsidRDefault="00A813F1" w:rsidP="00762873">
            <w:pPr>
              <w:spacing w:after="0" w:line="240" w:lineRule="auto"/>
              <w:ind w:right="-57"/>
              <w:rPr>
                <w:rFonts w:ascii="Arial Narrow" w:hAnsi="Arial Narrow"/>
                <w:sz w:val="20"/>
              </w:rPr>
            </w:pPr>
          </w:p>
          <w:p w14:paraId="4BB7D6A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 15/22 (68.2%)</w:t>
            </w:r>
          </w:p>
          <w:p w14:paraId="66B1D339"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Through ART: 5/15 (33.3%)</w:t>
            </w:r>
          </w:p>
          <w:p w14:paraId="4F0131C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Spontaneous: 10/15 (66.7%)</w:t>
            </w:r>
          </w:p>
          <w:p w14:paraId="7BDEC992" w14:textId="77777777" w:rsidR="00A813F1" w:rsidRPr="001D7E02" w:rsidRDefault="00A813F1" w:rsidP="00762873">
            <w:pPr>
              <w:spacing w:after="0" w:line="240" w:lineRule="auto"/>
              <w:ind w:right="-57"/>
              <w:rPr>
                <w:rFonts w:ascii="Arial Narrow" w:hAnsi="Arial Narrow"/>
                <w:sz w:val="20"/>
              </w:rPr>
            </w:pPr>
          </w:p>
          <w:p w14:paraId="2CE7EE09" w14:textId="77777777" w:rsidR="00A813F1" w:rsidRPr="001D7E02" w:rsidRDefault="00A813F1" w:rsidP="00762873">
            <w:pPr>
              <w:spacing w:after="0" w:line="240" w:lineRule="auto"/>
              <w:ind w:right="-57"/>
              <w:rPr>
                <w:rFonts w:ascii="Arial Narrow" w:hAnsi="Arial Narrow"/>
                <w:sz w:val="20"/>
                <w:u w:val="single"/>
              </w:rPr>
            </w:pPr>
            <w:r w:rsidRPr="001D7E02">
              <w:rPr>
                <w:rFonts w:ascii="Arial Narrow" w:hAnsi="Arial Narrow"/>
                <w:sz w:val="20"/>
                <w:u w:val="single"/>
              </w:rPr>
              <w:t>Pregnancy outcomes</w:t>
            </w:r>
          </w:p>
          <w:p w14:paraId="58A39CD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Ongoing (&gt;12wk): 0/15 (0%)</w:t>
            </w:r>
          </w:p>
          <w:p w14:paraId="17C3FE0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Delivery: 13/15 (86.7%)</w:t>
            </w:r>
          </w:p>
          <w:p w14:paraId="54F629CA"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Miscarriage: 1/15 (6.7%)</w:t>
            </w:r>
          </w:p>
          <w:p w14:paraId="02AE07E6" w14:textId="16664438" w:rsidR="00A813F1" w:rsidRPr="001D7E02" w:rsidRDefault="00992BCE" w:rsidP="00762873">
            <w:pPr>
              <w:spacing w:after="0" w:line="240" w:lineRule="auto"/>
              <w:ind w:right="-57"/>
              <w:rPr>
                <w:rFonts w:ascii="Arial Narrow" w:hAnsi="Arial Narrow"/>
                <w:sz w:val="20"/>
              </w:rPr>
            </w:pPr>
            <w:r>
              <w:rPr>
                <w:rFonts w:ascii="Arial Narrow" w:hAnsi="Arial Narrow"/>
                <w:sz w:val="20"/>
              </w:rPr>
              <w:t>Ectopic pregnancy: 0/15 (0</w:t>
            </w:r>
            <w:r w:rsidR="00A813F1" w:rsidRPr="001D7E02">
              <w:rPr>
                <w:rFonts w:ascii="Arial Narrow" w:hAnsi="Arial Narrow"/>
                <w:sz w:val="20"/>
              </w:rPr>
              <w:t>)</w:t>
            </w:r>
          </w:p>
        </w:tc>
        <w:tc>
          <w:tcPr>
            <w:tcW w:w="2315" w:type="dxa"/>
          </w:tcPr>
          <w:p w14:paraId="6971AA0A" w14:textId="77777777" w:rsidR="00A813F1" w:rsidRPr="001D7E02" w:rsidRDefault="00A813F1" w:rsidP="00762873">
            <w:pPr>
              <w:spacing w:after="0" w:line="240" w:lineRule="auto"/>
              <w:ind w:right="-57"/>
              <w:rPr>
                <w:rFonts w:ascii="Arial Narrow" w:hAnsi="Arial Narrow"/>
                <w:sz w:val="20"/>
              </w:rPr>
            </w:pPr>
          </w:p>
          <w:p w14:paraId="0F85D445" w14:textId="77777777" w:rsidR="00A813F1" w:rsidRPr="001D7E02" w:rsidRDefault="00A813F1" w:rsidP="004D6D0A">
            <w:pPr>
              <w:spacing w:after="3600" w:line="240" w:lineRule="auto"/>
              <w:ind w:right="-57"/>
              <w:rPr>
                <w:rFonts w:ascii="Arial Narrow" w:hAnsi="Arial Narrow"/>
                <w:sz w:val="20"/>
              </w:rPr>
            </w:pPr>
          </w:p>
          <w:p w14:paraId="1C2D1583"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 19/24 (79.2%)</w:t>
            </w:r>
          </w:p>
          <w:p w14:paraId="089F1025"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Through ART: 9/19 (47.4%)</w:t>
            </w:r>
          </w:p>
          <w:p w14:paraId="593B0ED7"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Spontaneous: 10/19 (52.6%)</w:t>
            </w:r>
          </w:p>
          <w:p w14:paraId="49B53F2C" w14:textId="77777777" w:rsidR="00A813F1" w:rsidRPr="001D7E02" w:rsidRDefault="00A813F1" w:rsidP="00762873">
            <w:pPr>
              <w:spacing w:after="0" w:line="240" w:lineRule="auto"/>
              <w:ind w:right="-57"/>
              <w:rPr>
                <w:rFonts w:ascii="Arial Narrow" w:hAnsi="Arial Narrow"/>
                <w:sz w:val="20"/>
              </w:rPr>
            </w:pPr>
          </w:p>
          <w:p w14:paraId="4945587F" w14:textId="77777777" w:rsidR="00A813F1" w:rsidRPr="001D7E02" w:rsidRDefault="00A813F1" w:rsidP="00762873">
            <w:pPr>
              <w:spacing w:after="0" w:line="240" w:lineRule="auto"/>
              <w:ind w:right="-57"/>
              <w:rPr>
                <w:rFonts w:ascii="Arial Narrow" w:hAnsi="Arial Narrow"/>
                <w:sz w:val="20"/>
                <w:u w:val="single"/>
              </w:rPr>
            </w:pPr>
            <w:r w:rsidRPr="001D7E02">
              <w:rPr>
                <w:rFonts w:ascii="Arial Narrow" w:hAnsi="Arial Narrow"/>
                <w:sz w:val="20"/>
                <w:u w:val="single"/>
              </w:rPr>
              <w:t>Pregnancy outcomes</w:t>
            </w:r>
          </w:p>
          <w:p w14:paraId="0460CDF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Ongoing (&gt;12wk): 4/19 (21%)</w:t>
            </w:r>
          </w:p>
          <w:p w14:paraId="10CB3230"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Delivery: 13/19 (68.4%)</w:t>
            </w:r>
          </w:p>
          <w:p w14:paraId="5E5115A8"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Miscarriage: 2/19 (10.5%)</w:t>
            </w:r>
          </w:p>
          <w:p w14:paraId="67B8AD0A"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Ectopic pregnancy: 1/19 (4.2%)</w:t>
            </w:r>
          </w:p>
        </w:tc>
        <w:tc>
          <w:tcPr>
            <w:tcW w:w="2505" w:type="dxa"/>
          </w:tcPr>
          <w:p w14:paraId="32D33EC3" w14:textId="0EF931C6"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00594E1B">
              <w:rPr>
                <w:rFonts w:ascii="Arial Narrow" w:hAnsi="Arial Narrow"/>
                <w:sz w:val="20"/>
              </w:rPr>
              <w:t>: 100/134 (74.6%)</w:t>
            </w:r>
          </w:p>
          <w:p w14:paraId="6D1B886B"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Through ART: 46/100 (46%)</w:t>
            </w:r>
          </w:p>
          <w:p w14:paraId="544D58F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Spontaneous: 54/100 (54%)</w:t>
            </w:r>
          </w:p>
          <w:p w14:paraId="365A214B" w14:textId="77777777" w:rsidR="00A813F1" w:rsidRPr="001D7E02" w:rsidRDefault="00A813F1" w:rsidP="00762873">
            <w:pPr>
              <w:spacing w:after="0" w:line="240" w:lineRule="auto"/>
              <w:ind w:right="-57"/>
              <w:rPr>
                <w:rFonts w:ascii="Arial Narrow" w:hAnsi="Arial Narrow"/>
                <w:sz w:val="20"/>
                <w:u w:val="single"/>
              </w:rPr>
            </w:pPr>
          </w:p>
          <w:p w14:paraId="3ABC0ADF" w14:textId="77777777" w:rsidR="00A813F1" w:rsidRPr="001D7E02" w:rsidRDefault="00A813F1" w:rsidP="00762873">
            <w:pPr>
              <w:spacing w:after="0" w:line="240" w:lineRule="auto"/>
              <w:ind w:right="-57"/>
              <w:rPr>
                <w:rFonts w:ascii="Arial Narrow" w:hAnsi="Arial Narrow"/>
                <w:sz w:val="20"/>
                <w:u w:val="single"/>
              </w:rPr>
            </w:pPr>
            <w:r w:rsidRPr="001D7E02">
              <w:rPr>
                <w:rFonts w:ascii="Arial Narrow" w:hAnsi="Arial Narrow"/>
                <w:sz w:val="20"/>
                <w:u w:val="single"/>
              </w:rPr>
              <w:t>Probability of pregnancy</w:t>
            </w:r>
          </w:p>
          <w:p w14:paraId="5AF9D192" w14:textId="05850CEA" w:rsidR="00A813F1" w:rsidRPr="001D7E02" w:rsidRDefault="00992BCE" w:rsidP="00762873">
            <w:pPr>
              <w:spacing w:after="0" w:line="240" w:lineRule="auto"/>
              <w:ind w:right="-57"/>
              <w:rPr>
                <w:rFonts w:ascii="Arial Narrow" w:hAnsi="Arial Narrow"/>
                <w:sz w:val="20"/>
              </w:rPr>
            </w:pPr>
            <w:r>
              <w:rPr>
                <w:rFonts w:ascii="Arial Narrow" w:hAnsi="Arial Narrow"/>
                <w:sz w:val="20"/>
              </w:rPr>
              <w:t>12 month follow-up: 65% [95%CI 55, 75%]</w:t>
            </w:r>
          </w:p>
          <w:p w14:paraId="3CE9AF99" w14:textId="3EC2F8FD"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24</w:t>
            </w:r>
            <w:r w:rsidR="00992BCE">
              <w:rPr>
                <w:rFonts w:ascii="Arial Narrow" w:hAnsi="Arial Narrow"/>
                <w:sz w:val="20"/>
              </w:rPr>
              <w:t xml:space="preserve"> month follow-up: 77% [95%CI 68, 86%]</w:t>
            </w:r>
          </w:p>
          <w:p w14:paraId="6C024716" w14:textId="4F9AAF7A"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36</w:t>
            </w:r>
            <w:r w:rsidR="00992BCE">
              <w:rPr>
                <w:rFonts w:ascii="Arial Narrow" w:hAnsi="Arial Narrow"/>
                <w:sz w:val="20"/>
              </w:rPr>
              <w:t xml:space="preserve"> month follow-up: 83% [95%CI 75, 90%]</w:t>
            </w:r>
          </w:p>
          <w:p w14:paraId="2E6E1446" w14:textId="77777777" w:rsidR="00A813F1" w:rsidRPr="001D7E02" w:rsidRDefault="00A813F1" w:rsidP="00762873">
            <w:pPr>
              <w:spacing w:after="0" w:line="240" w:lineRule="auto"/>
              <w:ind w:right="-57"/>
              <w:rPr>
                <w:rFonts w:ascii="Arial Narrow" w:hAnsi="Arial Narrow"/>
                <w:sz w:val="20"/>
              </w:rPr>
            </w:pPr>
          </w:p>
          <w:p w14:paraId="500C8FE1" w14:textId="77777777" w:rsidR="00A813F1" w:rsidRPr="001D7E02" w:rsidRDefault="00A813F1" w:rsidP="00762873">
            <w:pPr>
              <w:spacing w:after="0" w:line="240" w:lineRule="auto"/>
              <w:ind w:right="-57"/>
              <w:rPr>
                <w:rFonts w:ascii="Arial Narrow" w:hAnsi="Arial Narrow"/>
                <w:sz w:val="20"/>
                <w:u w:val="single"/>
              </w:rPr>
            </w:pPr>
            <w:r w:rsidRPr="001D7E02">
              <w:rPr>
                <w:rFonts w:ascii="Arial Narrow" w:hAnsi="Arial Narrow"/>
                <w:sz w:val="20"/>
                <w:u w:val="single"/>
              </w:rPr>
              <w:t>Pregnancy outcomes</w:t>
            </w:r>
          </w:p>
          <w:p w14:paraId="0CF88B66"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Ongoing (&gt;12wk): 21/100 (21%)</w:t>
            </w:r>
          </w:p>
          <w:p w14:paraId="360887AB"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 xml:space="preserve">Delivery: 72/100 (72%) </w:t>
            </w:r>
            <w:r w:rsidRPr="001D7E02">
              <w:rPr>
                <w:rFonts w:ascii="Arial Narrow" w:hAnsi="Arial Narrow"/>
                <w:sz w:val="20"/>
              </w:rPr>
              <w:tab/>
            </w:r>
          </w:p>
          <w:p w14:paraId="00498D2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Miscarriage: 7/100 (7%)</w:t>
            </w:r>
          </w:p>
          <w:p w14:paraId="20B7F4F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Ectopic pregnancy: 0/100 (0%)</w:t>
            </w:r>
          </w:p>
          <w:p w14:paraId="4C3CA61B" w14:textId="77777777" w:rsidR="00A813F1" w:rsidRPr="001D7E02" w:rsidRDefault="00A813F1" w:rsidP="00762873">
            <w:pPr>
              <w:spacing w:after="0" w:line="240" w:lineRule="auto"/>
              <w:ind w:right="-57"/>
              <w:rPr>
                <w:rFonts w:ascii="Arial Narrow" w:hAnsi="Arial Narrow"/>
                <w:sz w:val="20"/>
              </w:rPr>
            </w:pPr>
          </w:p>
          <w:p w14:paraId="4DBD38E4"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 100/134 (74.6%)</w:t>
            </w:r>
          </w:p>
          <w:p w14:paraId="6F3C6FEC"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Through ART: 46/100 (46%)</w:t>
            </w:r>
          </w:p>
          <w:p w14:paraId="7C9E9C8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Spontaneous: 54/100 (54%)</w:t>
            </w:r>
          </w:p>
          <w:p w14:paraId="6BE8DC1C" w14:textId="77777777" w:rsidR="00A813F1" w:rsidRPr="001D7E02" w:rsidRDefault="00A813F1" w:rsidP="00762873">
            <w:pPr>
              <w:spacing w:after="0" w:line="240" w:lineRule="auto"/>
              <w:ind w:right="-57"/>
              <w:rPr>
                <w:rFonts w:ascii="Arial Narrow" w:hAnsi="Arial Narrow"/>
                <w:sz w:val="20"/>
              </w:rPr>
            </w:pPr>
          </w:p>
          <w:p w14:paraId="5F5106FF" w14:textId="77777777" w:rsidR="00A813F1" w:rsidRPr="001D7E02" w:rsidRDefault="00A813F1" w:rsidP="00762873">
            <w:pPr>
              <w:spacing w:after="0" w:line="240" w:lineRule="auto"/>
              <w:ind w:right="-57"/>
              <w:rPr>
                <w:rFonts w:ascii="Arial Narrow" w:hAnsi="Arial Narrow"/>
                <w:sz w:val="20"/>
                <w:u w:val="single"/>
              </w:rPr>
            </w:pPr>
            <w:r w:rsidRPr="001D7E02">
              <w:rPr>
                <w:rFonts w:ascii="Arial Narrow" w:hAnsi="Arial Narrow"/>
                <w:sz w:val="20"/>
                <w:u w:val="single"/>
              </w:rPr>
              <w:t>Pregnancy outcomes</w:t>
            </w:r>
          </w:p>
          <w:p w14:paraId="428642F9"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Ongoing (&gt;12wk): 21/100 (21%)</w:t>
            </w:r>
          </w:p>
          <w:p w14:paraId="33C4183C"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Delivery: 72/100 (72%)</w:t>
            </w:r>
          </w:p>
          <w:p w14:paraId="04E27E1B"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Miscarriage: 7/100 (7%)</w:t>
            </w:r>
          </w:p>
          <w:p w14:paraId="000C9027"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Ectopic pregnancy: 0/100 (0%)</w:t>
            </w:r>
          </w:p>
        </w:tc>
        <w:tc>
          <w:tcPr>
            <w:tcW w:w="769" w:type="dxa"/>
          </w:tcPr>
          <w:p w14:paraId="7D02E070"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0.53</w:t>
            </w:r>
          </w:p>
          <w:p w14:paraId="72691256"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0.39</w:t>
            </w:r>
          </w:p>
          <w:p w14:paraId="43F15937" w14:textId="77777777" w:rsidR="00A813F1" w:rsidRPr="001D7E02" w:rsidRDefault="00A813F1" w:rsidP="00762873">
            <w:pPr>
              <w:spacing w:after="0" w:line="240" w:lineRule="auto"/>
              <w:ind w:right="-57"/>
              <w:rPr>
                <w:rFonts w:ascii="Arial Narrow" w:hAnsi="Arial Narrow"/>
                <w:sz w:val="20"/>
              </w:rPr>
            </w:pPr>
          </w:p>
          <w:p w14:paraId="1CF86315" w14:textId="77777777" w:rsidR="00A813F1" w:rsidRPr="001D7E02" w:rsidRDefault="00A813F1" w:rsidP="00762873">
            <w:pPr>
              <w:spacing w:after="0" w:line="240" w:lineRule="auto"/>
              <w:ind w:right="-57"/>
              <w:rPr>
                <w:rFonts w:ascii="Arial Narrow" w:hAnsi="Arial Narrow"/>
                <w:sz w:val="20"/>
              </w:rPr>
            </w:pPr>
          </w:p>
          <w:p w14:paraId="7FFDD6C5"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0.19</w:t>
            </w:r>
          </w:p>
          <w:p w14:paraId="6E53F5AE" w14:textId="77777777" w:rsidR="00A813F1" w:rsidRPr="001D7E02" w:rsidRDefault="00A813F1" w:rsidP="004D6D0A">
            <w:pPr>
              <w:spacing w:after="1440" w:line="240" w:lineRule="auto"/>
              <w:ind w:right="-57"/>
              <w:rPr>
                <w:rFonts w:ascii="Arial Narrow" w:hAnsi="Arial Narrow"/>
                <w:sz w:val="20"/>
              </w:rPr>
            </w:pPr>
          </w:p>
          <w:p w14:paraId="26051191"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0.18</w:t>
            </w:r>
          </w:p>
          <w:p w14:paraId="5C8C9C0F" w14:textId="77777777" w:rsidR="00A813F1" w:rsidRPr="001D7E02" w:rsidRDefault="00A813F1" w:rsidP="004D6D0A">
            <w:pPr>
              <w:spacing w:after="840" w:line="240" w:lineRule="auto"/>
              <w:ind w:right="-57"/>
              <w:rPr>
                <w:rFonts w:ascii="Arial Narrow" w:hAnsi="Arial Narrow"/>
                <w:sz w:val="20"/>
              </w:rPr>
            </w:pPr>
          </w:p>
          <w:p w14:paraId="194BE3B6"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0.69</w:t>
            </w:r>
          </w:p>
          <w:p w14:paraId="0F6B850D"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0.63</w:t>
            </w:r>
          </w:p>
          <w:p w14:paraId="2ADC0596" w14:textId="77777777" w:rsidR="00A813F1" w:rsidRPr="001D7E02" w:rsidRDefault="00A813F1" w:rsidP="00762873">
            <w:pPr>
              <w:spacing w:after="0" w:line="240" w:lineRule="auto"/>
              <w:ind w:right="-57"/>
              <w:rPr>
                <w:rFonts w:ascii="Arial Narrow" w:hAnsi="Arial Narrow"/>
                <w:sz w:val="20"/>
              </w:rPr>
            </w:pPr>
          </w:p>
          <w:p w14:paraId="55CF185E" w14:textId="77777777" w:rsidR="00A813F1" w:rsidRPr="001D7E02" w:rsidRDefault="00A813F1" w:rsidP="00762873">
            <w:pPr>
              <w:spacing w:after="0" w:line="240" w:lineRule="auto"/>
              <w:ind w:right="-57"/>
              <w:rPr>
                <w:rFonts w:ascii="Arial Narrow" w:hAnsi="Arial Narrow"/>
                <w:sz w:val="20"/>
              </w:rPr>
            </w:pPr>
          </w:p>
          <w:p w14:paraId="04E6B5E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0.07</w:t>
            </w:r>
          </w:p>
        </w:tc>
      </w:tr>
      <w:tr w:rsidR="00A813F1" w:rsidRPr="001D7E02" w14:paraId="432974BB" w14:textId="77777777" w:rsidTr="00837A27">
        <w:trPr>
          <w:trHeight w:val="2446"/>
        </w:trPr>
        <w:tc>
          <w:tcPr>
            <w:tcW w:w="988" w:type="dxa"/>
          </w:tcPr>
          <w:p w14:paraId="28623B90" w14:textId="77777777" w:rsidR="006B3AEA" w:rsidRDefault="00A813F1" w:rsidP="00762873">
            <w:pPr>
              <w:spacing w:after="0" w:line="240" w:lineRule="auto"/>
              <w:ind w:right="-57"/>
              <w:rPr>
                <w:rFonts w:ascii="Arial Narrow" w:hAnsi="Arial Narrow"/>
                <w:sz w:val="20"/>
              </w:rPr>
            </w:pPr>
            <w:r w:rsidRPr="001D7E02">
              <w:rPr>
                <w:rFonts w:ascii="Arial Narrow" w:hAnsi="Arial Narrow"/>
                <w:sz w:val="20"/>
              </w:rPr>
              <w:lastRenderedPageBreak/>
              <w:t>Hamy et al. (2016)</w:t>
            </w:r>
          </w:p>
          <w:p w14:paraId="50928A1E" w14:textId="77777777" w:rsidR="006B3AEA" w:rsidRDefault="006B3AEA" w:rsidP="00762873">
            <w:pPr>
              <w:spacing w:after="0" w:line="240" w:lineRule="auto"/>
              <w:ind w:right="-57"/>
              <w:rPr>
                <w:rFonts w:ascii="Arial Narrow" w:hAnsi="Arial Narrow"/>
                <w:sz w:val="20"/>
              </w:rPr>
            </w:pPr>
          </w:p>
          <w:p w14:paraId="5EE02B2E" w14:textId="20C9872E" w:rsidR="00A813F1" w:rsidRPr="001D7E02" w:rsidRDefault="006B3AEA" w:rsidP="00762873">
            <w:pPr>
              <w:spacing w:after="0" w:line="240" w:lineRule="auto"/>
              <w:ind w:right="-57"/>
              <w:rPr>
                <w:rFonts w:ascii="Arial Narrow" w:hAnsi="Arial Narrow"/>
                <w:sz w:val="20"/>
              </w:rPr>
            </w:pPr>
            <w:r>
              <w:rPr>
                <w:rFonts w:ascii="Arial Narrow" w:hAnsi="Arial Narrow"/>
                <w:sz w:val="20"/>
              </w:rPr>
              <w:t>Moderate risk of bias</w:t>
            </w:r>
            <w:r w:rsidR="00A813F1" w:rsidRPr="001D7E02">
              <w:rPr>
                <w:rFonts w:ascii="Arial Narrow" w:hAnsi="Arial Narrow"/>
                <w:sz w:val="20"/>
              </w:rPr>
              <w:t xml:space="preserve"> </w:t>
            </w:r>
          </w:p>
        </w:tc>
        <w:tc>
          <w:tcPr>
            <w:tcW w:w="1656" w:type="dxa"/>
          </w:tcPr>
          <w:p w14:paraId="58E57141" w14:textId="65219509" w:rsidR="00A813F1" w:rsidRPr="001D7E02" w:rsidRDefault="00A813F1" w:rsidP="00762873">
            <w:pPr>
              <w:spacing w:after="0" w:line="240" w:lineRule="auto"/>
              <w:ind w:right="-57"/>
              <w:rPr>
                <w:rFonts w:ascii="Arial Narrow" w:hAnsi="Arial Narrow"/>
                <w:sz w:val="20"/>
              </w:rPr>
            </w:pPr>
            <w:r w:rsidRPr="001D7E02">
              <w:rPr>
                <w:rFonts w:ascii="Arial Narrow" w:hAnsi="Arial Narrow"/>
                <w:b/>
                <w:sz w:val="20"/>
              </w:rPr>
              <w:t>N</w:t>
            </w:r>
            <w:r w:rsidR="00846BA5">
              <w:rPr>
                <w:rFonts w:ascii="Arial Narrow" w:hAnsi="Arial Narrow"/>
                <w:b/>
                <w:sz w:val="20"/>
              </w:rPr>
              <w:t>=</w:t>
            </w:r>
            <w:r w:rsidRPr="001D7E02">
              <w:rPr>
                <w:rFonts w:ascii="Arial Narrow" w:hAnsi="Arial Narrow"/>
                <w:b/>
                <w:sz w:val="20"/>
              </w:rPr>
              <w:t>134</w:t>
            </w:r>
            <w:r w:rsidRPr="001D7E02">
              <w:rPr>
                <w:rFonts w:ascii="Arial Narrow" w:hAnsi="Arial Narrow"/>
                <w:sz w:val="20"/>
              </w:rPr>
              <w:t xml:space="preserve"> women with breast cancer</w:t>
            </w:r>
          </w:p>
          <w:p w14:paraId="7536B9E1" w14:textId="77777777" w:rsidR="00A813F1" w:rsidRPr="001D7E02" w:rsidRDefault="00A813F1" w:rsidP="00762873">
            <w:pPr>
              <w:spacing w:after="0" w:line="240" w:lineRule="auto"/>
              <w:ind w:right="-57"/>
              <w:rPr>
                <w:rFonts w:ascii="Arial Narrow" w:hAnsi="Arial Narrow"/>
                <w:sz w:val="20"/>
              </w:rPr>
            </w:pPr>
          </w:p>
          <w:p w14:paraId="4F85E2D3" w14:textId="711F4337" w:rsidR="00A813F1" w:rsidRPr="001D7E02" w:rsidRDefault="00311B6D" w:rsidP="00762873">
            <w:pPr>
              <w:spacing w:after="0" w:line="240" w:lineRule="auto"/>
              <w:ind w:right="-57"/>
              <w:rPr>
                <w:rFonts w:ascii="Arial Narrow" w:hAnsi="Arial Narrow"/>
                <w:sz w:val="20"/>
              </w:rPr>
            </w:pPr>
            <w:r>
              <w:rPr>
                <w:rFonts w:ascii="Arial Narrow" w:hAnsi="Arial Narrow"/>
                <w:sz w:val="20"/>
              </w:rPr>
              <w:t>Median age (range): 35.5 (26–</w:t>
            </w:r>
            <w:r w:rsidR="00A813F1" w:rsidRPr="001D7E02">
              <w:rPr>
                <w:rFonts w:ascii="Arial Narrow" w:hAnsi="Arial Narrow"/>
                <w:sz w:val="20"/>
              </w:rPr>
              <w:t>43)</w:t>
            </w:r>
          </w:p>
        </w:tc>
        <w:tc>
          <w:tcPr>
            <w:tcW w:w="1320" w:type="dxa"/>
          </w:tcPr>
          <w:p w14:paraId="5E5B9CA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AMH was measured on the first day of chemotherapy</w:t>
            </w:r>
          </w:p>
          <w:p w14:paraId="7B96ABDB" w14:textId="77777777" w:rsidR="00A813F1" w:rsidRPr="001D7E02" w:rsidRDefault="00A813F1" w:rsidP="00762873">
            <w:pPr>
              <w:spacing w:after="0" w:line="240" w:lineRule="auto"/>
              <w:ind w:right="-57"/>
              <w:rPr>
                <w:rFonts w:ascii="Arial Narrow" w:hAnsi="Arial Narrow"/>
                <w:sz w:val="20"/>
              </w:rPr>
            </w:pPr>
          </w:p>
          <w:p w14:paraId="5E4BD8EF"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Follow-up:</w:t>
            </w:r>
          </w:p>
          <w:p w14:paraId="1ECE23B7" w14:textId="384C3537" w:rsidR="00A813F1" w:rsidRPr="001D7E02" w:rsidRDefault="00992BCE" w:rsidP="00762873">
            <w:pPr>
              <w:spacing w:after="0" w:line="240" w:lineRule="auto"/>
              <w:ind w:right="-57"/>
              <w:rPr>
                <w:rFonts w:ascii="Arial Narrow" w:hAnsi="Arial Narrow"/>
                <w:sz w:val="20"/>
              </w:rPr>
            </w:pPr>
            <w:r>
              <w:rPr>
                <w:rFonts w:ascii="Arial Narrow" w:hAnsi="Arial Narrow"/>
                <w:sz w:val="20"/>
              </w:rPr>
              <w:t>Median 59 months (range 11–</w:t>
            </w:r>
            <w:r w:rsidR="00A813F1" w:rsidRPr="001D7E02">
              <w:rPr>
                <w:rFonts w:ascii="Arial Narrow" w:hAnsi="Arial Narrow"/>
                <w:sz w:val="20"/>
              </w:rPr>
              <w:t>104)</w:t>
            </w:r>
          </w:p>
        </w:tc>
        <w:tc>
          <w:tcPr>
            <w:tcW w:w="1843" w:type="dxa"/>
          </w:tcPr>
          <w:p w14:paraId="653CE39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Very low: &lt;0.75 ng/mL</w:t>
            </w:r>
          </w:p>
          <w:p w14:paraId="6BF510D1" w14:textId="2B376438" w:rsidR="00A813F1" w:rsidRPr="001D7E02" w:rsidRDefault="00992BCE" w:rsidP="00762873">
            <w:pPr>
              <w:spacing w:after="0" w:line="240" w:lineRule="auto"/>
              <w:ind w:right="-57"/>
              <w:rPr>
                <w:rFonts w:ascii="Arial Narrow" w:hAnsi="Arial Narrow"/>
                <w:sz w:val="20"/>
              </w:rPr>
            </w:pPr>
            <w:r>
              <w:rPr>
                <w:rFonts w:ascii="Arial Narrow" w:hAnsi="Arial Narrow"/>
                <w:sz w:val="20"/>
              </w:rPr>
              <w:t>Low: 0.75–</w:t>
            </w:r>
            <w:r w:rsidR="00A813F1" w:rsidRPr="001D7E02">
              <w:rPr>
                <w:rFonts w:ascii="Arial Narrow" w:hAnsi="Arial Narrow"/>
                <w:sz w:val="20"/>
              </w:rPr>
              <w:t>1.5 ng/mL</w:t>
            </w:r>
          </w:p>
          <w:p w14:paraId="33931BC3" w14:textId="77BE14B9"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H</w:t>
            </w:r>
            <w:r w:rsidR="00992BCE">
              <w:rPr>
                <w:rFonts w:ascii="Arial Narrow" w:hAnsi="Arial Narrow"/>
                <w:sz w:val="20"/>
              </w:rPr>
              <w:t>igh: &gt;1.5–</w:t>
            </w:r>
            <w:r w:rsidRPr="001D7E02">
              <w:rPr>
                <w:rFonts w:ascii="Arial Narrow" w:hAnsi="Arial Narrow"/>
                <w:sz w:val="20"/>
              </w:rPr>
              <w:t>2.5 ng/mL</w:t>
            </w:r>
          </w:p>
          <w:p w14:paraId="3C1FE0CB" w14:textId="15321589" w:rsidR="00A813F1" w:rsidRPr="001D7E02" w:rsidRDefault="00311B6D" w:rsidP="00762873">
            <w:pPr>
              <w:spacing w:after="0" w:line="240" w:lineRule="auto"/>
              <w:ind w:right="-57"/>
              <w:rPr>
                <w:rFonts w:ascii="Arial Narrow" w:hAnsi="Arial Narrow"/>
                <w:sz w:val="20"/>
              </w:rPr>
            </w:pPr>
            <w:r>
              <w:rPr>
                <w:rFonts w:ascii="Arial Narrow" w:hAnsi="Arial Narrow"/>
                <w:sz w:val="20"/>
              </w:rPr>
              <w:t>Very high: &gt;2.5 ng/mL</w:t>
            </w:r>
          </w:p>
        </w:tc>
        <w:tc>
          <w:tcPr>
            <w:tcW w:w="2552" w:type="dxa"/>
          </w:tcPr>
          <w:p w14:paraId="2DFF90C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w:t>
            </w:r>
          </w:p>
          <w:p w14:paraId="64BFF793" w14:textId="00560F3E"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Very</w:t>
            </w:r>
            <w:r w:rsidR="00311B6D">
              <w:rPr>
                <w:rFonts w:ascii="Arial Narrow" w:hAnsi="Arial Narrow"/>
                <w:sz w:val="20"/>
              </w:rPr>
              <w:t xml:space="preserve"> low AMH (reference class) HR=1</w:t>
            </w:r>
          </w:p>
        </w:tc>
        <w:tc>
          <w:tcPr>
            <w:tcW w:w="2315" w:type="dxa"/>
          </w:tcPr>
          <w:p w14:paraId="3389C0E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w:t>
            </w:r>
          </w:p>
          <w:p w14:paraId="6E37459A" w14:textId="77777777" w:rsidR="007518CF" w:rsidRDefault="00A813F1" w:rsidP="00762873">
            <w:pPr>
              <w:spacing w:after="0" w:line="240" w:lineRule="auto"/>
              <w:ind w:right="-57"/>
              <w:rPr>
                <w:rFonts w:ascii="Arial Narrow" w:hAnsi="Arial Narrow"/>
                <w:sz w:val="20"/>
              </w:rPr>
            </w:pPr>
            <w:r w:rsidRPr="001D7E02">
              <w:rPr>
                <w:rFonts w:ascii="Arial Narrow" w:hAnsi="Arial Narrow"/>
                <w:sz w:val="20"/>
              </w:rPr>
              <w:t>Low: HR =0.34</w:t>
            </w:r>
          </w:p>
          <w:p w14:paraId="51FC4416" w14:textId="2CAE2637" w:rsidR="00A813F1" w:rsidRPr="001D7E02" w:rsidRDefault="00992BCE" w:rsidP="00762873">
            <w:pPr>
              <w:spacing w:after="0" w:line="240" w:lineRule="auto"/>
              <w:ind w:right="-57"/>
              <w:rPr>
                <w:rFonts w:ascii="Arial Narrow" w:hAnsi="Arial Narrow"/>
                <w:sz w:val="20"/>
              </w:rPr>
            </w:pPr>
            <w:r>
              <w:rPr>
                <w:rFonts w:ascii="Arial Narrow" w:hAnsi="Arial Narrow"/>
                <w:sz w:val="20"/>
              </w:rPr>
              <w:t>[95%CI</w:t>
            </w:r>
            <w:r w:rsidR="00886898">
              <w:rPr>
                <w:rFonts w:ascii="Arial Narrow" w:hAnsi="Arial Narrow"/>
                <w:sz w:val="20"/>
              </w:rPr>
              <w:t> </w:t>
            </w:r>
            <w:r>
              <w:rPr>
                <w:rFonts w:ascii="Arial Narrow" w:hAnsi="Arial Narrow"/>
                <w:sz w:val="20"/>
              </w:rPr>
              <w:t>0.04, 3.29]</w:t>
            </w:r>
          </w:p>
          <w:p w14:paraId="2200B136" w14:textId="11F2BE0E" w:rsidR="007518CF" w:rsidRDefault="00A813F1" w:rsidP="00762873">
            <w:pPr>
              <w:spacing w:after="0" w:line="240" w:lineRule="auto"/>
              <w:ind w:right="-57"/>
              <w:rPr>
                <w:rFonts w:ascii="Arial Narrow" w:hAnsi="Arial Narrow"/>
                <w:sz w:val="20"/>
              </w:rPr>
            </w:pPr>
            <w:r w:rsidRPr="001D7E02">
              <w:rPr>
                <w:rFonts w:ascii="Arial Narrow" w:hAnsi="Arial Narrow"/>
                <w:sz w:val="20"/>
              </w:rPr>
              <w:t>High: HR</w:t>
            </w:r>
            <w:r w:rsidR="00846BA5">
              <w:rPr>
                <w:rFonts w:ascii="Arial Narrow" w:hAnsi="Arial Narrow"/>
                <w:sz w:val="20"/>
              </w:rPr>
              <w:t>=</w:t>
            </w:r>
            <w:r w:rsidRPr="001D7E02">
              <w:rPr>
                <w:rFonts w:ascii="Arial Narrow" w:hAnsi="Arial Narrow"/>
                <w:sz w:val="20"/>
              </w:rPr>
              <w:t>1.55</w:t>
            </w:r>
          </w:p>
          <w:p w14:paraId="5DF8EFA7" w14:textId="64EC7976" w:rsidR="00A813F1" w:rsidRPr="001D7E02" w:rsidRDefault="00992BCE" w:rsidP="00762873">
            <w:pPr>
              <w:spacing w:after="0" w:line="240" w:lineRule="auto"/>
              <w:ind w:right="-57"/>
              <w:rPr>
                <w:rFonts w:ascii="Arial Narrow" w:hAnsi="Arial Narrow"/>
                <w:sz w:val="20"/>
              </w:rPr>
            </w:pPr>
            <w:r>
              <w:rPr>
                <w:rFonts w:ascii="Arial Narrow" w:hAnsi="Arial Narrow"/>
                <w:sz w:val="20"/>
              </w:rPr>
              <w:t>[95%CI 0.35, 6.95]</w:t>
            </w:r>
          </w:p>
        </w:tc>
        <w:tc>
          <w:tcPr>
            <w:tcW w:w="2505" w:type="dxa"/>
          </w:tcPr>
          <w:p w14:paraId="320EB5D5"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w:t>
            </w:r>
          </w:p>
          <w:p w14:paraId="4C7F3C50" w14:textId="77777777" w:rsidR="007518CF" w:rsidRDefault="00A813F1" w:rsidP="00762873">
            <w:pPr>
              <w:spacing w:after="0" w:line="240" w:lineRule="auto"/>
              <w:ind w:right="-57"/>
              <w:rPr>
                <w:rFonts w:ascii="Arial Narrow" w:hAnsi="Arial Narrow"/>
                <w:sz w:val="20"/>
              </w:rPr>
            </w:pPr>
            <w:r w:rsidRPr="001D7E02">
              <w:rPr>
                <w:rFonts w:ascii="Arial Narrow" w:hAnsi="Arial Narrow"/>
                <w:sz w:val="20"/>
              </w:rPr>
              <w:t>Very high AMH:</w:t>
            </w:r>
          </w:p>
          <w:p w14:paraId="17483E46" w14:textId="575C26F6"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HR</w:t>
            </w:r>
            <w:r w:rsidR="00846BA5">
              <w:rPr>
                <w:rFonts w:ascii="Arial Narrow" w:hAnsi="Arial Narrow"/>
                <w:sz w:val="20"/>
              </w:rPr>
              <w:t>=</w:t>
            </w:r>
            <w:r w:rsidR="00992BCE">
              <w:rPr>
                <w:rFonts w:ascii="Arial Narrow" w:hAnsi="Arial Narrow"/>
                <w:sz w:val="20"/>
              </w:rPr>
              <w:t>2.32 [95%CI 0.60, 8.9]</w:t>
            </w:r>
          </w:p>
        </w:tc>
        <w:tc>
          <w:tcPr>
            <w:tcW w:w="769" w:type="dxa"/>
          </w:tcPr>
          <w:p w14:paraId="4989B675"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NS</w:t>
            </w:r>
          </w:p>
        </w:tc>
      </w:tr>
      <w:tr w:rsidR="00A813F1" w:rsidRPr="001D7E02" w14:paraId="2CF2179D" w14:textId="77777777" w:rsidTr="00837A27">
        <w:trPr>
          <w:trHeight w:val="205"/>
        </w:trPr>
        <w:tc>
          <w:tcPr>
            <w:tcW w:w="988" w:type="dxa"/>
          </w:tcPr>
          <w:p w14:paraId="6E53A0DD" w14:textId="77777777" w:rsidR="00A813F1" w:rsidRDefault="00A813F1" w:rsidP="00762873">
            <w:pPr>
              <w:spacing w:after="0" w:line="240" w:lineRule="auto"/>
              <w:ind w:right="-57"/>
              <w:rPr>
                <w:rFonts w:ascii="Arial Narrow" w:hAnsi="Arial Narrow"/>
                <w:sz w:val="20"/>
              </w:rPr>
            </w:pPr>
            <w:r w:rsidRPr="001D7E02">
              <w:rPr>
                <w:rFonts w:ascii="Arial Narrow" w:hAnsi="Arial Narrow"/>
                <w:sz w:val="20"/>
              </w:rPr>
              <w:t>Ozaki et al. (2016)</w:t>
            </w:r>
          </w:p>
          <w:p w14:paraId="194F1E1F" w14:textId="77777777" w:rsidR="006B3AEA" w:rsidRDefault="006B3AEA" w:rsidP="00762873">
            <w:pPr>
              <w:spacing w:after="0" w:line="240" w:lineRule="auto"/>
              <w:ind w:right="-57"/>
              <w:rPr>
                <w:rFonts w:ascii="Arial Narrow" w:hAnsi="Arial Narrow"/>
                <w:sz w:val="20"/>
              </w:rPr>
            </w:pPr>
          </w:p>
          <w:p w14:paraId="286FF5B0" w14:textId="0B434B07" w:rsidR="006B3AEA" w:rsidRPr="001D7E02" w:rsidRDefault="006B3AEA" w:rsidP="00762873">
            <w:pPr>
              <w:spacing w:after="0" w:line="240" w:lineRule="auto"/>
              <w:ind w:right="-57"/>
              <w:rPr>
                <w:rFonts w:ascii="Arial Narrow" w:hAnsi="Arial Narrow"/>
                <w:sz w:val="20"/>
              </w:rPr>
            </w:pPr>
            <w:r>
              <w:rPr>
                <w:rFonts w:ascii="Arial Narrow" w:hAnsi="Arial Narrow"/>
                <w:sz w:val="20"/>
              </w:rPr>
              <w:t>Moderate risk of bias</w:t>
            </w:r>
          </w:p>
        </w:tc>
        <w:tc>
          <w:tcPr>
            <w:tcW w:w="1656" w:type="dxa"/>
          </w:tcPr>
          <w:p w14:paraId="6A312CEA"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b/>
                <w:sz w:val="20"/>
              </w:rPr>
              <w:t>N=35</w:t>
            </w:r>
            <w:r w:rsidRPr="001D7E02">
              <w:rPr>
                <w:rFonts w:ascii="Arial Narrow" w:hAnsi="Arial Narrow"/>
                <w:sz w:val="20"/>
              </w:rPr>
              <w:t xml:space="preserve"> endometriosis patients aiming for pregnancy after laparascopic cystectomy</w:t>
            </w:r>
          </w:p>
          <w:p w14:paraId="7B94EDE3" w14:textId="77777777" w:rsidR="00A813F1" w:rsidRPr="001D7E02" w:rsidRDefault="00A813F1" w:rsidP="00762873">
            <w:pPr>
              <w:spacing w:after="0" w:line="240" w:lineRule="auto"/>
              <w:ind w:right="-57"/>
              <w:rPr>
                <w:rFonts w:ascii="Arial Narrow" w:hAnsi="Arial Narrow"/>
                <w:sz w:val="20"/>
              </w:rPr>
            </w:pPr>
          </w:p>
          <w:p w14:paraId="1B77185A" w14:textId="58BB776F"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Mean age: 33.5</w:t>
            </w:r>
            <w:r w:rsidR="00CB05BE" w:rsidRPr="00CB05BE">
              <w:rPr>
                <w:rFonts w:ascii="Arial Narrow" w:hAnsi="Arial Narrow"/>
                <w:sz w:val="20"/>
              </w:rPr>
              <w:t> ± </w:t>
            </w:r>
            <w:r w:rsidRPr="001D7E02">
              <w:rPr>
                <w:rFonts w:ascii="Arial Narrow" w:hAnsi="Arial Narrow"/>
                <w:sz w:val="20"/>
              </w:rPr>
              <w:t xml:space="preserve">4.9 </w:t>
            </w:r>
          </w:p>
        </w:tc>
        <w:tc>
          <w:tcPr>
            <w:tcW w:w="1320" w:type="dxa"/>
          </w:tcPr>
          <w:p w14:paraId="42EDE3FA" w14:textId="4800FA46" w:rsidR="00A813F1" w:rsidRPr="001D7E02" w:rsidRDefault="00594E1B" w:rsidP="00762873">
            <w:pPr>
              <w:spacing w:after="0" w:line="240" w:lineRule="auto"/>
              <w:ind w:right="-57"/>
              <w:rPr>
                <w:rFonts w:ascii="Arial Narrow" w:hAnsi="Arial Narrow"/>
                <w:sz w:val="20"/>
              </w:rPr>
            </w:pPr>
            <w:r>
              <w:rPr>
                <w:rFonts w:ascii="Arial Narrow" w:hAnsi="Arial Narrow"/>
                <w:sz w:val="20"/>
              </w:rPr>
              <w:t>AMH was measured 6 months post-</w:t>
            </w:r>
            <w:r w:rsidR="00A813F1" w:rsidRPr="001D7E02">
              <w:rPr>
                <w:rFonts w:ascii="Arial Narrow" w:hAnsi="Arial Narrow"/>
                <w:sz w:val="20"/>
              </w:rPr>
              <w:t>surgery</w:t>
            </w:r>
          </w:p>
          <w:p w14:paraId="3B4FB8E6" w14:textId="77777777" w:rsidR="00A813F1" w:rsidRPr="001D7E02" w:rsidRDefault="00A813F1" w:rsidP="00762873">
            <w:pPr>
              <w:spacing w:after="0" w:line="240" w:lineRule="auto"/>
              <w:ind w:right="-57"/>
              <w:rPr>
                <w:rFonts w:ascii="Arial Narrow" w:hAnsi="Arial Narrow"/>
                <w:sz w:val="20"/>
              </w:rPr>
            </w:pPr>
          </w:p>
          <w:p w14:paraId="7C75298A"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Follow-up after AMH: 18 months</w:t>
            </w:r>
          </w:p>
        </w:tc>
        <w:tc>
          <w:tcPr>
            <w:tcW w:w="1843" w:type="dxa"/>
          </w:tcPr>
          <w:p w14:paraId="35C7991B"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Low: &lt;1.1 ng/mL</w:t>
            </w:r>
          </w:p>
          <w:p w14:paraId="454971F5"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Normal/high: &gt;1.1 ng/mL</w:t>
            </w:r>
          </w:p>
        </w:tc>
        <w:tc>
          <w:tcPr>
            <w:tcW w:w="2552" w:type="dxa"/>
          </w:tcPr>
          <w:p w14:paraId="2DA592FB"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Spontaneous pregnancy</w:t>
            </w:r>
            <w:r w:rsidRPr="001D7E02">
              <w:rPr>
                <w:rFonts w:ascii="Arial Narrow" w:hAnsi="Arial Narrow"/>
                <w:sz w:val="20"/>
              </w:rPr>
              <w:t>: 14.3%</w:t>
            </w:r>
          </w:p>
        </w:tc>
        <w:tc>
          <w:tcPr>
            <w:tcW w:w="2315" w:type="dxa"/>
          </w:tcPr>
          <w:p w14:paraId="44046BE5"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w:t>
            </w:r>
          </w:p>
        </w:tc>
        <w:tc>
          <w:tcPr>
            <w:tcW w:w="2505" w:type="dxa"/>
          </w:tcPr>
          <w:p w14:paraId="78ABF951"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Spontaneous pregnancy</w:t>
            </w:r>
            <w:r w:rsidRPr="001D7E02">
              <w:rPr>
                <w:rFonts w:ascii="Arial Narrow" w:hAnsi="Arial Narrow"/>
                <w:sz w:val="20"/>
              </w:rPr>
              <w:t>: 59.2%</w:t>
            </w:r>
          </w:p>
        </w:tc>
        <w:tc>
          <w:tcPr>
            <w:tcW w:w="769" w:type="dxa"/>
          </w:tcPr>
          <w:p w14:paraId="7888A36A"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0.04</w:t>
            </w:r>
          </w:p>
        </w:tc>
      </w:tr>
      <w:tr w:rsidR="00A813F1" w:rsidRPr="001D7E02" w14:paraId="13A77893" w14:textId="77777777" w:rsidTr="00837A27">
        <w:trPr>
          <w:trHeight w:val="205"/>
        </w:trPr>
        <w:tc>
          <w:tcPr>
            <w:tcW w:w="988" w:type="dxa"/>
          </w:tcPr>
          <w:p w14:paraId="2FA21520" w14:textId="77777777" w:rsidR="00A813F1" w:rsidRDefault="00A813F1" w:rsidP="00762873">
            <w:pPr>
              <w:spacing w:after="0" w:line="240" w:lineRule="auto"/>
              <w:ind w:right="-57"/>
              <w:rPr>
                <w:rFonts w:ascii="Arial Narrow" w:hAnsi="Arial Narrow"/>
                <w:sz w:val="20"/>
              </w:rPr>
            </w:pPr>
            <w:r w:rsidRPr="001D7E02">
              <w:rPr>
                <w:rFonts w:ascii="Arial Narrow" w:hAnsi="Arial Narrow"/>
                <w:sz w:val="20"/>
              </w:rPr>
              <w:t>Lind et al. (2016)</w:t>
            </w:r>
          </w:p>
          <w:p w14:paraId="5E80B07C" w14:textId="462B7E8C" w:rsidR="006B3AEA" w:rsidRPr="001D7E02" w:rsidRDefault="006B3AEA" w:rsidP="00762873">
            <w:pPr>
              <w:spacing w:after="0" w:line="240" w:lineRule="auto"/>
              <w:ind w:right="-57"/>
              <w:rPr>
                <w:rFonts w:ascii="Arial Narrow" w:hAnsi="Arial Narrow"/>
                <w:sz w:val="20"/>
              </w:rPr>
            </w:pPr>
            <w:r>
              <w:rPr>
                <w:rFonts w:ascii="Arial Narrow" w:hAnsi="Arial Narrow"/>
                <w:sz w:val="20"/>
              </w:rPr>
              <w:br/>
              <w:t>Moderate risk of bias</w:t>
            </w:r>
          </w:p>
        </w:tc>
        <w:tc>
          <w:tcPr>
            <w:tcW w:w="1656" w:type="dxa"/>
          </w:tcPr>
          <w:p w14:paraId="09FF65B5" w14:textId="179315C1" w:rsidR="00A813F1" w:rsidRPr="001D7E02" w:rsidRDefault="00A813F1" w:rsidP="00762873">
            <w:pPr>
              <w:spacing w:after="0" w:line="240" w:lineRule="auto"/>
              <w:ind w:right="-57"/>
              <w:rPr>
                <w:rFonts w:ascii="Arial Narrow" w:hAnsi="Arial Narrow"/>
                <w:sz w:val="20"/>
              </w:rPr>
            </w:pPr>
            <w:r w:rsidRPr="001D7E02">
              <w:rPr>
                <w:rFonts w:ascii="Arial Narrow" w:hAnsi="Arial Narrow"/>
                <w:b/>
                <w:sz w:val="20"/>
              </w:rPr>
              <w:t>N</w:t>
            </w:r>
            <w:r w:rsidR="00846BA5">
              <w:rPr>
                <w:rFonts w:ascii="Arial Narrow" w:hAnsi="Arial Narrow"/>
                <w:b/>
                <w:sz w:val="20"/>
              </w:rPr>
              <w:t>=</w:t>
            </w:r>
            <w:r w:rsidRPr="001D7E02">
              <w:rPr>
                <w:rFonts w:ascii="Arial Narrow" w:hAnsi="Arial Narrow"/>
                <w:b/>
                <w:sz w:val="20"/>
              </w:rPr>
              <w:t>34</w:t>
            </w:r>
            <w:r w:rsidRPr="001D7E02">
              <w:rPr>
                <w:rFonts w:ascii="Arial Narrow" w:hAnsi="Arial Narrow"/>
                <w:sz w:val="20"/>
              </w:rPr>
              <w:t xml:space="preserve"> women with benign ovarian cysts undergoing surgery</w:t>
            </w:r>
            <w:r w:rsidR="009A11FA">
              <w:rPr>
                <w:rFonts w:ascii="Arial Narrow" w:hAnsi="Arial Narrow"/>
                <w:sz w:val="20"/>
              </w:rPr>
              <w:t xml:space="preserve"> and AMH tests, attempting to conceive</w:t>
            </w:r>
          </w:p>
          <w:p w14:paraId="25ED905F" w14:textId="77777777" w:rsidR="00A813F1" w:rsidRPr="001D7E02" w:rsidRDefault="00A813F1" w:rsidP="00762873">
            <w:pPr>
              <w:spacing w:after="0" w:line="240" w:lineRule="auto"/>
              <w:ind w:right="-57"/>
              <w:rPr>
                <w:rFonts w:ascii="Arial Narrow" w:hAnsi="Arial Narrow"/>
                <w:sz w:val="20"/>
              </w:rPr>
            </w:pPr>
          </w:p>
          <w:p w14:paraId="25C84828" w14:textId="31FA23E3"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Mean age at surgery: 30.4</w:t>
            </w:r>
            <w:r w:rsidR="00CB05BE" w:rsidRPr="00CB05BE">
              <w:rPr>
                <w:rFonts w:ascii="Arial Narrow" w:hAnsi="Arial Narrow"/>
                <w:sz w:val="20"/>
              </w:rPr>
              <w:t> ± </w:t>
            </w:r>
            <w:r w:rsidRPr="001D7E02">
              <w:rPr>
                <w:rFonts w:ascii="Arial Narrow" w:hAnsi="Arial Narrow"/>
                <w:sz w:val="20"/>
              </w:rPr>
              <w:t>5.9</w:t>
            </w:r>
          </w:p>
        </w:tc>
        <w:tc>
          <w:tcPr>
            <w:tcW w:w="1320" w:type="dxa"/>
          </w:tcPr>
          <w:p w14:paraId="0F84F07D" w14:textId="06D11739" w:rsidR="00A813F1" w:rsidRPr="001D7E02" w:rsidRDefault="00594E1B" w:rsidP="00762873">
            <w:pPr>
              <w:spacing w:after="0" w:line="240" w:lineRule="auto"/>
              <w:ind w:right="-57"/>
              <w:rPr>
                <w:rFonts w:ascii="Arial Narrow" w:hAnsi="Arial Narrow"/>
                <w:sz w:val="20"/>
              </w:rPr>
            </w:pPr>
            <w:r>
              <w:rPr>
                <w:rFonts w:ascii="Arial Narrow" w:hAnsi="Arial Narrow"/>
                <w:sz w:val="20"/>
              </w:rPr>
              <w:t>AMH was measured 6 months post-</w:t>
            </w:r>
            <w:r w:rsidR="00A813F1" w:rsidRPr="001D7E02">
              <w:rPr>
                <w:rFonts w:ascii="Arial Narrow" w:hAnsi="Arial Narrow"/>
                <w:sz w:val="20"/>
              </w:rPr>
              <w:t>surgery</w:t>
            </w:r>
          </w:p>
          <w:p w14:paraId="4839A094" w14:textId="77777777" w:rsidR="007518CF" w:rsidRDefault="007518CF" w:rsidP="00762873">
            <w:pPr>
              <w:spacing w:after="0" w:line="240" w:lineRule="auto"/>
              <w:ind w:right="-57"/>
              <w:rPr>
                <w:rFonts w:ascii="Arial Narrow" w:hAnsi="Arial Narrow"/>
                <w:sz w:val="20"/>
              </w:rPr>
            </w:pPr>
          </w:p>
          <w:p w14:paraId="061949A6"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Follow-up after AMH: 18 months</w:t>
            </w:r>
          </w:p>
        </w:tc>
        <w:tc>
          <w:tcPr>
            <w:tcW w:w="1843" w:type="dxa"/>
          </w:tcPr>
          <w:p w14:paraId="132B0A8C"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Low: &lt;1 ng/mL</w:t>
            </w:r>
          </w:p>
          <w:p w14:paraId="75405AE6" w14:textId="43913A74" w:rsidR="00A813F1" w:rsidRPr="001D7E02" w:rsidRDefault="00992BCE" w:rsidP="00762873">
            <w:pPr>
              <w:spacing w:after="0" w:line="240" w:lineRule="auto"/>
              <w:ind w:right="-57"/>
              <w:rPr>
                <w:rFonts w:ascii="Arial Narrow" w:hAnsi="Arial Narrow"/>
                <w:sz w:val="20"/>
              </w:rPr>
            </w:pPr>
            <w:r>
              <w:rPr>
                <w:rFonts w:ascii="Arial Narrow" w:hAnsi="Arial Narrow"/>
                <w:sz w:val="20"/>
              </w:rPr>
              <w:t>Normal: 1–</w:t>
            </w:r>
            <w:r w:rsidR="00A813F1" w:rsidRPr="001D7E02">
              <w:rPr>
                <w:rFonts w:ascii="Arial Narrow" w:hAnsi="Arial Narrow"/>
                <w:sz w:val="20"/>
              </w:rPr>
              <w:t>3.5 ng/mL High: &gt;3.5 ng/mL</w:t>
            </w:r>
          </w:p>
        </w:tc>
        <w:tc>
          <w:tcPr>
            <w:tcW w:w="2552" w:type="dxa"/>
          </w:tcPr>
          <w:p w14:paraId="40EC12A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 2/4 (50%)</w:t>
            </w:r>
          </w:p>
          <w:p w14:paraId="6F1F09BD" w14:textId="2FFFA0EF"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Live birth</w:t>
            </w:r>
            <w:r w:rsidRPr="001D7E02">
              <w:rPr>
                <w:rFonts w:ascii="Arial Narrow" w:hAnsi="Arial Narrow"/>
                <w:sz w:val="20"/>
              </w:rPr>
              <w:t>: 0/4 (0%)</w:t>
            </w:r>
          </w:p>
        </w:tc>
        <w:tc>
          <w:tcPr>
            <w:tcW w:w="2315" w:type="dxa"/>
          </w:tcPr>
          <w:p w14:paraId="14C587D5"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 11/23 (48%)</w:t>
            </w:r>
          </w:p>
          <w:p w14:paraId="78F8A6B4"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Live birth</w:t>
            </w:r>
            <w:r w:rsidRPr="001D7E02">
              <w:rPr>
                <w:rFonts w:ascii="Arial Narrow" w:hAnsi="Arial Narrow"/>
                <w:sz w:val="20"/>
              </w:rPr>
              <w:t>: 8/23 (35%)</w:t>
            </w:r>
          </w:p>
        </w:tc>
        <w:tc>
          <w:tcPr>
            <w:tcW w:w="2505" w:type="dxa"/>
          </w:tcPr>
          <w:p w14:paraId="76204DA9"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 4/7 (57%)</w:t>
            </w:r>
          </w:p>
          <w:p w14:paraId="5050396A"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Live birth</w:t>
            </w:r>
            <w:r w:rsidRPr="001D7E02">
              <w:rPr>
                <w:rFonts w:ascii="Arial Narrow" w:hAnsi="Arial Narrow"/>
                <w:sz w:val="20"/>
              </w:rPr>
              <w:t>: 3/7 (43%)</w:t>
            </w:r>
          </w:p>
        </w:tc>
        <w:tc>
          <w:tcPr>
            <w:tcW w:w="769" w:type="dxa"/>
          </w:tcPr>
          <w:p w14:paraId="30B77C70"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0.911</w:t>
            </w:r>
            <w:r w:rsidRPr="001D7E02">
              <w:rPr>
                <w:rFonts w:ascii="Arial Narrow" w:hAnsi="Arial Narrow"/>
                <w:sz w:val="20"/>
                <w:vertAlign w:val="superscript"/>
              </w:rPr>
              <w:t>a</w:t>
            </w:r>
          </w:p>
          <w:p w14:paraId="0A2DA1DE" w14:textId="77777777" w:rsidR="00A813F1" w:rsidRPr="001D7E02" w:rsidRDefault="00A813F1" w:rsidP="00762873">
            <w:pPr>
              <w:spacing w:after="0" w:line="240" w:lineRule="auto"/>
              <w:ind w:right="-57"/>
              <w:rPr>
                <w:rFonts w:ascii="Arial Narrow" w:hAnsi="Arial Narrow"/>
                <w:sz w:val="20"/>
                <w:vertAlign w:val="superscript"/>
              </w:rPr>
            </w:pPr>
            <w:r w:rsidRPr="001D7E02">
              <w:rPr>
                <w:rFonts w:ascii="Arial Narrow" w:hAnsi="Arial Narrow"/>
                <w:sz w:val="20"/>
              </w:rPr>
              <w:t>0.312</w:t>
            </w:r>
            <w:r w:rsidRPr="001D7E02">
              <w:rPr>
                <w:rFonts w:ascii="Arial Narrow" w:hAnsi="Arial Narrow"/>
                <w:sz w:val="20"/>
                <w:vertAlign w:val="superscript"/>
              </w:rPr>
              <w:t>a</w:t>
            </w:r>
          </w:p>
        </w:tc>
      </w:tr>
      <w:tr w:rsidR="00A813F1" w:rsidRPr="001D7E02" w14:paraId="04BBDDB1" w14:textId="77777777" w:rsidTr="00837A27">
        <w:trPr>
          <w:trHeight w:val="205"/>
        </w:trPr>
        <w:tc>
          <w:tcPr>
            <w:tcW w:w="988" w:type="dxa"/>
          </w:tcPr>
          <w:p w14:paraId="0DA28A84" w14:textId="77777777" w:rsidR="00A813F1" w:rsidRDefault="00A813F1" w:rsidP="00762873">
            <w:pPr>
              <w:spacing w:after="0" w:line="240" w:lineRule="auto"/>
              <w:ind w:right="-57"/>
              <w:rPr>
                <w:rFonts w:ascii="Arial Narrow" w:hAnsi="Arial Narrow"/>
                <w:sz w:val="20"/>
              </w:rPr>
            </w:pPr>
            <w:r w:rsidRPr="001D7E02">
              <w:rPr>
                <w:rFonts w:ascii="Arial Narrow" w:hAnsi="Arial Narrow"/>
                <w:sz w:val="20"/>
              </w:rPr>
              <w:t>Pup et al. (2014)</w:t>
            </w:r>
          </w:p>
          <w:p w14:paraId="2FA8B2A3" w14:textId="77777777" w:rsidR="006B3AEA" w:rsidRDefault="006B3AEA" w:rsidP="00762873">
            <w:pPr>
              <w:spacing w:after="0" w:line="240" w:lineRule="auto"/>
              <w:ind w:right="-57"/>
              <w:rPr>
                <w:rFonts w:ascii="Arial Narrow" w:hAnsi="Arial Narrow"/>
                <w:sz w:val="20"/>
              </w:rPr>
            </w:pPr>
          </w:p>
          <w:p w14:paraId="1AC9585A" w14:textId="75D9D208" w:rsidR="006B3AEA" w:rsidRPr="001D7E02" w:rsidRDefault="006B3AEA" w:rsidP="00762873">
            <w:pPr>
              <w:spacing w:after="0" w:line="240" w:lineRule="auto"/>
              <w:ind w:right="-57"/>
              <w:rPr>
                <w:rFonts w:ascii="Arial Narrow" w:hAnsi="Arial Narrow"/>
                <w:sz w:val="20"/>
              </w:rPr>
            </w:pPr>
            <w:r>
              <w:rPr>
                <w:rFonts w:ascii="Arial Narrow" w:hAnsi="Arial Narrow"/>
                <w:sz w:val="20"/>
              </w:rPr>
              <w:t>Moderate risk of bias</w:t>
            </w:r>
          </w:p>
        </w:tc>
        <w:tc>
          <w:tcPr>
            <w:tcW w:w="1656" w:type="dxa"/>
          </w:tcPr>
          <w:p w14:paraId="394F29F8"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b/>
                <w:sz w:val="20"/>
              </w:rPr>
              <w:t>N=12</w:t>
            </w:r>
            <w:r w:rsidRPr="001D7E02">
              <w:rPr>
                <w:rFonts w:ascii="Arial Narrow" w:hAnsi="Arial Narrow"/>
                <w:sz w:val="20"/>
              </w:rPr>
              <w:t xml:space="preserve"> lymphoma patients undergoing HSCT</w:t>
            </w:r>
          </w:p>
          <w:p w14:paraId="2D09EE8E" w14:textId="77777777" w:rsidR="00A813F1" w:rsidRPr="001D7E02" w:rsidRDefault="00A813F1" w:rsidP="00762873">
            <w:pPr>
              <w:spacing w:after="0" w:line="240" w:lineRule="auto"/>
              <w:ind w:right="-57"/>
              <w:rPr>
                <w:rFonts w:ascii="Arial Narrow" w:hAnsi="Arial Narrow"/>
                <w:sz w:val="20"/>
              </w:rPr>
            </w:pPr>
          </w:p>
          <w:p w14:paraId="711180CB" w14:textId="2F0D9824"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Mean</w:t>
            </w:r>
            <w:r w:rsidR="00311B6D">
              <w:rPr>
                <w:rFonts w:ascii="Arial Narrow" w:hAnsi="Arial Narrow"/>
                <w:sz w:val="20"/>
              </w:rPr>
              <w:t xml:space="preserve"> age at diagnosis: 26 (range 18–</w:t>
            </w:r>
            <w:r w:rsidRPr="001D7E02">
              <w:rPr>
                <w:rFonts w:ascii="Arial Narrow" w:hAnsi="Arial Narrow"/>
                <w:sz w:val="20"/>
              </w:rPr>
              <w:t>37)</w:t>
            </w:r>
          </w:p>
        </w:tc>
        <w:tc>
          <w:tcPr>
            <w:tcW w:w="1320" w:type="dxa"/>
          </w:tcPr>
          <w:p w14:paraId="4786E953"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AMH was measured pre-treatment</w:t>
            </w:r>
          </w:p>
          <w:p w14:paraId="1DB1FF7A" w14:textId="77777777" w:rsidR="00A813F1" w:rsidRPr="001D7E02" w:rsidRDefault="00A813F1" w:rsidP="00762873">
            <w:pPr>
              <w:spacing w:after="0" w:line="240" w:lineRule="auto"/>
              <w:ind w:right="-57"/>
              <w:rPr>
                <w:rFonts w:ascii="Arial Narrow" w:hAnsi="Arial Narrow"/>
                <w:sz w:val="20"/>
              </w:rPr>
            </w:pPr>
          </w:p>
          <w:p w14:paraId="50A2BB7E" w14:textId="09C35D38" w:rsidR="00A813F1" w:rsidRPr="001D7E02" w:rsidRDefault="00311B6D" w:rsidP="00762873">
            <w:pPr>
              <w:spacing w:after="0" w:line="240" w:lineRule="auto"/>
              <w:ind w:right="-57"/>
              <w:rPr>
                <w:rFonts w:ascii="Arial Narrow" w:hAnsi="Arial Narrow"/>
                <w:sz w:val="20"/>
              </w:rPr>
            </w:pPr>
            <w:r>
              <w:rPr>
                <w:rFonts w:ascii="Arial Narrow" w:hAnsi="Arial Narrow"/>
                <w:sz w:val="20"/>
              </w:rPr>
              <w:t>Follow-up: NR (years)</w:t>
            </w:r>
          </w:p>
        </w:tc>
        <w:tc>
          <w:tcPr>
            <w:tcW w:w="1843" w:type="dxa"/>
          </w:tcPr>
          <w:p w14:paraId="0DFFB841" w14:textId="174913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 xml:space="preserve">Low: </w:t>
            </w:r>
            <w:r w:rsidR="003B42B2">
              <w:rPr>
                <w:rFonts w:ascii="Arial Narrow" w:hAnsi="Arial Narrow"/>
                <w:sz w:val="20"/>
              </w:rPr>
              <w:t>≤</w:t>
            </w:r>
            <w:r w:rsidRPr="001D7E02">
              <w:rPr>
                <w:rFonts w:ascii="Arial Narrow" w:hAnsi="Arial Narrow"/>
                <w:sz w:val="20"/>
              </w:rPr>
              <w:t>0.16 ng/mL</w:t>
            </w:r>
          </w:p>
          <w:p w14:paraId="264C432C"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Normal/high: &gt;0.16 ng/mL</w:t>
            </w:r>
          </w:p>
        </w:tc>
        <w:tc>
          <w:tcPr>
            <w:tcW w:w="2552" w:type="dxa"/>
          </w:tcPr>
          <w:p w14:paraId="56B9B33E"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 1/5 (20%)</w:t>
            </w:r>
          </w:p>
        </w:tc>
        <w:tc>
          <w:tcPr>
            <w:tcW w:w="2315" w:type="dxa"/>
          </w:tcPr>
          <w:p w14:paraId="2D1E3D92"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w:t>
            </w:r>
          </w:p>
        </w:tc>
        <w:tc>
          <w:tcPr>
            <w:tcW w:w="2505" w:type="dxa"/>
          </w:tcPr>
          <w:p w14:paraId="7C2CE107"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u w:val="single"/>
              </w:rPr>
              <w:t>Pregnancy</w:t>
            </w:r>
            <w:r w:rsidRPr="001D7E02">
              <w:rPr>
                <w:rFonts w:ascii="Arial Narrow" w:hAnsi="Arial Narrow"/>
                <w:sz w:val="20"/>
              </w:rPr>
              <w:t>: 2/7 (28.6%)</w:t>
            </w:r>
          </w:p>
        </w:tc>
        <w:tc>
          <w:tcPr>
            <w:tcW w:w="769" w:type="dxa"/>
          </w:tcPr>
          <w:p w14:paraId="60C1C553" w14:textId="77777777" w:rsidR="00A813F1" w:rsidRPr="001D7E02" w:rsidRDefault="00A813F1" w:rsidP="00762873">
            <w:pPr>
              <w:spacing w:after="0" w:line="240" w:lineRule="auto"/>
              <w:ind w:right="-57"/>
              <w:rPr>
                <w:rFonts w:ascii="Arial Narrow" w:hAnsi="Arial Narrow"/>
                <w:sz w:val="20"/>
              </w:rPr>
            </w:pPr>
            <w:r w:rsidRPr="001D7E02">
              <w:rPr>
                <w:rFonts w:ascii="Arial Narrow" w:hAnsi="Arial Narrow"/>
                <w:sz w:val="20"/>
              </w:rPr>
              <w:t>1.00</w:t>
            </w:r>
          </w:p>
        </w:tc>
      </w:tr>
    </w:tbl>
    <w:p w14:paraId="3BADAABD" w14:textId="3B650B7D" w:rsidR="00F0238F" w:rsidRPr="00361BE9" w:rsidRDefault="00F0238F" w:rsidP="006D275B">
      <w:pPr>
        <w:pStyle w:val="Tablenotes0"/>
        <w:spacing w:after="0"/>
        <w:rPr>
          <w:rFonts w:eastAsia="Calibri"/>
        </w:rPr>
      </w:pPr>
      <w:r w:rsidRPr="00361BE9">
        <w:rPr>
          <w:rFonts w:eastAsia="Calibri"/>
        </w:rPr>
        <w:t xml:space="preserve">AMH = </w:t>
      </w:r>
      <w:r w:rsidR="00C41BAD">
        <w:t>anti-Müllerian hormone</w:t>
      </w:r>
      <w:r w:rsidR="00992BCE">
        <w:t>; ART = a</w:t>
      </w:r>
      <w:r w:rsidRPr="00361BE9">
        <w:t>ssisted r</w:t>
      </w:r>
      <w:r w:rsidR="00992BCE">
        <w:t>eproductive technology; CI = confidence interval; HR = hazard ratio; HSCT = h</w:t>
      </w:r>
      <w:r w:rsidRPr="00361BE9">
        <w:t>aem</w:t>
      </w:r>
      <w:r w:rsidR="00992BCE">
        <w:t>atopoietic stem cell transplant;</w:t>
      </w:r>
      <w:r w:rsidRPr="00361BE9">
        <w:t xml:space="preserve"> NR = not reported</w:t>
      </w:r>
      <w:r w:rsidR="00992BCE">
        <w:t>; NS = not significant</w:t>
      </w:r>
    </w:p>
    <w:p w14:paraId="42B6B025" w14:textId="1BFF20B9" w:rsidR="00034A79" w:rsidRDefault="00A813F1" w:rsidP="00791552">
      <w:pPr>
        <w:pStyle w:val="Tablenotes0"/>
      </w:pPr>
      <w:r w:rsidRPr="001D7E02">
        <w:rPr>
          <w:rFonts w:eastAsia="Calibri"/>
          <w:vertAlign w:val="superscript"/>
        </w:rPr>
        <w:t>a</w:t>
      </w:r>
      <w:r w:rsidR="00992BCE">
        <w:rPr>
          <w:rFonts w:eastAsia="Calibri"/>
        </w:rPr>
        <w:t xml:space="preserve"> Pearson Chi-s</w:t>
      </w:r>
      <w:r w:rsidRPr="001D7E02">
        <w:rPr>
          <w:rFonts w:eastAsia="Calibri"/>
        </w:rPr>
        <w:t>quared test</w:t>
      </w:r>
      <w:r w:rsidR="00431053">
        <w:rPr>
          <w:rFonts w:eastAsia="Calibri"/>
        </w:rPr>
        <w:t xml:space="preserve"> </w:t>
      </w:r>
      <w:r w:rsidR="0039150A">
        <w:rPr>
          <w:rFonts w:eastAsia="Calibri"/>
        </w:rPr>
        <w:t xml:space="preserve"> </w:t>
      </w:r>
    </w:p>
    <w:p w14:paraId="56EBC625" w14:textId="77777777" w:rsidR="00791552" w:rsidRDefault="00791552" w:rsidP="00A813F1">
      <w:pPr>
        <w:jc w:val="both"/>
        <w:sectPr w:rsidR="00791552" w:rsidSect="00791552">
          <w:pgSz w:w="16838" w:h="11906" w:orient="landscape" w:code="9"/>
          <w:pgMar w:top="1440" w:right="1440" w:bottom="1440" w:left="1440" w:header="720" w:footer="720" w:gutter="0"/>
          <w:cols w:space="720"/>
          <w:docGrid w:linePitch="299"/>
        </w:sectPr>
      </w:pPr>
    </w:p>
    <w:p w14:paraId="257FBD8D" w14:textId="20539CE5" w:rsidR="00431053" w:rsidRDefault="00431053" w:rsidP="00A813F1">
      <w:pPr>
        <w:jc w:val="both"/>
      </w:pPr>
      <w:r>
        <w:lastRenderedPageBreak/>
        <w:t>Iwase et al. also reported results on pregnancy in endometriosis patients who underwent laparoscopic cystectomy and had AMH results. They stated that the AMH level measured one year post-operatively was significantly higher in women who achieved pregnancy (</w:t>
      </w:r>
      <w:r w:rsidRPr="004254D2">
        <w:t>3.44</w:t>
      </w:r>
      <w:r w:rsidRPr="00CB05BE">
        <w:t> ± </w:t>
      </w:r>
      <w:r w:rsidRPr="004254D2">
        <w:t>1.78</w:t>
      </w:r>
      <w:r>
        <w:t xml:space="preserve"> ng/mL; n=17) compared to those who did not get pregnant (</w:t>
      </w:r>
      <w:r w:rsidRPr="004254D2">
        <w:t>2.17</w:t>
      </w:r>
      <w:r w:rsidRPr="00CB05BE">
        <w:t> ± </w:t>
      </w:r>
      <w:r w:rsidRPr="004254D2">
        <w:t>2.24</w:t>
      </w:r>
      <w:r>
        <w:t>;</w:t>
      </w:r>
      <w:r w:rsidRPr="005F5C5D">
        <w:t xml:space="preserve"> </w:t>
      </w:r>
      <w:r>
        <w:t>n=24) (p=0.049). However, no difference in mean AMH values were observed when it was measured directly after surgery (p=</w:t>
      </w:r>
      <w:r w:rsidRPr="004254D2">
        <w:t>0.122</w:t>
      </w:r>
      <w:r>
        <w:t>) or one month post-operatively (p=0.682).</w:t>
      </w:r>
    </w:p>
    <w:p w14:paraId="0F0439DD" w14:textId="10024680" w:rsidR="00A813F1" w:rsidRDefault="00A813F1" w:rsidP="00A813F1">
      <w:pPr>
        <w:jc w:val="both"/>
      </w:pPr>
      <w:r>
        <w:t xml:space="preserve">Taniguchi et al. did not report </w:t>
      </w:r>
      <w:r w:rsidR="00E82151">
        <w:t xml:space="preserve">pregnancy </w:t>
      </w:r>
      <w:r w:rsidR="005F5C5D">
        <w:t>n</w:t>
      </w:r>
      <w:r w:rsidR="00E82151">
        <w:t xml:space="preserve">or birth rates and </w:t>
      </w:r>
      <w:r w:rsidR="005F5C5D">
        <w:t>t</w:t>
      </w:r>
      <w:r w:rsidR="00E82151">
        <w:t xml:space="preserve">herefore </w:t>
      </w:r>
      <w:r w:rsidR="005F5C5D">
        <w:t>did not meet inclusion criteria for this report.</w:t>
      </w:r>
      <w:r>
        <w:t xml:space="preserve"> </w:t>
      </w:r>
      <w:r w:rsidR="005F5C5D">
        <w:t>H</w:t>
      </w:r>
      <w:r w:rsidR="00E82151">
        <w:t>owever</w:t>
      </w:r>
      <w:r w:rsidR="005F5C5D">
        <w:t>,</w:t>
      </w:r>
      <w:r w:rsidR="00E82151">
        <w:t xml:space="preserve"> they st</w:t>
      </w:r>
      <w:r>
        <w:t>ated that in women with endometriosis the post-ope</w:t>
      </w:r>
      <w:r w:rsidR="005F5C5D">
        <w:t xml:space="preserve">rative decline in AMH levels after </w:t>
      </w:r>
      <w:r>
        <w:t xml:space="preserve">one year </w:t>
      </w:r>
      <w:r w:rsidR="005F5C5D">
        <w:t xml:space="preserve">of </w:t>
      </w:r>
      <w:r>
        <w:t>follow-up was significantly lower in patients achieving spontaneous pregnancy, compared to women requiring infertility treatment</w:t>
      </w:r>
      <w:r w:rsidR="005F5C5D">
        <w:t>.</w:t>
      </w:r>
      <w:r>
        <w:t xml:space="preserve"> </w:t>
      </w:r>
      <w:r w:rsidR="005F5C5D">
        <w:t>Median (</w:t>
      </w:r>
      <w:r>
        <w:t>25</w:t>
      </w:r>
      <w:r w:rsidRPr="006C5833">
        <w:rPr>
          <w:vertAlign w:val="superscript"/>
        </w:rPr>
        <w:t>th</w:t>
      </w:r>
      <w:r>
        <w:t xml:space="preserve">, </w:t>
      </w:r>
      <w:r w:rsidR="009B7816">
        <w:t>75</w:t>
      </w:r>
      <w:r w:rsidR="009B7816" w:rsidRPr="009B7816">
        <w:rPr>
          <w:vertAlign w:val="superscript"/>
        </w:rPr>
        <w:t>th</w:t>
      </w:r>
      <w:r w:rsidR="009B7816">
        <w:t xml:space="preserve"> </w:t>
      </w:r>
      <w:r w:rsidR="005F5C5D">
        <w:t>percentile) AMH values were</w:t>
      </w:r>
      <w:r>
        <w:t xml:space="preserve"> </w:t>
      </w:r>
      <w:r w:rsidR="007C7765">
        <w:t>0.34</w:t>
      </w:r>
      <w:r w:rsidR="000B2896">
        <w:t xml:space="preserve"> ng/mL</w:t>
      </w:r>
      <w:r w:rsidR="007C7765">
        <w:t xml:space="preserve"> </w:t>
      </w:r>
      <w:r w:rsidR="005F5C5D">
        <w:t>(</w:t>
      </w:r>
      <w:r w:rsidRPr="006C5833">
        <w:t>0.</w:t>
      </w:r>
      <w:r w:rsidR="005F5C5D">
        <w:t>24, 0.40) versus 0.48</w:t>
      </w:r>
      <w:r w:rsidR="000B2896">
        <w:t xml:space="preserve"> ng/mL</w:t>
      </w:r>
      <w:r w:rsidR="005F5C5D">
        <w:t xml:space="preserve"> (0.36, 0.60), respectively (p</w:t>
      </w:r>
      <w:r w:rsidR="003B42B2">
        <w:t>&lt;</w:t>
      </w:r>
      <w:r w:rsidRPr="006C5833">
        <w:t>0.05</w:t>
      </w:r>
      <w:r>
        <w:t>; n=40</w:t>
      </w:r>
      <w:r w:rsidRPr="006C5833">
        <w:t>)</w:t>
      </w:r>
      <w:r w:rsidR="000B2896">
        <w:t xml:space="preserve"> </w:t>
      </w:r>
      <w:r w:rsidR="004308C4">
        <w:fldChar w:fldCharType="begin"/>
      </w:r>
      <w:r w:rsidR="004308C4">
        <w:instrText xml:space="preserve"> ADDIN EN.CITE &lt;EndNote&gt;&lt;Cite&gt;&lt;Author&gt;Taniguchi&lt;/Author&gt;&lt;Year&gt;2016&lt;/Year&gt;&lt;RecNum&gt;345&lt;/RecNum&gt;&lt;IDText&gt;1534-1540&lt;/IDText&gt;&lt;DisplayText&gt;(Taniguchi et al. 2016)&lt;/DisplayText&gt;&lt;record&gt;&lt;rec-number&gt;345&lt;/rec-number&gt;&lt;foreign-keys&gt;&lt;key app="EN" db-id="s2dftfxw1fvsr1efx58vfvxtvfwzxea0td02" timestamp="1511748098"&gt;345&lt;/key&gt;&lt;/foreign-keys&gt;&lt;ref-type name="Journal Article"&gt;17&lt;/ref-type&gt;&lt;contributors&gt;&lt;authors&gt;&lt;author&gt;Taniguchi, F.&lt;/author&gt;&lt;author&gt;Sakamoto, Y.&lt;/author&gt;&lt;author&gt;Yabuta, Y.&lt;/author&gt;&lt;author&gt;Azuma, Y.&lt;/author&gt;&lt;author&gt;Hirakawa, E.&lt;/author&gt;&lt;author&gt;Nagira, K.&lt;/author&gt;&lt;author&gt;Uegaki, T.&lt;/author&gt;&lt;author&gt;Deura, I.&lt;/author&gt;&lt;author&gt;Hata, K.&lt;/author&gt;&lt;author&gt;Harada, T.&lt;/author&gt;&lt;/authors&gt;&lt;/contributors&gt;&lt;titles&gt;&lt;title&gt;Analysis of pregnancy outcome and decline of anti-Müllerian hormone after laparoscopic cystectomy for ovarian endometriomas&lt;/title&gt;&lt;secondary-title&gt;Journal of Obstetrics and Gynaecology Research&lt;/secondary-title&gt;&lt;/titles&gt;&lt;periodical&gt;&lt;full-title&gt;Journal of Obstetrics and Gynaecology Research&lt;/full-title&gt;&lt;/periodical&gt;&lt;pages&gt;1534-1540&lt;/pages&gt;&lt;volume&gt;42&lt;/volume&gt;&lt;number&gt;11&lt;/number&gt;&lt;keywords&gt;&lt;keyword&gt;Endometriosis&lt;/keyword&gt;&lt;keyword&gt;Pregnancy Outcome&lt;/keyword&gt;&lt;keyword&gt;Cystectomy&lt;/keyword&gt;&lt;keyword&gt;Pregnancy&lt;/keyword&gt;&lt;/keywords&gt;&lt;dates&gt;&lt;year&gt;2016&lt;/year&gt;&lt;pub-dates&gt;&lt;date&gt;2016-1-1&lt;/date&gt;&lt;/pub-dates&gt;&lt;/dates&gt;&lt;accession-num&gt;rayyan-6678978&lt;/accession-num&gt;&lt;urls&gt;&lt;related-urls&gt;&lt;url&gt;http://www.embase.com/search/results?subaction=viewrecord&amp;amp;from=export&amp;amp;id=L611695208 http://dx.doi.org/10.1111/jog.13081&lt;/url&gt;&lt;url&gt;http://onlinelibrary.wiley.com/store/10.1111/jog.13081/asset/jog13081.pdf?v=1&amp;amp;t=j5niuj1j&amp;amp;s=a7c643096d8d90df06ce3c62198d552a3bda4259&lt;/url&gt;&lt;/related-urls&gt;&lt;/urls&gt;&lt;custom1&gt;RAYYAN-INCLUSION: {&amp;quot;Sharon&amp;quot;=&amp;gt;true}&lt;/custom1&gt;&lt;/record&gt;&lt;/Cite&gt;&lt;/EndNote&gt;</w:instrText>
      </w:r>
      <w:r w:rsidR="004308C4">
        <w:fldChar w:fldCharType="separate"/>
      </w:r>
      <w:r w:rsidR="004308C4">
        <w:rPr>
          <w:noProof/>
        </w:rPr>
        <w:t>(</w:t>
      </w:r>
      <w:hyperlink w:anchor="_ENREF_69" w:tooltip="Taniguchi, 2016 #345" w:history="1">
        <w:r w:rsidR="00835BA6">
          <w:rPr>
            <w:noProof/>
          </w:rPr>
          <w:t>Taniguchi et al. 2016</w:t>
        </w:r>
      </w:hyperlink>
      <w:r w:rsidR="004308C4">
        <w:rPr>
          <w:noProof/>
        </w:rPr>
        <w:t>)</w:t>
      </w:r>
      <w:r w:rsidR="004308C4">
        <w:fldChar w:fldCharType="end"/>
      </w:r>
      <w:r w:rsidRPr="006C5833">
        <w:t>.</w:t>
      </w:r>
    </w:p>
    <w:p w14:paraId="5C4F5C17" w14:textId="705A02AE" w:rsidR="007518CF" w:rsidRDefault="00A70D09" w:rsidP="00A70D09">
      <w:pPr>
        <w:pStyle w:val="CommentText"/>
        <w:jc w:val="both"/>
        <w:rPr>
          <w:sz w:val="22"/>
        </w:rPr>
      </w:pPr>
      <w:r w:rsidRPr="00A70D09">
        <w:rPr>
          <w:sz w:val="22"/>
        </w:rPr>
        <w:t>Although there is a trend showing that those with a high</w:t>
      </w:r>
      <w:r>
        <w:rPr>
          <w:sz w:val="22"/>
        </w:rPr>
        <w:t>er</w:t>
      </w:r>
      <w:r w:rsidRPr="00A70D09">
        <w:rPr>
          <w:sz w:val="22"/>
        </w:rPr>
        <w:t xml:space="preserve"> AMH level are more likely to have a pregnancy, the difference between those with low and high AMH is </w:t>
      </w:r>
      <w:r w:rsidR="005F5C5D">
        <w:rPr>
          <w:sz w:val="22"/>
        </w:rPr>
        <w:t>too small to inform</w:t>
      </w:r>
      <w:r w:rsidRPr="00A70D09">
        <w:rPr>
          <w:sz w:val="22"/>
        </w:rPr>
        <w:t xml:space="preserve"> clinical decisions. No mention was made regarding the use of fertility preservation, so </w:t>
      </w:r>
      <w:r w:rsidR="005F5C5D">
        <w:rPr>
          <w:sz w:val="22"/>
        </w:rPr>
        <w:t>it</w:t>
      </w:r>
      <w:r w:rsidRPr="00A70D09">
        <w:rPr>
          <w:sz w:val="22"/>
        </w:rPr>
        <w:t xml:space="preserve"> ca</w:t>
      </w:r>
      <w:r>
        <w:rPr>
          <w:sz w:val="22"/>
        </w:rPr>
        <w:t xml:space="preserve">n only </w:t>
      </w:r>
      <w:r w:rsidR="005F5C5D">
        <w:rPr>
          <w:sz w:val="22"/>
        </w:rPr>
        <w:t xml:space="preserve">be </w:t>
      </w:r>
      <w:r>
        <w:rPr>
          <w:sz w:val="22"/>
        </w:rPr>
        <w:t>assume</w:t>
      </w:r>
      <w:r w:rsidR="005F5C5D">
        <w:rPr>
          <w:sz w:val="22"/>
        </w:rPr>
        <w:t>d</w:t>
      </w:r>
      <w:r>
        <w:rPr>
          <w:sz w:val="22"/>
        </w:rPr>
        <w:t xml:space="preserve"> that ART </w:t>
      </w:r>
      <w:r w:rsidRPr="00A70D09">
        <w:rPr>
          <w:sz w:val="22"/>
        </w:rPr>
        <w:t xml:space="preserve">was </w:t>
      </w:r>
      <w:r w:rsidR="005F5C5D">
        <w:rPr>
          <w:sz w:val="22"/>
        </w:rPr>
        <w:t xml:space="preserve">undertaken </w:t>
      </w:r>
      <w:r>
        <w:rPr>
          <w:sz w:val="22"/>
        </w:rPr>
        <w:t>with gametes collected</w:t>
      </w:r>
      <w:r w:rsidR="005F5C5D">
        <w:rPr>
          <w:sz w:val="22"/>
        </w:rPr>
        <w:t xml:space="preserve"> post-</w:t>
      </w:r>
      <w:r w:rsidRPr="00A70D09">
        <w:rPr>
          <w:sz w:val="22"/>
        </w:rPr>
        <w:t>treatment</w:t>
      </w:r>
      <w:r>
        <w:rPr>
          <w:sz w:val="22"/>
        </w:rPr>
        <w:t xml:space="preserve"> (e.g. in the study by Stochino-Loi et al.)</w:t>
      </w:r>
      <w:r w:rsidRPr="00A70D09">
        <w:rPr>
          <w:sz w:val="22"/>
        </w:rPr>
        <w:t>.</w:t>
      </w:r>
    </w:p>
    <w:p w14:paraId="40FAD09C" w14:textId="6ABB2A27" w:rsidR="00A813F1" w:rsidRDefault="00A813F1" w:rsidP="00A813F1">
      <w:pPr>
        <w:pStyle w:val="Heading4"/>
      </w:pPr>
      <w:r>
        <w:t xml:space="preserve">Predictive value of AMH </w:t>
      </w:r>
      <w:r w:rsidR="001E7102">
        <w:t>-</w:t>
      </w:r>
      <w:r>
        <w:t xml:space="preserve"> predicting response to controlled hyperstimulation</w:t>
      </w:r>
    </w:p>
    <w:p w14:paraId="1212B5DD" w14:textId="0580005D" w:rsidR="007518CF" w:rsidRDefault="00A813F1" w:rsidP="00A813F1">
      <w:pPr>
        <w:jc w:val="both"/>
      </w:pPr>
      <w:r>
        <w:t xml:space="preserve">The large study by Sonigo et al. (2016) evaluated the association between the number of </w:t>
      </w:r>
      <w:r w:rsidRPr="00DA3B7E">
        <w:t>in vitro</w:t>
      </w:r>
      <w:r>
        <w:t xml:space="preserve"> matured oocytes cryop</w:t>
      </w:r>
      <w:r w:rsidR="00DA3B7E">
        <w:t>reserved and AFC and AMH levels</w:t>
      </w:r>
      <w:r>
        <w:t xml:space="preserve"> in 340 cancer patients. The majority of the study population consisted of breast cancer patients (n=300). Also included were 14 women with haematological malignancies and 26 women with other forms of cancer. In the study, 301 women opted for oocyte cryopreservation, 39 chose embryo freezing and 47 women decided to undergo ovarian tissue cryopreservation in combination with </w:t>
      </w:r>
      <w:r w:rsidRPr="00DA3B7E">
        <w:t>in vitro</w:t>
      </w:r>
      <w:r>
        <w:t xml:space="preserve"> maturation. Odds ratios and the AUCs for number of oocytes frozen are shown in</w:t>
      </w:r>
      <w:r w:rsidR="00A70D09">
        <w:t xml:space="preserve"> </w:t>
      </w:r>
      <w:r w:rsidR="00A70D09">
        <w:fldChar w:fldCharType="begin"/>
      </w:r>
      <w:r w:rsidR="00A70D09">
        <w:instrText xml:space="preserve"> REF _Ref497902050 \h </w:instrText>
      </w:r>
      <w:r w:rsidR="00A70D09">
        <w:fldChar w:fldCharType="separate"/>
      </w:r>
      <w:r w:rsidR="00AC4BE5">
        <w:t xml:space="preserve">Table </w:t>
      </w:r>
      <w:r w:rsidR="00AC4BE5">
        <w:rPr>
          <w:noProof/>
        </w:rPr>
        <w:t>50</w:t>
      </w:r>
      <w:r w:rsidR="00A70D09">
        <w:fldChar w:fldCharType="end"/>
      </w:r>
      <w:r>
        <w:t>. The AUCs reported w</w:t>
      </w:r>
      <w:r w:rsidR="00524E7B">
        <w:t xml:space="preserve">ould mean that AMH would </w:t>
      </w:r>
      <w:r w:rsidR="00DA3B7E">
        <w:t>have</w:t>
      </w:r>
      <w:r w:rsidR="00524E7B">
        <w:t xml:space="preserve"> moderate</w:t>
      </w:r>
      <w:r w:rsidR="00DA3B7E">
        <w:t xml:space="preserve"> (0.7–</w:t>
      </w:r>
      <w:r>
        <w:t>0.8) to good (0.8</w:t>
      </w:r>
      <w:r w:rsidR="00DA3B7E">
        <w:t>–</w:t>
      </w:r>
      <w:r>
        <w:t xml:space="preserve">0.9) </w:t>
      </w:r>
      <w:r w:rsidR="00DA3B7E">
        <w:t>ability to predict</w:t>
      </w:r>
      <w:r>
        <w:t xml:space="preserve"> oocyte yields above or below a threshold, and AFC would have good (0.8</w:t>
      </w:r>
      <w:r w:rsidR="00DA3B7E">
        <w:t>–</w:t>
      </w:r>
      <w:r>
        <w:t xml:space="preserve">0.9) accuracy </w:t>
      </w:r>
      <w:r w:rsidR="00DA3B7E">
        <w:t>to predict</w:t>
      </w:r>
      <w:r>
        <w:t xml:space="preserve"> oocyte yield.</w:t>
      </w:r>
    </w:p>
    <w:p w14:paraId="1F7A32B4" w14:textId="640F76DD" w:rsidR="00CF0080" w:rsidRDefault="00CF0080" w:rsidP="00A813F1">
      <w:pPr>
        <w:jc w:val="both"/>
      </w:pPr>
      <w:r>
        <w:t>Sonigo et al. also reported the sensitivity and specificity of AMH and AFC at different thresholds for predicting the number of mature oocytes frozen (</w:t>
      </w:r>
      <w:r>
        <w:rPr>
          <w:highlight w:val="yellow"/>
        </w:rPr>
        <w:fldChar w:fldCharType="begin"/>
      </w:r>
      <w:r>
        <w:instrText xml:space="preserve"> REF _Ref497902095 \h </w:instrText>
      </w:r>
      <w:r>
        <w:rPr>
          <w:highlight w:val="yellow"/>
        </w:rPr>
      </w:r>
      <w:r>
        <w:rPr>
          <w:highlight w:val="yellow"/>
        </w:rPr>
        <w:fldChar w:fldCharType="separate"/>
      </w:r>
      <w:r w:rsidR="00AC4BE5">
        <w:t xml:space="preserve">Table </w:t>
      </w:r>
      <w:r w:rsidR="00AC4BE5">
        <w:rPr>
          <w:noProof/>
        </w:rPr>
        <w:t>51</w:t>
      </w:r>
      <w:r>
        <w:rPr>
          <w:highlight w:val="yellow"/>
        </w:rPr>
        <w:fldChar w:fldCharType="end"/>
      </w:r>
      <w:r>
        <w:t>).</w:t>
      </w:r>
    </w:p>
    <w:p w14:paraId="3A541EE4" w14:textId="0A55284C" w:rsidR="00A813F1" w:rsidRDefault="00A813F1" w:rsidP="006D275B">
      <w:pPr>
        <w:pStyle w:val="Caption"/>
        <w:keepNext/>
        <w:ind w:left="993" w:hanging="993"/>
      </w:pPr>
      <w:bookmarkStart w:id="326" w:name="_Ref497902050"/>
      <w:bookmarkStart w:id="327" w:name="_Toc502833068"/>
      <w:r>
        <w:t xml:space="preserve">Table </w:t>
      </w:r>
      <w:r w:rsidR="00AC4BE5">
        <w:fldChar w:fldCharType="begin"/>
      </w:r>
      <w:r w:rsidR="00AC4BE5">
        <w:instrText xml:space="preserve"> SEQ Table \* ARABIC </w:instrText>
      </w:r>
      <w:r w:rsidR="00AC4BE5">
        <w:fldChar w:fldCharType="separate"/>
      </w:r>
      <w:r w:rsidR="00AC4BE5">
        <w:rPr>
          <w:noProof/>
        </w:rPr>
        <w:t>50</w:t>
      </w:r>
      <w:r w:rsidR="00AC4BE5">
        <w:rPr>
          <w:noProof/>
        </w:rPr>
        <w:fldChar w:fldCharType="end"/>
      </w:r>
      <w:bookmarkEnd w:id="326"/>
      <w:r>
        <w:tab/>
        <w:t>Association between number of in vitro matured oocytes c</w:t>
      </w:r>
      <w:r w:rsidR="00CE4E22">
        <w:t>r</w:t>
      </w:r>
      <w:r>
        <w:t>yopreserve</w:t>
      </w:r>
      <w:r w:rsidR="00DA3B7E">
        <w:t xml:space="preserve">d and AFC and serum AMH levels, </w:t>
      </w:r>
      <w:r>
        <w:t>univariate linear regression</w:t>
      </w:r>
      <w:bookmarkEnd w:id="327"/>
    </w:p>
    <w:tbl>
      <w:tblPr>
        <w:tblStyle w:val="TableGrid"/>
        <w:tblW w:w="0" w:type="auto"/>
        <w:tblLook w:val="04A0" w:firstRow="1" w:lastRow="0" w:firstColumn="1" w:lastColumn="0" w:noHBand="0" w:noVBand="1"/>
        <w:tblCaption w:val="Association between number of in vitro matured oocytes cryopreserved and AFC and serum AMH levels (univariate linear regression)"/>
        <w:tblDescription w:val="Association between number of in vitro matured oocytes cryopreserved and AFC and serum AMH levels (univariate linear regression)"/>
      </w:tblPr>
      <w:tblGrid>
        <w:gridCol w:w="1803"/>
        <w:gridCol w:w="3579"/>
        <w:gridCol w:w="3544"/>
      </w:tblGrid>
      <w:tr w:rsidR="00A813F1" w14:paraId="42CE2B4D" w14:textId="77777777" w:rsidTr="00762873">
        <w:trPr>
          <w:tblHeader/>
        </w:trPr>
        <w:tc>
          <w:tcPr>
            <w:tcW w:w="1803" w:type="dxa"/>
            <w:tcBorders>
              <w:top w:val="single" w:sz="4" w:space="0" w:color="auto"/>
              <w:left w:val="single" w:sz="4" w:space="0" w:color="auto"/>
              <w:bottom w:val="nil"/>
              <w:right w:val="single" w:sz="4" w:space="0" w:color="auto"/>
            </w:tcBorders>
          </w:tcPr>
          <w:p w14:paraId="4831D3E4" w14:textId="77777777" w:rsidR="00A813F1" w:rsidRPr="00B7183E" w:rsidRDefault="00A813F1" w:rsidP="00B7183E">
            <w:pPr>
              <w:pStyle w:val="Tabletext1"/>
              <w:ind w:left="0"/>
              <w:rPr>
                <w:b/>
              </w:rPr>
            </w:pPr>
            <w:r w:rsidRPr="00B7183E">
              <w:rPr>
                <w:b/>
              </w:rPr>
              <w:t>Oocyte yield</w:t>
            </w:r>
          </w:p>
        </w:tc>
        <w:tc>
          <w:tcPr>
            <w:tcW w:w="3579" w:type="dxa"/>
            <w:tcBorders>
              <w:left w:val="single" w:sz="4" w:space="0" w:color="auto"/>
              <w:bottom w:val="single" w:sz="4" w:space="0" w:color="auto"/>
            </w:tcBorders>
          </w:tcPr>
          <w:p w14:paraId="3A9A9B1C" w14:textId="77777777" w:rsidR="00A813F1" w:rsidRPr="00B7183E" w:rsidRDefault="00A813F1" w:rsidP="00CF0080">
            <w:pPr>
              <w:pStyle w:val="Tabletext1"/>
              <w:ind w:left="0"/>
              <w:rPr>
                <w:b/>
              </w:rPr>
            </w:pPr>
            <w:r w:rsidRPr="00B7183E">
              <w:rPr>
                <w:b/>
              </w:rPr>
              <w:t>AMH (ng/mL)</w:t>
            </w:r>
          </w:p>
        </w:tc>
        <w:tc>
          <w:tcPr>
            <w:tcW w:w="3544" w:type="dxa"/>
            <w:tcBorders>
              <w:bottom w:val="single" w:sz="4" w:space="0" w:color="auto"/>
            </w:tcBorders>
          </w:tcPr>
          <w:p w14:paraId="583D4D5F" w14:textId="77777777" w:rsidR="00A813F1" w:rsidRPr="00B7183E" w:rsidRDefault="00A813F1" w:rsidP="00CF0080">
            <w:pPr>
              <w:pStyle w:val="Tabletext1"/>
              <w:ind w:left="0"/>
              <w:rPr>
                <w:b/>
              </w:rPr>
            </w:pPr>
            <w:r w:rsidRPr="00B7183E">
              <w:rPr>
                <w:b/>
              </w:rPr>
              <w:t>AFC (n)</w:t>
            </w:r>
          </w:p>
        </w:tc>
      </w:tr>
      <w:tr w:rsidR="00A813F1" w14:paraId="435B998D" w14:textId="77777777" w:rsidTr="00762873">
        <w:tc>
          <w:tcPr>
            <w:tcW w:w="1803" w:type="dxa"/>
            <w:tcBorders>
              <w:top w:val="nil"/>
              <w:left w:val="single" w:sz="4" w:space="0" w:color="auto"/>
              <w:bottom w:val="single" w:sz="4" w:space="0" w:color="auto"/>
              <w:right w:val="single" w:sz="4" w:space="0" w:color="auto"/>
            </w:tcBorders>
          </w:tcPr>
          <w:p w14:paraId="7A5FF120" w14:textId="77777777" w:rsidR="00A813F1" w:rsidRPr="00B7183E" w:rsidRDefault="00A813F1" w:rsidP="00B7183E">
            <w:pPr>
              <w:pStyle w:val="Tabletext1"/>
              <w:ind w:left="0"/>
              <w:rPr>
                <w:b/>
              </w:rPr>
            </w:pPr>
          </w:p>
        </w:tc>
        <w:tc>
          <w:tcPr>
            <w:tcW w:w="3579" w:type="dxa"/>
            <w:tcBorders>
              <w:top w:val="single" w:sz="4" w:space="0" w:color="auto"/>
              <w:left w:val="single" w:sz="4" w:space="0" w:color="auto"/>
              <w:bottom w:val="single" w:sz="4" w:space="0" w:color="auto"/>
              <w:right w:val="nil"/>
            </w:tcBorders>
          </w:tcPr>
          <w:p w14:paraId="4DB255C1" w14:textId="1977332D" w:rsidR="00A813F1" w:rsidRPr="00B7183E" w:rsidRDefault="00A813F1" w:rsidP="00CF0080">
            <w:pPr>
              <w:pStyle w:val="Tabletext1"/>
              <w:ind w:left="0"/>
              <w:rPr>
                <w:b/>
              </w:rPr>
            </w:pPr>
            <w:r w:rsidRPr="00B7183E">
              <w:rPr>
                <w:b/>
              </w:rPr>
              <w:t xml:space="preserve">OR </w:t>
            </w:r>
            <w:r w:rsidR="00DA3B7E" w:rsidRPr="00B7183E">
              <w:rPr>
                <w:b/>
              </w:rPr>
              <w:t>[95%CI]</w:t>
            </w:r>
          </w:p>
        </w:tc>
        <w:tc>
          <w:tcPr>
            <w:tcW w:w="3544" w:type="dxa"/>
            <w:tcBorders>
              <w:top w:val="single" w:sz="4" w:space="0" w:color="auto"/>
              <w:left w:val="nil"/>
              <w:bottom w:val="single" w:sz="4" w:space="0" w:color="auto"/>
              <w:right w:val="single" w:sz="4" w:space="0" w:color="auto"/>
            </w:tcBorders>
          </w:tcPr>
          <w:p w14:paraId="4D90B424" w14:textId="77777777" w:rsidR="00A813F1" w:rsidRPr="00B7183E" w:rsidRDefault="00A813F1" w:rsidP="00B7183E">
            <w:pPr>
              <w:pStyle w:val="Tabletext1"/>
              <w:rPr>
                <w:b/>
              </w:rPr>
            </w:pPr>
          </w:p>
        </w:tc>
      </w:tr>
      <w:tr w:rsidR="00A813F1" w14:paraId="1B07B46E" w14:textId="77777777" w:rsidTr="00762873">
        <w:tc>
          <w:tcPr>
            <w:tcW w:w="1803" w:type="dxa"/>
            <w:tcBorders>
              <w:top w:val="single" w:sz="4" w:space="0" w:color="auto"/>
            </w:tcBorders>
          </w:tcPr>
          <w:p w14:paraId="2C1E9336" w14:textId="77777777" w:rsidR="00A813F1" w:rsidRDefault="00A813F1" w:rsidP="001007BD">
            <w:pPr>
              <w:pStyle w:val="Tabletext1"/>
              <w:ind w:left="0"/>
            </w:pPr>
            <w:r>
              <w:t>≤2 oocytes</w:t>
            </w:r>
          </w:p>
        </w:tc>
        <w:tc>
          <w:tcPr>
            <w:tcW w:w="3579" w:type="dxa"/>
            <w:tcBorders>
              <w:top w:val="single" w:sz="4" w:space="0" w:color="auto"/>
            </w:tcBorders>
          </w:tcPr>
          <w:p w14:paraId="2C02420E" w14:textId="51884944" w:rsidR="00A813F1" w:rsidRDefault="00DA3B7E" w:rsidP="001007BD">
            <w:pPr>
              <w:pStyle w:val="Tabletext1"/>
              <w:ind w:left="0"/>
            </w:pPr>
            <w:r>
              <w:t>0.63 [0.53, 0.76]</w:t>
            </w:r>
            <w:r w:rsidR="00A813F1">
              <w:rPr>
                <w:vertAlign w:val="superscript"/>
              </w:rPr>
              <w:t>a</w:t>
            </w:r>
          </w:p>
        </w:tc>
        <w:tc>
          <w:tcPr>
            <w:tcW w:w="3544" w:type="dxa"/>
            <w:tcBorders>
              <w:top w:val="single" w:sz="4" w:space="0" w:color="auto"/>
            </w:tcBorders>
          </w:tcPr>
          <w:p w14:paraId="6DACD8D7" w14:textId="7953BFE1" w:rsidR="00A813F1" w:rsidRDefault="00565A05" w:rsidP="001007BD">
            <w:pPr>
              <w:pStyle w:val="Tabletext1"/>
              <w:ind w:left="0"/>
            </w:pPr>
            <w:r>
              <w:t>0.85 [0.81, 0.89]</w:t>
            </w:r>
            <w:r w:rsidR="00A813F1">
              <w:rPr>
                <w:vertAlign w:val="superscript"/>
              </w:rPr>
              <w:t>a</w:t>
            </w:r>
          </w:p>
        </w:tc>
      </w:tr>
      <w:tr w:rsidR="00A813F1" w14:paraId="5611EDE5" w14:textId="77777777" w:rsidTr="00762873">
        <w:tc>
          <w:tcPr>
            <w:tcW w:w="1803" w:type="dxa"/>
          </w:tcPr>
          <w:p w14:paraId="11A1B169" w14:textId="77777777" w:rsidR="00A813F1" w:rsidRDefault="00A813F1" w:rsidP="001007BD">
            <w:pPr>
              <w:pStyle w:val="Tabletext1"/>
              <w:ind w:left="0"/>
            </w:pPr>
            <w:r>
              <w:t>≥8 oocytes</w:t>
            </w:r>
          </w:p>
        </w:tc>
        <w:tc>
          <w:tcPr>
            <w:tcW w:w="3579" w:type="dxa"/>
          </w:tcPr>
          <w:p w14:paraId="031FCDA2" w14:textId="428F1778" w:rsidR="00A813F1" w:rsidRDefault="00DA3B7E" w:rsidP="001007BD">
            <w:pPr>
              <w:pStyle w:val="Tabletext1"/>
              <w:ind w:left="0"/>
            </w:pPr>
            <w:r>
              <w:t>1.33 [1.21, 1.46]</w:t>
            </w:r>
            <w:r w:rsidR="00A813F1">
              <w:rPr>
                <w:vertAlign w:val="superscript"/>
              </w:rPr>
              <w:t>a</w:t>
            </w:r>
          </w:p>
        </w:tc>
        <w:tc>
          <w:tcPr>
            <w:tcW w:w="3544" w:type="dxa"/>
          </w:tcPr>
          <w:p w14:paraId="76207413" w14:textId="087D89C2" w:rsidR="00A813F1" w:rsidRDefault="00565A05" w:rsidP="001007BD">
            <w:pPr>
              <w:pStyle w:val="Tabletext1"/>
              <w:ind w:left="0"/>
            </w:pPr>
            <w:r>
              <w:t>1.09 [1.06, 1.12]</w:t>
            </w:r>
            <w:r w:rsidR="00A813F1">
              <w:rPr>
                <w:vertAlign w:val="superscript"/>
              </w:rPr>
              <w:t>a</w:t>
            </w:r>
          </w:p>
        </w:tc>
      </w:tr>
      <w:tr w:rsidR="00A813F1" w14:paraId="10FF854A" w14:textId="77777777" w:rsidTr="00762873">
        <w:tc>
          <w:tcPr>
            <w:tcW w:w="1803" w:type="dxa"/>
          </w:tcPr>
          <w:p w14:paraId="08E057D1" w14:textId="77777777" w:rsidR="00A813F1" w:rsidRDefault="00A813F1" w:rsidP="001007BD">
            <w:pPr>
              <w:pStyle w:val="Tabletext1"/>
              <w:ind w:left="0"/>
            </w:pPr>
            <w:r>
              <w:t>≥10 oocytes</w:t>
            </w:r>
          </w:p>
        </w:tc>
        <w:tc>
          <w:tcPr>
            <w:tcW w:w="3579" w:type="dxa"/>
          </w:tcPr>
          <w:p w14:paraId="21959670" w14:textId="61A476EA" w:rsidR="00A813F1" w:rsidRDefault="00DA3B7E" w:rsidP="001007BD">
            <w:pPr>
              <w:pStyle w:val="Tabletext1"/>
              <w:ind w:left="0"/>
            </w:pPr>
            <w:r>
              <w:t>1.30 [1.19, 1.42]</w:t>
            </w:r>
            <w:r w:rsidR="00A813F1">
              <w:rPr>
                <w:vertAlign w:val="superscript"/>
              </w:rPr>
              <w:t>a</w:t>
            </w:r>
          </w:p>
        </w:tc>
        <w:tc>
          <w:tcPr>
            <w:tcW w:w="3544" w:type="dxa"/>
          </w:tcPr>
          <w:p w14:paraId="02B9124B" w14:textId="2A2ECF75" w:rsidR="00A813F1" w:rsidRDefault="00565A05" w:rsidP="001007BD">
            <w:pPr>
              <w:pStyle w:val="Tabletext1"/>
              <w:ind w:left="0"/>
            </w:pPr>
            <w:r>
              <w:t>1.09 [1.06, 1.12]</w:t>
            </w:r>
            <w:r w:rsidR="00A813F1">
              <w:rPr>
                <w:vertAlign w:val="superscript"/>
              </w:rPr>
              <w:t>a</w:t>
            </w:r>
          </w:p>
        </w:tc>
      </w:tr>
      <w:tr w:rsidR="00A813F1" w14:paraId="3BEF8A32" w14:textId="77777777" w:rsidTr="00762873">
        <w:tc>
          <w:tcPr>
            <w:tcW w:w="1803" w:type="dxa"/>
          </w:tcPr>
          <w:p w14:paraId="35A92AA6" w14:textId="77777777" w:rsidR="00A813F1" w:rsidRDefault="00A813F1" w:rsidP="001007BD">
            <w:pPr>
              <w:pStyle w:val="Tabletext1"/>
              <w:ind w:left="0"/>
            </w:pPr>
            <w:r>
              <w:lastRenderedPageBreak/>
              <w:t>≥15 oocytes</w:t>
            </w:r>
          </w:p>
        </w:tc>
        <w:tc>
          <w:tcPr>
            <w:tcW w:w="3579" w:type="dxa"/>
            <w:tcBorders>
              <w:bottom w:val="single" w:sz="4" w:space="0" w:color="auto"/>
            </w:tcBorders>
          </w:tcPr>
          <w:p w14:paraId="35D5E6B7" w14:textId="37AF70AE" w:rsidR="00A813F1" w:rsidRDefault="00DA3B7E" w:rsidP="001007BD">
            <w:pPr>
              <w:pStyle w:val="Tabletext1"/>
              <w:ind w:left="0"/>
            </w:pPr>
            <w:r>
              <w:t>1.17 [1.05, 1.31]</w:t>
            </w:r>
            <w:r w:rsidR="00A813F1">
              <w:rPr>
                <w:vertAlign w:val="superscript"/>
              </w:rPr>
              <w:t>b</w:t>
            </w:r>
          </w:p>
        </w:tc>
        <w:tc>
          <w:tcPr>
            <w:tcW w:w="3544" w:type="dxa"/>
            <w:tcBorders>
              <w:bottom w:val="single" w:sz="4" w:space="0" w:color="auto"/>
            </w:tcBorders>
          </w:tcPr>
          <w:p w14:paraId="6A00CE19" w14:textId="2A19B078" w:rsidR="00A813F1" w:rsidRDefault="00565A05" w:rsidP="001007BD">
            <w:pPr>
              <w:pStyle w:val="Tabletext1"/>
              <w:ind w:left="0"/>
            </w:pPr>
            <w:r>
              <w:t>1.07 [1.03, 1.1]</w:t>
            </w:r>
            <w:r w:rsidR="00A813F1">
              <w:rPr>
                <w:vertAlign w:val="superscript"/>
              </w:rPr>
              <w:t>a</w:t>
            </w:r>
          </w:p>
        </w:tc>
      </w:tr>
      <w:tr w:rsidR="00A813F1" w14:paraId="44A3EB8E" w14:textId="77777777" w:rsidTr="00762873">
        <w:tc>
          <w:tcPr>
            <w:tcW w:w="1803" w:type="dxa"/>
            <w:tcBorders>
              <w:right w:val="single" w:sz="4" w:space="0" w:color="auto"/>
            </w:tcBorders>
          </w:tcPr>
          <w:p w14:paraId="6F957654" w14:textId="77777777" w:rsidR="00A813F1" w:rsidRDefault="00A813F1" w:rsidP="00CF0080">
            <w:pPr>
              <w:pStyle w:val="Tabletext1"/>
              <w:ind w:left="0"/>
            </w:pPr>
          </w:p>
        </w:tc>
        <w:tc>
          <w:tcPr>
            <w:tcW w:w="3579" w:type="dxa"/>
            <w:tcBorders>
              <w:top w:val="single" w:sz="4" w:space="0" w:color="auto"/>
              <w:left w:val="single" w:sz="4" w:space="0" w:color="auto"/>
              <w:bottom w:val="single" w:sz="4" w:space="0" w:color="auto"/>
              <w:right w:val="nil"/>
            </w:tcBorders>
          </w:tcPr>
          <w:p w14:paraId="53E9705F" w14:textId="698E6B0E" w:rsidR="00A813F1" w:rsidRPr="00CF0080" w:rsidRDefault="00DA3B7E" w:rsidP="00CF0080">
            <w:pPr>
              <w:pStyle w:val="Tabletext1"/>
              <w:ind w:left="0"/>
              <w:rPr>
                <w:b/>
              </w:rPr>
            </w:pPr>
            <w:r w:rsidRPr="00CF0080">
              <w:rPr>
                <w:b/>
              </w:rPr>
              <w:t>AUC [95%CI]</w:t>
            </w:r>
          </w:p>
        </w:tc>
        <w:tc>
          <w:tcPr>
            <w:tcW w:w="3544" w:type="dxa"/>
            <w:tcBorders>
              <w:top w:val="single" w:sz="4" w:space="0" w:color="auto"/>
              <w:left w:val="nil"/>
              <w:bottom w:val="single" w:sz="4" w:space="0" w:color="auto"/>
              <w:right w:val="single" w:sz="4" w:space="0" w:color="auto"/>
            </w:tcBorders>
          </w:tcPr>
          <w:p w14:paraId="3D88D018" w14:textId="77777777" w:rsidR="00A813F1" w:rsidRDefault="00A813F1" w:rsidP="00CF0080">
            <w:pPr>
              <w:pStyle w:val="Tabletext1"/>
            </w:pPr>
          </w:p>
        </w:tc>
      </w:tr>
      <w:tr w:rsidR="00A813F1" w14:paraId="35BFA82A" w14:textId="77777777" w:rsidTr="00762873">
        <w:tc>
          <w:tcPr>
            <w:tcW w:w="1803" w:type="dxa"/>
            <w:tcBorders>
              <w:right w:val="single" w:sz="4" w:space="0" w:color="auto"/>
            </w:tcBorders>
          </w:tcPr>
          <w:p w14:paraId="5F908153" w14:textId="77777777" w:rsidR="00A813F1" w:rsidRDefault="00A813F1" w:rsidP="001007BD">
            <w:pPr>
              <w:pStyle w:val="Tabletext1"/>
              <w:ind w:left="0"/>
            </w:pPr>
            <w:r>
              <w:t>≤2 oocytes</w:t>
            </w:r>
          </w:p>
        </w:tc>
        <w:tc>
          <w:tcPr>
            <w:tcW w:w="3579" w:type="dxa"/>
            <w:tcBorders>
              <w:top w:val="single" w:sz="4" w:space="0" w:color="auto"/>
              <w:left w:val="single" w:sz="4" w:space="0" w:color="auto"/>
              <w:bottom w:val="single" w:sz="4" w:space="0" w:color="auto"/>
              <w:right w:val="single" w:sz="4" w:space="0" w:color="auto"/>
            </w:tcBorders>
          </w:tcPr>
          <w:p w14:paraId="45BE25B8" w14:textId="7C3F61AD" w:rsidR="00A813F1" w:rsidRPr="00AF0B2A" w:rsidRDefault="00DA3B7E" w:rsidP="001007BD">
            <w:pPr>
              <w:pStyle w:val="Tabletext1"/>
              <w:ind w:left="0"/>
            </w:pPr>
            <w:r>
              <w:t>0.79 [</w:t>
            </w:r>
            <w:r w:rsidR="00A813F1" w:rsidRPr="00AF0B2A">
              <w:t>0.</w:t>
            </w:r>
            <w:r>
              <w:t>73, 0.86]</w:t>
            </w:r>
          </w:p>
        </w:tc>
        <w:tc>
          <w:tcPr>
            <w:tcW w:w="3544" w:type="dxa"/>
            <w:tcBorders>
              <w:top w:val="single" w:sz="4" w:space="0" w:color="auto"/>
              <w:left w:val="single" w:sz="4" w:space="0" w:color="auto"/>
              <w:bottom w:val="single" w:sz="4" w:space="0" w:color="auto"/>
              <w:right w:val="single" w:sz="4" w:space="0" w:color="auto"/>
            </w:tcBorders>
          </w:tcPr>
          <w:p w14:paraId="2AB9D225" w14:textId="465237C3" w:rsidR="00A813F1" w:rsidRDefault="00565A05" w:rsidP="001007BD">
            <w:pPr>
              <w:pStyle w:val="Tabletext1"/>
              <w:ind w:left="0"/>
            </w:pPr>
            <w:r>
              <w:t>0.81 [0.76, 0.86]</w:t>
            </w:r>
          </w:p>
        </w:tc>
      </w:tr>
      <w:tr w:rsidR="00A813F1" w14:paraId="78A8746C" w14:textId="77777777" w:rsidTr="00762873">
        <w:tc>
          <w:tcPr>
            <w:tcW w:w="1803" w:type="dxa"/>
            <w:tcBorders>
              <w:right w:val="single" w:sz="4" w:space="0" w:color="auto"/>
            </w:tcBorders>
          </w:tcPr>
          <w:p w14:paraId="14A31B1E" w14:textId="77777777" w:rsidR="00A813F1" w:rsidRDefault="00A813F1" w:rsidP="001007BD">
            <w:pPr>
              <w:pStyle w:val="Tabletext1"/>
              <w:ind w:left="0"/>
            </w:pPr>
            <w:r>
              <w:t>≥8 oocytes</w:t>
            </w:r>
          </w:p>
        </w:tc>
        <w:tc>
          <w:tcPr>
            <w:tcW w:w="3579" w:type="dxa"/>
            <w:tcBorders>
              <w:top w:val="single" w:sz="4" w:space="0" w:color="auto"/>
              <w:left w:val="single" w:sz="4" w:space="0" w:color="auto"/>
              <w:bottom w:val="single" w:sz="4" w:space="0" w:color="auto"/>
              <w:right w:val="single" w:sz="4" w:space="0" w:color="auto"/>
            </w:tcBorders>
          </w:tcPr>
          <w:p w14:paraId="505408CB" w14:textId="27CA9A20" w:rsidR="00A813F1" w:rsidRPr="00AF0B2A" w:rsidRDefault="00DA3B7E" w:rsidP="001007BD">
            <w:pPr>
              <w:pStyle w:val="Tabletext1"/>
              <w:ind w:left="0"/>
            </w:pPr>
            <w:r>
              <w:t>0.80 [0.74, 0.86]</w:t>
            </w:r>
          </w:p>
        </w:tc>
        <w:tc>
          <w:tcPr>
            <w:tcW w:w="3544" w:type="dxa"/>
            <w:tcBorders>
              <w:top w:val="single" w:sz="4" w:space="0" w:color="auto"/>
              <w:left w:val="single" w:sz="4" w:space="0" w:color="auto"/>
              <w:bottom w:val="single" w:sz="4" w:space="0" w:color="auto"/>
              <w:right w:val="single" w:sz="4" w:space="0" w:color="auto"/>
            </w:tcBorders>
          </w:tcPr>
          <w:p w14:paraId="42E224BE" w14:textId="2DEF0BDC" w:rsidR="00A813F1" w:rsidRDefault="00565A05" w:rsidP="001007BD">
            <w:pPr>
              <w:pStyle w:val="Tabletext1"/>
              <w:ind w:left="0"/>
            </w:pPr>
            <w:r>
              <w:t xml:space="preserve">0.80 [0.74, </w:t>
            </w:r>
            <w:r w:rsidR="00A813F1">
              <w:t>0.84</w:t>
            </w:r>
            <w:r>
              <w:t>]</w:t>
            </w:r>
          </w:p>
        </w:tc>
      </w:tr>
      <w:tr w:rsidR="00A813F1" w14:paraId="0354C3C1" w14:textId="77777777" w:rsidTr="00762873">
        <w:tc>
          <w:tcPr>
            <w:tcW w:w="1803" w:type="dxa"/>
            <w:tcBorders>
              <w:right w:val="single" w:sz="4" w:space="0" w:color="auto"/>
            </w:tcBorders>
          </w:tcPr>
          <w:p w14:paraId="7187468C" w14:textId="77777777" w:rsidR="00A813F1" w:rsidRDefault="00A813F1" w:rsidP="001007BD">
            <w:pPr>
              <w:pStyle w:val="Tabletext1"/>
              <w:ind w:left="0"/>
            </w:pPr>
            <w:r>
              <w:t>≥10 oocytes</w:t>
            </w:r>
          </w:p>
        </w:tc>
        <w:tc>
          <w:tcPr>
            <w:tcW w:w="3579" w:type="dxa"/>
            <w:tcBorders>
              <w:top w:val="single" w:sz="4" w:space="0" w:color="auto"/>
              <w:left w:val="single" w:sz="4" w:space="0" w:color="auto"/>
              <w:bottom w:val="single" w:sz="4" w:space="0" w:color="auto"/>
              <w:right w:val="single" w:sz="4" w:space="0" w:color="auto"/>
            </w:tcBorders>
          </w:tcPr>
          <w:p w14:paraId="6DAA57AD" w14:textId="1C811B33" w:rsidR="00A813F1" w:rsidRPr="00AF0B2A" w:rsidRDefault="00DA3B7E" w:rsidP="001007BD">
            <w:pPr>
              <w:pStyle w:val="Tabletext1"/>
              <w:ind w:left="0"/>
            </w:pPr>
            <w:r>
              <w:t>0.81 [0.75, 0.88]</w:t>
            </w:r>
          </w:p>
        </w:tc>
        <w:tc>
          <w:tcPr>
            <w:tcW w:w="3544" w:type="dxa"/>
            <w:tcBorders>
              <w:top w:val="single" w:sz="4" w:space="0" w:color="auto"/>
              <w:left w:val="single" w:sz="4" w:space="0" w:color="auto"/>
              <w:bottom w:val="single" w:sz="4" w:space="0" w:color="auto"/>
              <w:right w:val="single" w:sz="4" w:space="0" w:color="auto"/>
            </w:tcBorders>
          </w:tcPr>
          <w:p w14:paraId="3AF27A90" w14:textId="7CD2CB1D" w:rsidR="00A813F1" w:rsidRDefault="00DA3B7E" w:rsidP="001007BD">
            <w:pPr>
              <w:pStyle w:val="Tabletext1"/>
              <w:ind w:left="0"/>
            </w:pPr>
            <w:r>
              <w:t>0.82 [0.76, 0.88]</w:t>
            </w:r>
          </w:p>
        </w:tc>
      </w:tr>
      <w:tr w:rsidR="00A813F1" w14:paraId="73CFB98B" w14:textId="77777777" w:rsidTr="00762873">
        <w:tc>
          <w:tcPr>
            <w:tcW w:w="1803" w:type="dxa"/>
            <w:tcBorders>
              <w:right w:val="single" w:sz="4" w:space="0" w:color="auto"/>
            </w:tcBorders>
          </w:tcPr>
          <w:p w14:paraId="65E663A1" w14:textId="77777777" w:rsidR="00A813F1" w:rsidRDefault="00A813F1" w:rsidP="001007BD">
            <w:pPr>
              <w:pStyle w:val="Tabletext1"/>
              <w:ind w:left="0"/>
            </w:pPr>
            <w:r>
              <w:t>≥15 oocytes</w:t>
            </w:r>
          </w:p>
        </w:tc>
        <w:tc>
          <w:tcPr>
            <w:tcW w:w="3579" w:type="dxa"/>
            <w:tcBorders>
              <w:top w:val="single" w:sz="4" w:space="0" w:color="auto"/>
              <w:left w:val="single" w:sz="4" w:space="0" w:color="auto"/>
              <w:bottom w:val="single" w:sz="4" w:space="0" w:color="auto"/>
              <w:right w:val="single" w:sz="4" w:space="0" w:color="auto"/>
            </w:tcBorders>
          </w:tcPr>
          <w:p w14:paraId="52891140" w14:textId="50AB220E" w:rsidR="00A813F1" w:rsidRPr="00AF0B2A" w:rsidRDefault="00DA3B7E" w:rsidP="001007BD">
            <w:pPr>
              <w:pStyle w:val="Tabletext1"/>
              <w:ind w:left="0"/>
            </w:pPr>
            <w:r>
              <w:t>0.79 [0.65, 0.92]</w:t>
            </w:r>
          </w:p>
        </w:tc>
        <w:tc>
          <w:tcPr>
            <w:tcW w:w="3544" w:type="dxa"/>
            <w:tcBorders>
              <w:top w:val="single" w:sz="4" w:space="0" w:color="auto"/>
              <w:left w:val="single" w:sz="4" w:space="0" w:color="auto"/>
              <w:bottom w:val="single" w:sz="4" w:space="0" w:color="auto"/>
              <w:right w:val="single" w:sz="4" w:space="0" w:color="auto"/>
            </w:tcBorders>
          </w:tcPr>
          <w:p w14:paraId="6F679518" w14:textId="06DAEEE2" w:rsidR="00A813F1" w:rsidRDefault="00DA3B7E" w:rsidP="001007BD">
            <w:pPr>
              <w:pStyle w:val="Tabletext1"/>
              <w:ind w:left="0"/>
            </w:pPr>
            <w:r>
              <w:t>0.90 [0.84, 0.97]</w:t>
            </w:r>
          </w:p>
        </w:tc>
      </w:tr>
    </w:tbl>
    <w:p w14:paraId="11CAE0CE" w14:textId="31303E58" w:rsidR="00636F7C" w:rsidRPr="006D275B" w:rsidRDefault="00636F7C" w:rsidP="006D275B">
      <w:pPr>
        <w:pStyle w:val="Tablenotes0"/>
        <w:spacing w:after="0"/>
        <w:rPr>
          <w:szCs w:val="18"/>
        </w:rPr>
      </w:pPr>
      <w:r w:rsidRPr="006D275B">
        <w:rPr>
          <w:szCs w:val="18"/>
        </w:rPr>
        <w:t xml:space="preserve">AFC = antral follicle count, AMH = </w:t>
      </w:r>
      <w:r w:rsidR="00C41BAD" w:rsidRPr="006D275B">
        <w:rPr>
          <w:szCs w:val="18"/>
        </w:rPr>
        <w:t>anti-Müllerian hormone</w:t>
      </w:r>
      <w:r w:rsidRPr="006D275B">
        <w:rPr>
          <w:szCs w:val="18"/>
        </w:rPr>
        <w:t>, CI = confidence interval,</w:t>
      </w:r>
      <w:r w:rsidR="003767E2" w:rsidRPr="006D275B">
        <w:rPr>
          <w:szCs w:val="18"/>
        </w:rPr>
        <w:t xml:space="preserve"> </w:t>
      </w:r>
      <w:r w:rsidRPr="006D275B">
        <w:rPr>
          <w:szCs w:val="18"/>
        </w:rPr>
        <w:t>AUC = area under the curve, OR = odds ratio</w:t>
      </w:r>
    </w:p>
    <w:p w14:paraId="4BEA7189" w14:textId="401DC1C0" w:rsidR="00A813F1" w:rsidRPr="006D275B" w:rsidRDefault="00A813F1" w:rsidP="006D275B">
      <w:pPr>
        <w:spacing w:after="0" w:line="240" w:lineRule="auto"/>
        <w:ind w:right="-57"/>
        <w:rPr>
          <w:rFonts w:ascii="Arial Narrow" w:hAnsi="Arial Narrow"/>
          <w:sz w:val="18"/>
          <w:szCs w:val="18"/>
        </w:rPr>
      </w:pPr>
      <w:r w:rsidRPr="006D275B">
        <w:rPr>
          <w:rFonts w:ascii="Arial Narrow" w:hAnsi="Arial Narrow"/>
          <w:sz w:val="18"/>
          <w:szCs w:val="18"/>
          <w:vertAlign w:val="superscript"/>
        </w:rPr>
        <w:t>a</w:t>
      </w:r>
      <w:r w:rsidR="00DA3B7E" w:rsidRPr="006D275B">
        <w:rPr>
          <w:rFonts w:ascii="Arial Narrow" w:hAnsi="Arial Narrow"/>
          <w:sz w:val="18"/>
          <w:szCs w:val="18"/>
        </w:rPr>
        <w:t xml:space="preserve"> p</w:t>
      </w:r>
      <w:r w:rsidR="003B42B2" w:rsidRPr="006D275B">
        <w:rPr>
          <w:rFonts w:ascii="Arial Narrow" w:hAnsi="Arial Narrow"/>
          <w:sz w:val="18"/>
          <w:szCs w:val="18"/>
        </w:rPr>
        <w:t>&lt;</w:t>
      </w:r>
      <w:r w:rsidRPr="006D275B">
        <w:rPr>
          <w:rFonts w:ascii="Arial Narrow" w:hAnsi="Arial Narrow"/>
          <w:sz w:val="18"/>
          <w:szCs w:val="18"/>
        </w:rPr>
        <w:t>0.0001</w:t>
      </w:r>
    </w:p>
    <w:p w14:paraId="7C125FD9" w14:textId="2C040EAF" w:rsidR="00A813F1" w:rsidRPr="006D275B" w:rsidRDefault="00A813F1" w:rsidP="006D275B">
      <w:pPr>
        <w:spacing w:after="0" w:line="240" w:lineRule="auto"/>
        <w:ind w:right="-57"/>
        <w:rPr>
          <w:rFonts w:ascii="Arial Narrow" w:hAnsi="Arial Narrow"/>
          <w:sz w:val="18"/>
          <w:szCs w:val="18"/>
        </w:rPr>
      </w:pPr>
      <w:r w:rsidRPr="006D275B">
        <w:rPr>
          <w:rFonts w:ascii="Arial Narrow" w:hAnsi="Arial Narrow"/>
          <w:sz w:val="18"/>
          <w:szCs w:val="18"/>
          <w:vertAlign w:val="superscript"/>
        </w:rPr>
        <w:t>b</w:t>
      </w:r>
      <w:r w:rsidRPr="006D275B">
        <w:rPr>
          <w:rFonts w:ascii="Arial Narrow" w:hAnsi="Arial Narrow"/>
          <w:sz w:val="18"/>
          <w:szCs w:val="18"/>
        </w:rPr>
        <w:t xml:space="preserve"> </w:t>
      </w:r>
      <w:r w:rsidR="009A4F4B" w:rsidRPr="006D275B">
        <w:rPr>
          <w:rFonts w:ascii="Arial Narrow" w:hAnsi="Arial Narrow"/>
          <w:sz w:val="18"/>
          <w:szCs w:val="18"/>
        </w:rPr>
        <w:t>p=</w:t>
      </w:r>
      <w:r w:rsidRPr="006D275B">
        <w:rPr>
          <w:rFonts w:ascii="Arial Narrow" w:hAnsi="Arial Narrow"/>
          <w:sz w:val="18"/>
          <w:szCs w:val="18"/>
        </w:rPr>
        <w:t>0.006</w:t>
      </w:r>
    </w:p>
    <w:p w14:paraId="16FD65F4" w14:textId="5EB30C6F" w:rsidR="006D275B" w:rsidRPr="006D275B" w:rsidRDefault="006D275B" w:rsidP="006D275B">
      <w:pPr>
        <w:spacing w:line="240" w:lineRule="auto"/>
        <w:ind w:right="-57"/>
        <w:rPr>
          <w:rFonts w:ascii="Arial Narrow" w:hAnsi="Arial Narrow"/>
          <w:sz w:val="18"/>
          <w:szCs w:val="18"/>
        </w:rPr>
      </w:pPr>
      <w:r w:rsidRPr="006D275B">
        <w:rPr>
          <w:rFonts w:ascii="Arial Narrow" w:hAnsi="Arial Narrow"/>
          <w:sz w:val="18"/>
          <w:szCs w:val="18"/>
        </w:rPr>
        <w:t xml:space="preserve">Source: </w:t>
      </w:r>
      <w:r w:rsidRPr="006D275B">
        <w:rPr>
          <w:rFonts w:ascii="Arial Narrow" w:hAnsi="Arial Narrow"/>
          <w:sz w:val="18"/>
          <w:szCs w:val="18"/>
        </w:rPr>
        <w:fldChar w:fldCharType="begin"/>
      </w:r>
      <w:r w:rsidRPr="006D275B">
        <w:rPr>
          <w:rFonts w:ascii="Arial Narrow" w:hAnsi="Arial Narrow"/>
          <w:sz w:val="18"/>
          <w:szCs w:val="18"/>
        </w:rPr>
        <w:instrText xml:space="preserve"> ADDIN EN.CITE &lt;EndNote&gt;&lt;Cite&gt;&lt;Author&gt;Sonigo&lt;/Author&gt;&lt;Year&gt;2016&lt;/Year&gt;&lt;RecNum&gt;329&lt;/RecNum&gt;&lt;IDText&gt;1493-500&lt;/IDText&gt;&lt;DisplayText&gt;(Sonigo et al. 2016)&lt;/DisplayText&gt;&lt;record&gt;&lt;rec-number&gt;329&lt;/rec-number&gt;&lt;foreign-keys&gt;&lt;key app="EN" db-id="s2dftfxw1fvsr1efx58vfvxtvfwzxea0td02" timestamp="1511748096"&gt;329&lt;/key&gt;&lt;/foreign-keys&gt;&lt;ref-type name="Journal Article"&gt;17&lt;/ref-type&gt;&lt;contributors&gt;&lt;authors&gt;&lt;author&gt;Sonigo, C.&lt;/author&gt;&lt;author&gt;Simon, C.&lt;/author&gt;&lt;author&gt;Boubaya, M.&lt;/author&gt;&lt;author&gt;Benoit, A.&lt;/author&gt;&lt;author&gt;Sifer, C.&lt;/author&gt;&lt;author&gt;Sermondade, N.&lt;/author&gt;&lt;author&gt;Grynberg, M.&lt;/author&gt;&lt;/authors&gt;&lt;/contributors&gt;&lt;titles&gt;&lt;title&gt;What threshold values of antral follicle count and serum AMH levels should be considered for oocyte cryopreservation after in vitro maturation?&lt;/title&gt;&lt;secondary-title&gt;Hum Reprod&lt;/secondary-title&gt;&lt;/titles&gt;&lt;periodical&gt;&lt;full-title&gt;Hum Reprod&lt;/full-title&gt;&lt;/periodical&gt;&lt;pages&gt;1493-500&lt;/pages&gt;&lt;volume&gt;31&lt;/volume&gt;&lt;number&gt;7&lt;/number&gt;&lt;keywords&gt;&lt;keyword&gt;Chorionic Gonadotropin&lt;/keyword&gt;&lt;keyword&gt;Logistic Models&lt;/keyword&gt;&lt;keyword&gt;Cryopreservation&lt;/keyword&gt;&lt;keyword&gt;Oocytes&lt;/keyword&gt;&lt;/keywords&gt;&lt;dates&gt;&lt;year&gt;2016&lt;/year&gt;&lt;pub-dates&gt;&lt;date&gt;2016-1-1&lt;/date&gt;&lt;/pub-dates&gt;&lt;/dates&gt;&lt;isbn&gt;0268-1161 (Print) 0268-1161&lt;/isbn&gt;&lt;accession-num&gt;rayyan-6678715&lt;/accession-num&gt;&lt;urls&gt;&lt;related-urls&gt;&lt;url&gt;https://oup.silverchair-cdn.com/oup/backfile/Content_public/Journal/humrep/31/7/10.1093_humrep_dew102/1/dew102.pdf?Expires=1501318963&amp;amp;Signature=B9se7OB2P2nkeW2WqjDzLDukXhdYd3z8wsVpR5XUD0BXk2LQ6MxsshsE~o5Grrp9BWRapcy9JQUztlyQtnRuxAvvWnb-DAMLgbvmUvI-rSw0IYwIWnBYCo-rSkgDSLSVyJxLqSpRYa3~4sAtJnBG7Jl90TwkZPwlWosR4t6vielm3ohgsyWPcig01K1ovBUbQbzuqud-aYOS1WlwQdK-CSizVEy~gGzhU1SWlcO3D~2IsNrNV1xSak6TowkqrCkAtSCUHCAIPUV87AdrKq-IF0o8xAeACGX9SCBXQomnPeA6ztBWgw-PmIFEbvYLu9hYg3WUbsoW1us7YwWbBSfouw__&amp;amp;Key-Pair-Id=APKAIUCZBIA4LVPAVW3Q&lt;/url&gt;&lt;/related-urls&gt;&lt;/urls&gt;&lt;custom1&gt;RAYYAN-INCLUSION: {&amp;quot;Sharon&amp;quot;=&amp;gt;true, &amp;quot;Joanne&amp;quot;=&amp;gt;true}&lt;/custom1&gt;&lt;language&gt;eng&lt;/language&gt;&lt;/record&gt;&lt;/Cite&gt;&lt;/EndNote&gt;</w:instrText>
      </w:r>
      <w:r w:rsidRPr="006D275B">
        <w:rPr>
          <w:rFonts w:ascii="Arial Narrow" w:hAnsi="Arial Narrow"/>
          <w:sz w:val="18"/>
          <w:szCs w:val="18"/>
        </w:rPr>
        <w:fldChar w:fldCharType="separate"/>
      </w:r>
      <w:r w:rsidRPr="006D275B">
        <w:rPr>
          <w:rFonts w:ascii="Arial Narrow" w:hAnsi="Arial Narrow"/>
          <w:noProof/>
          <w:sz w:val="18"/>
          <w:szCs w:val="18"/>
        </w:rPr>
        <w:t>(</w:t>
      </w:r>
      <w:hyperlink w:anchor="_ENREF_61" w:tooltip="Sonigo, 2016 #329" w:history="1">
        <w:r w:rsidR="00835BA6" w:rsidRPr="006D275B">
          <w:rPr>
            <w:rFonts w:ascii="Arial Narrow" w:hAnsi="Arial Narrow"/>
            <w:noProof/>
            <w:sz w:val="18"/>
            <w:szCs w:val="18"/>
          </w:rPr>
          <w:t>Sonigo et al. 2016</w:t>
        </w:r>
      </w:hyperlink>
      <w:r w:rsidRPr="006D275B">
        <w:rPr>
          <w:rFonts w:ascii="Arial Narrow" w:hAnsi="Arial Narrow"/>
          <w:noProof/>
          <w:sz w:val="18"/>
          <w:szCs w:val="18"/>
        </w:rPr>
        <w:t>)</w:t>
      </w:r>
      <w:r w:rsidRPr="006D275B">
        <w:rPr>
          <w:rFonts w:ascii="Arial Narrow" w:hAnsi="Arial Narrow"/>
          <w:sz w:val="18"/>
          <w:szCs w:val="18"/>
        </w:rPr>
        <w:fldChar w:fldCharType="end"/>
      </w:r>
    </w:p>
    <w:p w14:paraId="159D8D33" w14:textId="33263518" w:rsidR="00A813F1" w:rsidRDefault="00A813F1" w:rsidP="006D275B">
      <w:pPr>
        <w:pStyle w:val="Caption"/>
        <w:keepNext/>
        <w:ind w:left="993" w:hanging="993"/>
      </w:pPr>
      <w:bookmarkStart w:id="328" w:name="_Ref497902095"/>
      <w:bookmarkStart w:id="329" w:name="_Toc502833069"/>
      <w:r>
        <w:t xml:space="preserve">Table </w:t>
      </w:r>
      <w:r w:rsidR="00AC4BE5">
        <w:fldChar w:fldCharType="begin"/>
      </w:r>
      <w:r w:rsidR="00AC4BE5">
        <w:instrText xml:space="preserve"> SEQ Table \* ARABIC </w:instrText>
      </w:r>
      <w:r w:rsidR="00AC4BE5">
        <w:fldChar w:fldCharType="separate"/>
      </w:r>
      <w:r w:rsidR="00AC4BE5">
        <w:rPr>
          <w:noProof/>
        </w:rPr>
        <w:t>51</w:t>
      </w:r>
      <w:r w:rsidR="00AC4BE5">
        <w:rPr>
          <w:noProof/>
        </w:rPr>
        <w:fldChar w:fldCharType="end"/>
      </w:r>
      <w:bookmarkEnd w:id="328"/>
      <w:r>
        <w:tab/>
      </w:r>
      <w:r w:rsidRPr="00B44B90">
        <w:t xml:space="preserve">Threshold values of AFC and serum AMH levels for obtaining ≤2 or </w:t>
      </w:r>
      <w:r w:rsidR="003B42B2">
        <w:t>≥</w:t>
      </w:r>
      <w:r w:rsidRPr="00B44B90">
        <w:t>8, 10 or 15 mature oocytes frozen</w:t>
      </w:r>
      <w:bookmarkEnd w:id="329"/>
    </w:p>
    <w:tbl>
      <w:tblPr>
        <w:tblStyle w:val="TableGrid"/>
        <w:tblW w:w="0" w:type="auto"/>
        <w:tblLook w:val="04A0" w:firstRow="1" w:lastRow="0" w:firstColumn="1" w:lastColumn="0" w:noHBand="0" w:noVBand="1"/>
        <w:tblCaption w:val="Threshold values of AFC and serum AMH levels for obtaining ≤2 or ≥ 8, 10 or 15 mature oocytes frozen "/>
        <w:tblDescription w:val="Threshold values of AFC and serum AMH levels for obtaining ≤2 or ≥ 8, 10 or 15 mature oocytes frozen "/>
      </w:tblPr>
      <w:tblGrid>
        <w:gridCol w:w="1555"/>
        <w:gridCol w:w="2051"/>
        <w:gridCol w:w="1803"/>
        <w:gridCol w:w="1803"/>
        <w:gridCol w:w="1804"/>
      </w:tblGrid>
      <w:tr w:rsidR="00A813F1" w14:paraId="1F817DC2" w14:textId="77777777" w:rsidTr="00C22CC2">
        <w:trPr>
          <w:tblHeader/>
        </w:trPr>
        <w:tc>
          <w:tcPr>
            <w:tcW w:w="1555" w:type="dxa"/>
            <w:tcBorders>
              <w:bottom w:val="single" w:sz="4" w:space="0" w:color="auto"/>
            </w:tcBorders>
          </w:tcPr>
          <w:p w14:paraId="583E8922" w14:textId="6DCD41B9" w:rsidR="00A813F1" w:rsidRDefault="0004250B" w:rsidP="0004250B">
            <w:pPr>
              <w:pStyle w:val="Tabletext1"/>
              <w:ind w:left="0"/>
            </w:pPr>
            <w:r>
              <w:t> </w:t>
            </w:r>
          </w:p>
        </w:tc>
        <w:tc>
          <w:tcPr>
            <w:tcW w:w="2051" w:type="dxa"/>
          </w:tcPr>
          <w:p w14:paraId="721FD29D" w14:textId="77777777" w:rsidR="00A813F1" w:rsidRDefault="00A813F1" w:rsidP="0004250B">
            <w:pPr>
              <w:pStyle w:val="Tabletext1"/>
              <w:ind w:left="0"/>
            </w:pPr>
            <w:r w:rsidRPr="00111A14">
              <w:rPr>
                <w:b/>
              </w:rPr>
              <w:t>Threshold (≥</w:t>
            </w:r>
            <w:r>
              <w:rPr>
                <w:b/>
              </w:rPr>
              <w:t>)</w:t>
            </w:r>
          </w:p>
        </w:tc>
        <w:tc>
          <w:tcPr>
            <w:tcW w:w="1803" w:type="dxa"/>
          </w:tcPr>
          <w:p w14:paraId="49DFB524" w14:textId="77777777" w:rsidR="00A813F1" w:rsidRDefault="00A813F1" w:rsidP="0004250B">
            <w:pPr>
              <w:pStyle w:val="Tabletext1"/>
              <w:ind w:left="0"/>
            </w:pPr>
            <w:r>
              <w:rPr>
                <w:b/>
              </w:rPr>
              <w:t>Threshold of oocytes frozen</w:t>
            </w:r>
          </w:p>
        </w:tc>
        <w:tc>
          <w:tcPr>
            <w:tcW w:w="1803" w:type="dxa"/>
          </w:tcPr>
          <w:p w14:paraId="2634F355" w14:textId="4AEECA5E" w:rsidR="00A813F1" w:rsidRDefault="006D275B" w:rsidP="0004250B">
            <w:pPr>
              <w:pStyle w:val="Tabletext1"/>
              <w:ind w:left="0"/>
            </w:pPr>
            <w:r>
              <w:rPr>
                <w:b/>
              </w:rPr>
              <w:t>Sensitivity [95%CI]</w:t>
            </w:r>
          </w:p>
        </w:tc>
        <w:tc>
          <w:tcPr>
            <w:tcW w:w="1804" w:type="dxa"/>
          </w:tcPr>
          <w:p w14:paraId="5867C1C5" w14:textId="5C748E59" w:rsidR="00A813F1" w:rsidRDefault="006D275B" w:rsidP="0004250B">
            <w:pPr>
              <w:pStyle w:val="Tabletext1"/>
              <w:ind w:left="0"/>
            </w:pPr>
            <w:r>
              <w:rPr>
                <w:b/>
              </w:rPr>
              <w:t>Specificity [95%CI]</w:t>
            </w:r>
          </w:p>
        </w:tc>
      </w:tr>
      <w:tr w:rsidR="00A813F1" w14:paraId="1E0A312F" w14:textId="77777777" w:rsidTr="00762873">
        <w:tc>
          <w:tcPr>
            <w:tcW w:w="1555" w:type="dxa"/>
            <w:tcBorders>
              <w:top w:val="single" w:sz="4" w:space="0" w:color="auto"/>
              <w:left w:val="single" w:sz="4" w:space="0" w:color="auto"/>
              <w:bottom w:val="nil"/>
              <w:right w:val="single" w:sz="4" w:space="0" w:color="auto"/>
            </w:tcBorders>
          </w:tcPr>
          <w:p w14:paraId="45C23120" w14:textId="77777777" w:rsidR="00A813F1" w:rsidRDefault="00A813F1" w:rsidP="001007BD">
            <w:pPr>
              <w:pStyle w:val="Tabletext1"/>
              <w:ind w:hanging="720"/>
            </w:pPr>
            <w:r>
              <w:t>AMH (ng/mL)</w:t>
            </w:r>
          </w:p>
        </w:tc>
        <w:tc>
          <w:tcPr>
            <w:tcW w:w="2051" w:type="dxa"/>
            <w:tcBorders>
              <w:left w:val="single" w:sz="4" w:space="0" w:color="auto"/>
            </w:tcBorders>
          </w:tcPr>
          <w:p w14:paraId="45E37490" w14:textId="77777777" w:rsidR="00A813F1" w:rsidRDefault="00A813F1" w:rsidP="001007BD">
            <w:pPr>
              <w:pStyle w:val="Tabletext1"/>
              <w:ind w:left="0"/>
            </w:pPr>
            <w:r>
              <w:t>3.9</w:t>
            </w:r>
          </w:p>
        </w:tc>
        <w:tc>
          <w:tcPr>
            <w:tcW w:w="1803" w:type="dxa"/>
          </w:tcPr>
          <w:p w14:paraId="41FB8D48" w14:textId="77777777" w:rsidR="00A813F1" w:rsidRDefault="00A813F1" w:rsidP="001007BD">
            <w:pPr>
              <w:pStyle w:val="Tabletext1"/>
              <w:ind w:left="0"/>
            </w:pPr>
            <w:r>
              <w:t>≥15</w:t>
            </w:r>
          </w:p>
        </w:tc>
        <w:tc>
          <w:tcPr>
            <w:tcW w:w="1803" w:type="dxa"/>
          </w:tcPr>
          <w:p w14:paraId="6A67DC3E" w14:textId="576C94AB" w:rsidR="00A813F1" w:rsidRDefault="006D275B" w:rsidP="001007BD">
            <w:pPr>
              <w:pStyle w:val="Tabletext1"/>
              <w:ind w:left="0"/>
            </w:pPr>
            <w:r>
              <w:t>0.89 [0.52, 1.00]</w:t>
            </w:r>
          </w:p>
        </w:tc>
        <w:tc>
          <w:tcPr>
            <w:tcW w:w="1804" w:type="dxa"/>
          </w:tcPr>
          <w:p w14:paraId="2D79359A" w14:textId="27169224" w:rsidR="00A813F1" w:rsidRDefault="006D275B" w:rsidP="001007BD">
            <w:pPr>
              <w:pStyle w:val="Tabletext1"/>
              <w:ind w:left="0"/>
            </w:pPr>
            <w:r>
              <w:t>0.61 [0.55, 0.67]</w:t>
            </w:r>
          </w:p>
        </w:tc>
      </w:tr>
      <w:tr w:rsidR="00A813F1" w14:paraId="3DD9EED1" w14:textId="77777777" w:rsidTr="00762873">
        <w:tc>
          <w:tcPr>
            <w:tcW w:w="1555" w:type="dxa"/>
            <w:tcBorders>
              <w:top w:val="nil"/>
              <w:left w:val="single" w:sz="4" w:space="0" w:color="auto"/>
              <w:bottom w:val="nil"/>
              <w:right w:val="single" w:sz="4" w:space="0" w:color="auto"/>
            </w:tcBorders>
          </w:tcPr>
          <w:p w14:paraId="080DA28F" w14:textId="77777777" w:rsidR="00A813F1" w:rsidRDefault="00A813F1" w:rsidP="001007BD">
            <w:pPr>
              <w:pStyle w:val="Tabletext1"/>
              <w:ind w:hanging="720"/>
            </w:pPr>
          </w:p>
        </w:tc>
        <w:tc>
          <w:tcPr>
            <w:tcW w:w="2051" w:type="dxa"/>
            <w:tcBorders>
              <w:left w:val="single" w:sz="4" w:space="0" w:color="auto"/>
            </w:tcBorders>
          </w:tcPr>
          <w:p w14:paraId="0E21EA32" w14:textId="77777777" w:rsidR="00A813F1" w:rsidRDefault="00A813F1" w:rsidP="001007BD">
            <w:pPr>
              <w:pStyle w:val="Tabletext1"/>
              <w:ind w:left="0"/>
            </w:pPr>
            <w:r>
              <w:t>3.7</w:t>
            </w:r>
          </w:p>
        </w:tc>
        <w:tc>
          <w:tcPr>
            <w:tcW w:w="1803" w:type="dxa"/>
          </w:tcPr>
          <w:p w14:paraId="46223404" w14:textId="77777777" w:rsidR="00A813F1" w:rsidRDefault="00A813F1" w:rsidP="001007BD">
            <w:pPr>
              <w:pStyle w:val="Tabletext1"/>
              <w:ind w:left="0"/>
            </w:pPr>
            <w:r>
              <w:t>≥10</w:t>
            </w:r>
          </w:p>
        </w:tc>
        <w:tc>
          <w:tcPr>
            <w:tcW w:w="1803" w:type="dxa"/>
          </w:tcPr>
          <w:p w14:paraId="29324B9B" w14:textId="1974BFCE" w:rsidR="00A813F1" w:rsidRDefault="006D275B" w:rsidP="001007BD">
            <w:pPr>
              <w:pStyle w:val="Tabletext1"/>
              <w:ind w:left="0"/>
            </w:pPr>
            <w:r>
              <w:t>0.84 [</w:t>
            </w:r>
            <w:r w:rsidR="00A813F1">
              <w:t>0.</w:t>
            </w:r>
            <w:r>
              <w:t>68, 0.94]</w:t>
            </w:r>
          </w:p>
        </w:tc>
        <w:tc>
          <w:tcPr>
            <w:tcW w:w="1804" w:type="dxa"/>
          </w:tcPr>
          <w:p w14:paraId="098B3E19" w14:textId="2190AECE" w:rsidR="00A813F1" w:rsidRDefault="006D275B" w:rsidP="001007BD">
            <w:pPr>
              <w:pStyle w:val="Tabletext1"/>
              <w:ind w:left="0"/>
            </w:pPr>
            <w:r>
              <w:t>0.64 [0.57, 0.7]</w:t>
            </w:r>
          </w:p>
        </w:tc>
      </w:tr>
      <w:tr w:rsidR="00A813F1" w14:paraId="691E3A55" w14:textId="77777777" w:rsidTr="00762873">
        <w:tc>
          <w:tcPr>
            <w:tcW w:w="1555" w:type="dxa"/>
            <w:tcBorders>
              <w:top w:val="nil"/>
              <w:left w:val="single" w:sz="4" w:space="0" w:color="auto"/>
              <w:bottom w:val="nil"/>
              <w:right w:val="single" w:sz="4" w:space="0" w:color="auto"/>
            </w:tcBorders>
          </w:tcPr>
          <w:p w14:paraId="6CABA86E" w14:textId="77777777" w:rsidR="00A813F1" w:rsidRDefault="00A813F1" w:rsidP="001007BD">
            <w:pPr>
              <w:pStyle w:val="Tabletext1"/>
              <w:ind w:hanging="720"/>
            </w:pPr>
          </w:p>
        </w:tc>
        <w:tc>
          <w:tcPr>
            <w:tcW w:w="2051" w:type="dxa"/>
            <w:tcBorders>
              <w:left w:val="single" w:sz="4" w:space="0" w:color="auto"/>
            </w:tcBorders>
          </w:tcPr>
          <w:p w14:paraId="1069825E" w14:textId="77777777" w:rsidR="00A813F1" w:rsidRDefault="00A813F1" w:rsidP="001007BD">
            <w:pPr>
              <w:pStyle w:val="Tabletext1"/>
              <w:ind w:left="0"/>
            </w:pPr>
            <w:r>
              <w:t>3.5</w:t>
            </w:r>
          </w:p>
        </w:tc>
        <w:tc>
          <w:tcPr>
            <w:tcW w:w="1803" w:type="dxa"/>
          </w:tcPr>
          <w:p w14:paraId="3ABB141C" w14:textId="77777777" w:rsidR="00A813F1" w:rsidRDefault="00A813F1" w:rsidP="001007BD">
            <w:pPr>
              <w:pStyle w:val="Tabletext1"/>
              <w:ind w:left="0"/>
            </w:pPr>
            <w:r>
              <w:t>≥8</w:t>
            </w:r>
          </w:p>
        </w:tc>
        <w:tc>
          <w:tcPr>
            <w:tcW w:w="1803" w:type="dxa"/>
          </w:tcPr>
          <w:p w14:paraId="35FF4659" w14:textId="7C364191" w:rsidR="00A813F1" w:rsidRDefault="006D275B" w:rsidP="001007BD">
            <w:pPr>
              <w:pStyle w:val="Tabletext1"/>
              <w:ind w:left="0"/>
            </w:pPr>
            <w:r>
              <w:t>0.82 [0.71, 0.91]</w:t>
            </w:r>
          </w:p>
        </w:tc>
        <w:tc>
          <w:tcPr>
            <w:tcW w:w="1804" w:type="dxa"/>
          </w:tcPr>
          <w:p w14:paraId="1D3A8572" w14:textId="6664F4C4" w:rsidR="00A813F1" w:rsidRDefault="006D275B" w:rsidP="001007BD">
            <w:pPr>
              <w:pStyle w:val="Tabletext1"/>
              <w:ind w:left="0"/>
            </w:pPr>
            <w:r>
              <w:t>0.63 [0.56, 0.70]</w:t>
            </w:r>
          </w:p>
        </w:tc>
      </w:tr>
      <w:tr w:rsidR="00A813F1" w14:paraId="3659E965" w14:textId="77777777" w:rsidTr="00762873">
        <w:tc>
          <w:tcPr>
            <w:tcW w:w="1555" w:type="dxa"/>
            <w:tcBorders>
              <w:top w:val="nil"/>
              <w:left w:val="single" w:sz="4" w:space="0" w:color="auto"/>
              <w:bottom w:val="single" w:sz="4" w:space="0" w:color="auto"/>
              <w:right w:val="single" w:sz="4" w:space="0" w:color="auto"/>
            </w:tcBorders>
          </w:tcPr>
          <w:p w14:paraId="47B0B980" w14:textId="77777777" w:rsidR="00A813F1" w:rsidRDefault="00A813F1" w:rsidP="001007BD">
            <w:pPr>
              <w:pStyle w:val="Tabletext1"/>
              <w:ind w:hanging="720"/>
            </w:pPr>
          </w:p>
        </w:tc>
        <w:tc>
          <w:tcPr>
            <w:tcW w:w="2051" w:type="dxa"/>
            <w:tcBorders>
              <w:left w:val="single" w:sz="4" w:space="0" w:color="auto"/>
            </w:tcBorders>
          </w:tcPr>
          <w:p w14:paraId="61C94F8B" w14:textId="77777777" w:rsidR="00A813F1" w:rsidRDefault="00A813F1" w:rsidP="001007BD">
            <w:pPr>
              <w:pStyle w:val="Tabletext1"/>
              <w:ind w:left="0"/>
            </w:pPr>
            <w:r>
              <w:t>3.0</w:t>
            </w:r>
          </w:p>
        </w:tc>
        <w:tc>
          <w:tcPr>
            <w:tcW w:w="1803" w:type="dxa"/>
          </w:tcPr>
          <w:p w14:paraId="02FD84DB" w14:textId="77777777" w:rsidR="00A813F1" w:rsidRDefault="00A813F1" w:rsidP="001007BD">
            <w:pPr>
              <w:pStyle w:val="Tabletext1"/>
              <w:ind w:left="0"/>
            </w:pPr>
            <w:r>
              <w:t>≤2</w:t>
            </w:r>
          </w:p>
        </w:tc>
        <w:tc>
          <w:tcPr>
            <w:tcW w:w="1803" w:type="dxa"/>
          </w:tcPr>
          <w:p w14:paraId="52DE749D" w14:textId="668BBA1F" w:rsidR="00A813F1" w:rsidRDefault="006D275B" w:rsidP="001007BD">
            <w:pPr>
              <w:pStyle w:val="Tabletext1"/>
              <w:ind w:left="0"/>
            </w:pPr>
            <w:r>
              <w:t>0.77 [0.65, 0.86]</w:t>
            </w:r>
          </w:p>
        </w:tc>
        <w:tc>
          <w:tcPr>
            <w:tcW w:w="1804" w:type="dxa"/>
          </w:tcPr>
          <w:p w14:paraId="3B2C8793" w14:textId="136D2C2A" w:rsidR="00A813F1" w:rsidRDefault="006D275B" w:rsidP="001007BD">
            <w:pPr>
              <w:pStyle w:val="Tabletext1"/>
              <w:ind w:left="0"/>
            </w:pPr>
            <w:r>
              <w:t>0.80 [0.63, 0.77]</w:t>
            </w:r>
          </w:p>
        </w:tc>
      </w:tr>
      <w:tr w:rsidR="00A813F1" w14:paraId="463BC836" w14:textId="77777777" w:rsidTr="00762873">
        <w:tc>
          <w:tcPr>
            <w:tcW w:w="1555" w:type="dxa"/>
            <w:tcBorders>
              <w:top w:val="single" w:sz="4" w:space="0" w:color="auto"/>
              <w:left w:val="single" w:sz="4" w:space="0" w:color="auto"/>
              <w:bottom w:val="nil"/>
              <w:right w:val="single" w:sz="4" w:space="0" w:color="auto"/>
            </w:tcBorders>
          </w:tcPr>
          <w:p w14:paraId="325B9D1C" w14:textId="77777777" w:rsidR="00A813F1" w:rsidRDefault="00A813F1" w:rsidP="001007BD">
            <w:pPr>
              <w:pStyle w:val="Tabletext1"/>
              <w:ind w:hanging="720"/>
            </w:pPr>
            <w:r>
              <w:t>AFC (n)</w:t>
            </w:r>
          </w:p>
        </w:tc>
        <w:tc>
          <w:tcPr>
            <w:tcW w:w="2051" w:type="dxa"/>
            <w:tcBorders>
              <w:left w:val="single" w:sz="4" w:space="0" w:color="auto"/>
            </w:tcBorders>
          </w:tcPr>
          <w:p w14:paraId="7FA717B4" w14:textId="77777777" w:rsidR="00A813F1" w:rsidRDefault="00A813F1" w:rsidP="001007BD">
            <w:pPr>
              <w:pStyle w:val="Tabletext1"/>
              <w:ind w:left="0"/>
            </w:pPr>
            <w:r>
              <w:t>28</w:t>
            </w:r>
          </w:p>
        </w:tc>
        <w:tc>
          <w:tcPr>
            <w:tcW w:w="1803" w:type="dxa"/>
          </w:tcPr>
          <w:p w14:paraId="4845611B" w14:textId="77777777" w:rsidR="00A813F1" w:rsidRDefault="00A813F1" w:rsidP="001007BD">
            <w:pPr>
              <w:pStyle w:val="Tabletext1"/>
              <w:ind w:left="0"/>
            </w:pPr>
            <w:r>
              <w:t>≥15</w:t>
            </w:r>
          </w:p>
        </w:tc>
        <w:tc>
          <w:tcPr>
            <w:tcW w:w="1803" w:type="dxa"/>
          </w:tcPr>
          <w:p w14:paraId="28AB2772" w14:textId="458E7FED" w:rsidR="00A813F1" w:rsidRDefault="006D275B" w:rsidP="001007BD">
            <w:pPr>
              <w:pStyle w:val="Tabletext1"/>
              <w:ind w:left="0"/>
            </w:pPr>
            <w:r>
              <w:t>0.90 [0.55, 1.00]</w:t>
            </w:r>
          </w:p>
        </w:tc>
        <w:tc>
          <w:tcPr>
            <w:tcW w:w="1804" w:type="dxa"/>
          </w:tcPr>
          <w:p w14:paraId="491503B3" w14:textId="3F457C09" w:rsidR="00A813F1" w:rsidRDefault="006D275B" w:rsidP="001007BD">
            <w:pPr>
              <w:pStyle w:val="Tabletext1"/>
              <w:ind w:left="0"/>
            </w:pPr>
            <w:r>
              <w:t>0.78 [0.73, 0.82]</w:t>
            </w:r>
          </w:p>
        </w:tc>
      </w:tr>
      <w:tr w:rsidR="00A813F1" w14:paraId="272921D4" w14:textId="77777777" w:rsidTr="00762873">
        <w:tc>
          <w:tcPr>
            <w:tcW w:w="1555" w:type="dxa"/>
            <w:tcBorders>
              <w:top w:val="nil"/>
              <w:left w:val="single" w:sz="4" w:space="0" w:color="auto"/>
              <w:bottom w:val="nil"/>
              <w:right w:val="single" w:sz="4" w:space="0" w:color="auto"/>
            </w:tcBorders>
          </w:tcPr>
          <w:p w14:paraId="7E7CA5D1" w14:textId="77777777" w:rsidR="00A813F1" w:rsidRDefault="00A813F1" w:rsidP="001007BD">
            <w:pPr>
              <w:pStyle w:val="Tabletext1"/>
              <w:ind w:hanging="720"/>
            </w:pPr>
          </w:p>
        </w:tc>
        <w:tc>
          <w:tcPr>
            <w:tcW w:w="2051" w:type="dxa"/>
            <w:tcBorders>
              <w:left w:val="single" w:sz="4" w:space="0" w:color="auto"/>
            </w:tcBorders>
          </w:tcPr>
          <w:p w14:paraId="0EF239D7" w14:textId="77777777" w:rsidR="00A813F1" w:rsidRDefault="00A813F1" w:rsidP="001007BD">
            <w:pPr>
              <w:pStyle w:val="Tabletext1"/>
              <w:ind w:left="0"/>
            </w:pPr>
            <w:r>
              <w:t>20</w:t>
            </w:r>
          </w:p>
        </w:tc>
        <w:tc>
          <w:tcPr>
            <w:tcW w:w="1803" w:type="dxa"/>
          </w:tcPr>
          <w:p w14:paraId="7DA1AAC5" w14:textId="77777777" w:rsidR="00A813F1" w:rsidRDefault="00A813F1" w:rsidP="001007BD">
            <w:pPr>
              <w:pStyle w:val="Tabletext1"/>
              <w:ind w:left="0"/>
            </w:pPr>
            <w:r>
              <w:t>≥10</w:t>
            </w:r>
          </w:p>
        </w:tc>
        <w:tc>
          <w:tcPr>
            <w:tcW w:w="1803" w:type="dxa"/>
          </w:tcPr>
          <w:p w14:paraId="3E213436" w14:textId="5791362F" w:rsidR="00A813F1" w:rsidRDefault="006D275B" w:rsidP="001007BD">
            <w:pPr>
              <w:pStyle w:val="Tabletext1"/>
              <w:ind w:left="0"/>
            </w:pPr>
            <w:r>
              <w:t>0.88 [0.76, 0.96]</w:t>
            </w:r>
          </w:p>
        </w:tc>
        <w:tc>
          <w:tcPr>
            <w:tcW w:w="1804" w:type="dxa"/>
          </w:tcPr>
          <w:p w14:paraId="1ADCE425" w14:textId="1485746E" w:rsidR="00A813F1" w:rsidRDefault="006D275B" w:rsidP="001007BD">
            <w:pPr>
              <w:pStyle w:val="Tabletext1"/>
              <w:ind w:left="0"/>
            </w:pPr>
            <w:r>
              <w:t>0.62 [0.56, 0.68]</w:t>
            </w:r>
          </w:p>
        </w:tc>
      </w:tr>
      <w:tr w:rsidR="00A813F1" w14:paraId="236D2FEF" w14:textId="77777777" w:rsidTr="00762873">
        <w:tc>
          <w:tcPr>
            <w:tcW w:w="1555" w:type="dxa"/>
            <w:tcBorders>
              <w:top w:val="nil"/>
              <w:left w:val="single" w:sz="4" w:space="0" w:color="auto"/>
              <w:bottom w:val="nil"/>
              <w:right w:val="single" w:sz="4" w:space="0" w:color="auto"/>
            </w:tcBorders>
          </w:tcPr>
          <w:p w14:paraId="7003994E" w14:textId="77777777" w:rsidR="00A813F1" w:rsidRDefault="00A813F1" w:rsidP="001007BD">
            <w:pPr>
              <w:pStyle w:val="Tabletext1"/>
              <w:ind w:hanging="720"/>
            </w:pPr>
          </w:p>
        </w:tc>
        <w:tc>
          <w:tcPr>
            <w:tcW w:w="2051" w:type="dxa"/>
            <w:tcBorders>
              <w:left w:val="single" w:sz="4" w:space="0" w:color="auto"/>
            </w:tcBorders>
          </w:tcPr>
          <w:p w14:paraId="551D36A0" w14:textId="77777777" w:rsidR="00A813F1" w:rsidRDefault="00A813F1" w:rsidP="001007BD">
            <w:pPr>
              <w:pStyle w:val="Tabletext1"/>
              <w:ind w:left="0"/>
            </w:pPr>
            <w:r>
              <w:t>19</w:t>
            </w:r>
          </w:p>
        </w:tc>
        <w:tc>
          <w:tcPr>
            <w:tcW w:w="1803" w:type="dxa"/>
          </w:tcPr>
          <w:p w14:paraId="5CC58A8A" w14:textId="77777777" w:rsidR="00A813F1" w:rsidRDefault="00A813F1" w:rsidP="001007BD">
            <w:pPr>
              <w:pStyle w:val="Tabletext1"/>
              <w:ind w:left="0"/>
            </w:pPr>
            <w:r>
              <w:t>≥8</w:t>
            </w:r>
          </w:p>
        </w:tc>
        <w:tc>
          <w:tcPr>
            <w:tcW w:w="1803" w:type="dxa"/>
          </w:tcPr>
          <w:p w14:paraId="2160B7FC" w14:textId="50583AA6" w:rsidR="00A813F1" w:rsidRDefault="006D275B" w:rsidP="001007BD">
            <w:pPr>
              <w:pStyle w:val="Tabletext1"/>
              <w:ind w:left="0"/>
            </w:pPr>
            <w:r>
              <w:t>0.82 [0.72, 0.89]</w:t>
            </w:r>
          </w:p>
        </w:tc>
        <w:tc>
          <w:tcPr>
            <w:tcW w:w="1804" w:type="dxa"/>
          </w:tcPr>
          <w:p w14:paraId="167F0EF3" w14:textId="4C7E8222" w:rsidR="00A813F1" w:rsidRDefault="006D275B" w:rsidP="001007BD">
            <w:pPr>
              <w:pStyle w:val="Tabletext1"/>
              <w:ind w:left="0"/>
            </w:pPr>
            <w:r>
              <w:t>0.63 [0.56, 0.69]</w:t>
            </w:r>
          </w:p>
        </w:tc>
      </w:tr>
      <w:tr w:rsidR="00A813F1" w14:paraId="05AC9E38" w14:textId="77777777" w:rsidTr="00A70D09">
        <w:tc>
          <w:tcPr>
            <w:tcW w:w="1555" w:type="dxa"/>
            <w:tcBorders>
              <w:top w:val="nil"/>
              <w:left w:val="single" w:sz="4" w:space="0" w:color="auto"/>
              <w:bottom w:val="single" w:sz="4" w:space="0" w:color="auto"/>
              <w:right w:val="single" w:sz="4" w:space="0" w:color="auto"/>
            </w:tcBorders>
          </w:tcPr>
          <w:p w14:paraId="2ED4AB62" w14:textId="77777777" w:rsidR="00A813F1" w:rsidRDefault="00A813F1" w:rsidP="001007BD">
            <w:pPr>
              <w:pStyle w:val="Tabletext1"/>
              <w:ind w:hanging="720"/>
            </w:pPr>
          </w:p>
        </w:tc>
        <w:tc>
          <w:tcPr>
            <w:tcW w:w="2051" w:type="dxa"/>
            <w:tcBorders>
              <w:left w:val="single" w:sz="4" w:space="0" w:color="auto"/>
              <w:bottom w:val="single" w:sz="4" w:space="0" w:color="auto"/>
            </w:tcBorders>
          </w:tcPr>
          <w:p w14:paraId="2FBF93FD" w14:textId="77777777" w:rsidR="00A813F1" w:rsidRDefault="00A813F1" w:rsidP="001007BD">
            <w:pPr>
              <w:pStyle w:val="Tabletext1"/>
              <w:ind w:left="0"/>
            </w:pPr>
            <w:r>
              <w:t>19</w:t>
            </w:r>
          </w:p>
        </w:tc>
        <w:tc>
          <w:tcPr>
            <w:tcW w:w="1803" w:type="dxa"/>
            <w:tcBorders>
              <w:bottom w:val="single" w:sz="4" w:space="0" w:color="auto"/>
            </w:tcBorders>
          </w:tcPr>
          <w:p w14:paraId="639D0C07" w14:textId="77777777" w:rsidR="00A813F1" w:rsidRDefault="00A813F1" w:rsidP="001007BD">
            <w:pPr>
              <w:pStyle w:val="Tabletext1"/>
              <w:ind w:left="0"/>
            </w:pPr>
            <w:r>
              <w:t>≤2</w:t>
            </w:r>
          </w:p>
        </w:tc>
        <w:tc>
          <w:tcPr>
            <w:tcW w:w="1803" w:type="dxa"/>
            <w:tcBorders>
              <w:bottom w:val="single" w:sz="4" w:space="0" w:color="auto"/>
            </w:tcBorders>
          </w:tcPr>
          <w:p w14:paraId="1AE34E73" w14:textId="43A39452" w:rsidR="00A813F1" w:rsidRDefault="00A813F1" w:rsidP="001007BD">
            <w:pPr>
              <w:pStyle w:val="Tabletext1"/>
              <w:ind w:left="0"/>
            </w:pPr>
            <w:r>
              <w:t>0.</w:t>
            </w:r>
            <w:r w:rsidR="006D275B">
              <w:t>83 [0.74, </w:t>
            </w:r>
            <w:r>
              <w:t>0.90</w:t>
            </w:r>
            <w:r w:rsidR="006D275B">
              <w:t>]</w:t>
            </w:r>
          </w:p>
        </w:tc>
        <w:tc>
          <w:tcPr>
            <w:tcW w:w="1804" w:type="dxa"/>
            <w:tcBorders>
              <w:bottom w:val="single" w:sz="4" w:space="0" w:color="auto"/>
            </w:tcBorders>
          </w:tcPr>
          <w:p w14:paraId="1D454674" w14:textId="1048A927" w:rsidR="00A813F1" w:rsidRDefault="006D275B" w:rsidP="001007BD">
            <w:pPr>
              <w:pStyle w:val="Tabletext1"/>
              <w:ind w:left="0"/>
            </w:pPr>
            <w:r>
              <w:t>0.61 [0.55, 0.68]</w:t>
            </w:r>
          </w:p>
        </w:tc>
      </w:tr>
    </w:tbl>
    <w:p w14:paraId="283DB41E" w14:textId="4EC073D4" w:rsidR="003767E2" w:rsidRPr="006D275B" w:rsidRDefault="003767E2" w:rsidP="006D275B">
      <w:pPr>
        <w:pStyle w:val="Tablenotes0"/>
        <w:spacing w:after="0"/>
        <w:rPr>
          <w:szCs w:val="18"/>
        </w:rPr>
      </w:pPr>
      <w:r w:rsidRPr="006D275B">
        <w:rPr>
          <w:szCs w:val="18"/>
        </w:rPr>
        <w:t xml:space="preserve">AFC = antral follicle count, AMH = </w:t>
      </w:r>
      <w:r w:rsidR="00C41BAD" w:rsidRPr="006D275B">
        <w:rPr>
          <w:szCs w:val="18"/>
        </w:rPr>
        <w:t>anti-Müllerian hormone</w:t>
      </w:r>
      <w:r w:rsidRPr="006D275B">
        <w:rPr>
          <w:szCs w:val="18"/>
        </w:rPr>
        <w:t>, CI = confidence interval</w:t>
      </w:r>
    </w:p>
    <w:p w14:paraId="6619FA8E" w14:textId="214D0D38" w:rsidR="00177241" w:rsidRPr="006D275B" w:rsidRDefault="00A813F1" w:rsidP="001007BD">
      <w:pPr>
        <w:ind w:right="-57"/>
        <w:rPr>
          <w:rFonts w:ascii="Arial Narrow" w:hAnsi="Arial Narrow"/>
          <w:sz w:val="18"/>
          <w:szCs w:val="18"/>
        </w:rPr>
      </w:pPr>
      <w:r w:rsidRPr="006D275B">
        <w:rPr>
          <w:rFonts w:ascii="Arial Narrow" w:hAnsi="Arial Narrow"/>
          <w:sz w:val="18"/>
          <w:szCs w:val="18"/>
        </w:rPr>
        <w:t xml:space="preserve">Source: </w:t>
      </w:r>
      <w:r w:rsidR="00A109BA" w:rsidRPr="006D275B">
        <w:rPr>
          <w:rFonts w:ascii="Arial Narrow" w:hAnsi="Arial Narrow"/>
          <w:sz w:val="18"/>
          <w:szCs w:val="18"/>
        </w:rPr>
        <w:fldChar w:fldCharType="begin"/>
      </w:r>
      <w:r w:rsidR="00577E24" w:rsidRPr="006D275B">
        <w:rPr>
          <w:rFonts w:ascii="Arial Narrow" w:hAnsi="Arial Narrow"/>
          <w:sz w:val="18"/>
          <w:szCs w:val="18"/>
        </w:rPr>
        <w:instrText xml:space="preserve"> ADDIN EN.CITE &lt;EndNote&gt;&lt;Cite&gt;&lt;Author&gt;Sonigo&lt;/Author&gt;&lt;Year&gt;2016&lt;/Year&gt;&lt;RecNum&gt;329&lt;/RecNum&gt;&lt;IDText&gt;1493-500&lt;/IDText&gt;&lt;DisplayText&gt;(Sonigo et al. 2016)&lt;/DisplayText&gt;&lt;record&gt;&lt;rec-number&gt;329&lt;/rec-number&gt;&lt;foreign-keys&gt;&lt;key app="EN" db-id="s2dftfxw1fvsr1efx58vfvxtvfwzxea0td02" timestamp="1511748096"&gt;329&lt;/key&gt;&lt;/foreign-keys&gt;&lt;ref-type name="Journal Article"&gt;17&lt;/ref-type&gt;&lt;contributors&gt;&lt;authors&gt;&lt;author&gt;Sonigo, C.&lt;/author&gt;&lt;author&gt;Simon, C.&lt;/author&gt;&lt;author&gt;Boubaya, M.&lt;/author&gt;&lt;author&gt;Benoit, A.&lt;/author&gt;&lt;author&gt;Sifer, C.&lt;/author&gt;&lt;author&gt;Sermondade, N.&lt;/author&gt;&lt;author&gt;Grynberg, M.&lt;/author&gt;&lt;/authors&gt;&lt;/contributors&gt;&lt;titles&gt;&lt;title&gt;What threshold values of antral follicle count and serum AMH levels should be considered for oocyte cryopreservation after in vitro maturation?&lt;/title&gt;&lt;secondary-title&gt;Hum Reprod&lt;/secondary-title&gt;&lt;/titles&gt;&lt;periodical&gt;&lt;full-title&gt;Hum Reprod&lt;/full-title&gt;&lt;/periodical&gt;&lt;pages&gt;1493-500&lt;/pages&gt;&lt;volume&gt;31&lt;/volume&gt;&lt;number&gt;7&lt;/number&gt;&lt;keywords&gt;&lt;keyword&gt;Chorionic Gonadotropin&lt;/keyword&gt;&lt;keyword&gt;Logistic Models&lt;/keyword&gt;&lt;keyword&gt;Cryopreservation&lt;/keyword&gt;&lt;keyword&gt;Oocytes&lt;/keyword&gt;&lt;/keywords&gt;&lt;dates&gt;&lt;year&gt;2016&lt;/year&gt;&lt;pub-dates&gt;&lt;date&gt;2016-1-1&lt;/date&gt;&lt;/pub-dates&gt;&lt;/dates&gt;&lt;isbn&gt;0268-1161 (Print) 0268-1161&lt;/isbn&gt;&lt;accession-num&gt;rayyan-6678715&lt;/accession-num&gt;&lt;urls&gt;&lt;related-urls&gt;&lt;url&gt;https://oup.silverchair-cdn.com/oup/backfile/Content_public/Journal/humrep/31/7/10.1093_humrep_dew102/1/dew102.pdf?Expires=1501318963&amp;amp;Signature=B9se7OB2P2nkeW2WqjDzLDukXhdYd3z8wsVpR5XUD0BXk2LQ6MxsshsE~o5Grrp9BWRapcy9JQUztlyQtnRuxAvvWnb-DAMLgbvmUvI-rSw0IYwIWnBYCo-rSkgDSLSVyJxLqSpRYa3~4sAtJnBG7Jl90TwkZPwlWosR4t6vielm3ohgsyWPcig01K1ovBUbQbzuqud-aYOS1WlwQdK-CSizVEy~gGzhU1SWlcO3D~2IsNrNV1xSak6TowkqrCkAtSCUHCAIPUV87AdrKq-IF0o8xAeACGX9SCBXQomnPeA6ztBWgw-PmIFEbvYLu9hYg3WUbsoW1us7YwWbBSfouw__&amp;amp;Key-Pair-Id=APKAIUCZBIA4LVPAVW3Q&lt;/url&gt;&lt;/related-urls&gt;&lt;/urls&gt;&lt;custom1&gt;RAYYAN-INCLUSION: {&amp;quot;Sharon&amp;quot;=&amp;gt;true, &amp;quot;Joanne&amp;quot;=&amp;gt;true}&lt;/custom1&gt;&lt;language&gt;eng&lt;/language&gt;&lt;/record&gt;&lt;/Cite&gt;&lt;/EndNote&gt;</w:instrText>
      </w:r>
      <w:r w:rsidR="00A109BA" w:rsidRPr="006D275B">
        <w:rPr>
          <w:rFonts w:ascii="Arial Narrow" w:hAnsi="Arial Narrow"/>
          <w:sz w:val="18"/>
          <w:szCs w:val="18"/>
        </w:rPr>
        <w:fldChar w:fldCharType="separate"/>
      </w:r>
      <w:r w:rsidR="00A109BA" w:rsidRPr="006D275B">
        <w:rPr>
          <w:rFonts w:ascii="Arial Narrow" w:hAnsi="Arial Narrow"/>
          <w:noProof/>
          <w:sz w:val="18"/>
          <w:szCs w:val="18"/>
        </w:rPr>
        <w:t>(</w:t>
      </w:r>
      <w:hyperlink w:anchor="_ENREF_61" w:tooltip="Sonigo, 2016 #329" w:history="1">
        <w:r w:rsidR="00835BA6" w:rsidRPr="006D275B">
          <w:rPr>
            <w:rFonts w:ascii="Arial Narrow" w:hAnsi="Arial Narrow"/>
            <w:noProof/>
            <w:sz w:val="18"/>
            <w:szCs w:val="18"/>
          </w:rPr>
          <w:t>Sonigo et al. 2016</w:t>
        </w:r>
      </w:hyperlink>
      <w:r w:rsidR="00A109BA" w:rsidRPr="006D275B">
        <w:rPr>
          <w:rFonts w:ascii="Arial Narrow" w:hAnsi="Arial Narrow"/>
          <w:noProof/>
          <w:sz w:val="18"/>
          <w:szCs w:val="18"/>
        </w:rPr>
        <w:t>)</w:t>
      </w:r>
      <w:r w:rsidR="00A109BA" w:rsidRPr="006D275B">
        <w:rPr>
          <w:rFonts w:ascii="Arial Narrow" w:hAnsi="Arial Narrow"/>
          <w:sz w:val="18"/>
          <w:szCs w:val="18"/>
        </w:rPr>
        <w:fldChar w:fldCharType="end"/>
      </w:r>
    </w:p>
    <w:p w14:paraId="2F6C75AB" w14:textId="235D1735" w:rsidR="00A813F1" w:rsidRDefault="00CB05BE" w:rsidP="00A813F1">
      <w:pPr>
        <w:jc w:val="both"/>
      </w:pPr>
      <w:r>
        <w:t>Three</w:t>
      </w:r>
      <w:r w:rsidR="00A813F1">
        <w:t xml:space="preserve"> smaller studies were included which investigated the correlation between AMH score and number of oocytes retrieved during controlled hyperstimulation in women under</w:t>
      </w:r>
      <w:r w:rsidR="0004250B">
        <w:t>going gonadotoxic treatment (</w:t>
      </w:r>
      <w:r w:rsidR="00A70D09">
        <w:fldChar w:fldCharType="begin"/>
      </w:r>
      <w:r w:rsidR="00A70D09">
        <w:instrText xml:space="preserve"> REF _Ref497902193 \h </w:instrText>
      </w:r>
      <w:r w:rsidR="00A70D09">
        <w:fldChar w:fldCharType="separate"/>
      </w:r>
      <w:r w:rsidR="00AC4BE5">
        <w:t xml:space="preserve">Table </w:t>
      </w:r>
      <w:r w:rsidR="00AC4BE5">
        <w:rPr>
          <w:noProof/>
        </w:rPr>
        <w:t>52</w:t>
      </w:r>
      <w:r w:rsidR="00A70D09">
        <w:fldChar w:fldCharType="end"/>
      </w:r>
      <w:r w:rsidR="00A813F1">
        <w:t>). Lee et al. (2011) performed a multiple regression analysi</w:t>
      </w:r>
      <w:r>
        <w:t>s to adjust for AMH, age, FSH, i</w:t>
      </w:r>
      <w:r w:rsidR="00A813F1">
        <w:t>nhibin B and AFC which were correlated with the number of oocytes retrieved in the univariate analysis. The correlation between number of oocytes and AMH, AFC and age was r</w:t>
      </w:r>
      <w:r w:rsidR="00EB382C">
        <w:t>=</w:t>
      </w:r>
      <w:r w:rsidR="00A813F1">
        <w:t xml:space="preserve">0.71 (all </w:t>
      </w:r>
      <w:r w:rsidR="00E51074">
        <w:t>p</w:t>
      </w:r>
      <w:r w:rsidR="00A813F1">
        <w:t>&lt;0.05). The correlation between mature, metaphase II oocytes retrieved and AMH and AFC was r</w:t>
      </w:r>
      <w:r w:rsidR="00EB382C">
        <w:t>=</w:t>
      </w:r>
      <w:r w:rsidR="00A813F1">
        <w:t xml:space="preserve">0.64 (all </w:t>
      </w:r>
      <w:r w:rsidR="00E51074">
        <w:t>p</w:t>
      </w:r>
      <w:r w:rsidR="00A813F1">
        <w:t>&lt;0.05). An AMH cut-off of 1.2 ng/mL was used to determine if yield was higher with a higher AMH score. In the group with low AMH (</w:t>
      </w:r>
      <w:r w:rsidR="003B42B2">
        <w:t>≤</w:t>
      </w:r>
      <w:r w:rsidR="00A813F1" w:rsidRPr="00D862C2">
        <w:t>1.2 ng/mL; n=18)</w:t>
      </w:r>
      <w:r w:rsidR="00A813F1">
        <w:t xml:space="preserve"> the mean oocyte yield was 11.3</w:t>
      </w:r>
      <w:r w:rsidRPr="00CB05BE">
        <w:t> ± </w:t>
      </w:r>
      <w:r w:rsidR="00A813F1">
        <w:t>9.7, whereas in the group with high AMH (</w:t>
      </w:r>
      <w:r w:rsidR="00035EEF">
        <w:t>&gt;</w:t>
      </w:r>
      <w:r w:rsidR="00A813F1" w:rsidRPr="00D862C2">
        <w:t>1.2 ng/mL; n=23)</w:t>
      </w:r>
      <w:r w:rsidR="00A813F1">
        <w:t xml:space="preserve"> the mean oocyte yield was </w:t>
      </w:r>
      <w:r w:rsidR="00A813F1" w:rsidRPr="00D862C2">
        <w:t>19.7</w:t>
      </w:r>
      <w:r w:rsidRPr="00CB05BE">
        <w:t> ± </w:t>
      </w:r>
      <w:r w:rsidR="00A813F1" w:rsidRPr="00D862C2">
        <w:t>8.8</w:t>
      </w:r>
      <w:r w:rsidR="003A55CD">
        <w:t xml:space="preserve"> (p</w:t>
      </w:r>
      <w:r w:rsidR="00A813F1">
        <w:t xml:space="preserve">&lt;0.01). This was </w:t>
      </w:r>
      <w:r w:rsidR="00A813F1" w:rsidRPr="00D862C2">
        <w:t>6.8</w:t>
      </w:r>
      <w:r w:rsidRPr="00CB05BE">
        <w:t> ± </w:t>
      </w:r>
      <w:r w:rsidR="00A813F1" w:rsidRPr="00D862C2">
        <w:t>5.6 and 12.7</w:t>
      </w:r>
      <w:r w:rsidRPr="00CB05BE">
        <w:t> ± </w:t>
      </w:r>
      <w:r w:rsidR="00A813F1" w:rsidRPr="00D862C2">
        <w:t xml:space="preserve">5.8 for </w:t>
      </w:r>
      <w:r w:rsidR="00A813F1">
        <w:t>mature, metaphase II oocytes, respectively (</w:t>
      </w:r>
      <w:r w:rsidR="00CA73DC">
        <w:t>p</w:t>
      </w:r>
      <w:r w:rsidR="00A813F1">
        <w:t>&lt;0.01). With &gt;1.2 ng/mL used as an AMH threshold for high AMH score and &gt;4 mature, metaphase II oocytes retrieved as a successful oocyte yield, the sensitivity and specificity of AMH for predicting successful oocyte yield w</w:t>
      </w:r>
      <w:r w:rsidR="003A55CD">
        <w:t>ould be 68.9% (95%CI 50.0, 83.9) and 87.5</w:t>
      </w:r>
      <w:r w:rsidR="00A813F1">
        <w:t>% (95%CI</w:t>
      </w:r>
      <w:r w:rsidR="003A55CD">
        <w:t xml:space="preserve"> 47.4, 99.7</w:t>
      </w:r>
      <w:r w:rsidR="00A813F1">
        <w:t xml:space="preserve">), respectively </w:t>
      </w:r>
      <w:r w:rsidR="00A109BA">
        <w:fldChar w:fldCharType="begin"/>
      </w:r>
      <w:r w:rsidR="00577E24">
        <w:instrText xml:space="preserve"> ADDIN EN.CITE &lt;EndNote&gt;&lt;Cite&gt;&lt;Author&gt;Lee&lt;/Author&gt;&lt;Year&gt;2011&lt;/Year&gt;&lt;RecNum&gt;222&lt;/RecNum&gt;&lt;IDText&gt;651-6&lt;/IDText&gt;&lt;DisplayText&gt;(Lee et al. 2011)&lt;/DisplayText&gt;&lt;record&gt;&lt;rec-number&gt;222&lt;/rec-number&gt;&lt;foreign-keys&gt;&lt;key app="EN" db-id="s2dftfxw1fvsr1efx58vfvxtvfwzxea0td02" timestamp="1511748083"&gt;222&lt;/key&gt;&lt;/foreign-keys&gt;&lt;ref-type name="Journal Article"&gt;17&lt;/ref-type&gt;&lt;contributors&gt;&lt;authors&gt;&lt;author&gt;Lee, S.&lt;/author&gt;&lt;author&gt;Ozkavukcu, S.&lt;/author&gt;&lt;author&gt;Heytens, E.&lt;/author&gt;&lt;author&gt;Moy, F.&lt;/author&gt;&lt;author&gt;Alappat, R. M.&lt;/author&gt;&lt;author&gt;Oktay, K.&lt;/author&gt;&lt;/authors&gt;&lt;/contributors&gt;&lt;titles&gt;&lt;title&gt;Anti-Mullerian hormone and antral follicle count as predictors for embryo/oocyte cryopreservation cycle outcomes in breast cancer patients stimulated with letrozole and follicle stimulating hormone&lt;/title&gt;&lt;secondary-title&gt;J Assist Reprod Genet&lt;/secondary-title&gt;&lt;/titles&gt;&lt;periodical&gt;&lt;full-title&gt;J Assist Reprod Genet&lt;/full-title&gt;&lt;/periodical&gt;&lt;pages&gt;651-6&lt;/pages&gt;&lt;volume&gt;28&lt;/volume&gt;&lt;number&gt;7&lt;/number&gt;&lt;keywords&gt;&lt;keyword&gt;Cryopreservation&lt;/keyword&gt;&lt;keyword&gt;Follicle Stimulating Hormone&lt;/keyword&gt;&lt;keyword&gt;Breast Neoplasms&lt;/keyword&gt;&lt;/keywords&gt;&lt;dates&gt;&lt;year&gt;2011&lt;/year&gt;&lt;pub-dates&gt;&lt;date&gt;2011-1-1&lt;/date&gt;&lt;/pub-dates&gt;&lt;/dates&gt;&lt;isbn&gt;1058-0468 (Print) 1058-0468&lt;/isbn&gt;&lt;accession-num&gt;rayyan-5557264&lt;/accession-num&gt;&lt;urls&gt;&lt;related-urls&gt;&lt;url&gt;https://www.ncbi.nlm.nih.gov/pmc/articles/PMC3162058/pdf/10815_2011_Article_9567.pdf&lt;/url&gt;&lt;/related-urls&gt;&lt;/urls&gt;&lt;custom1&gt;RAYYAN-INCLUSION: {&amp;quot;Sharon&amp;quot;=&amp;gt;true}&lt;/custom1&gt;&lt;language&gt;eng&lt;/language&gt;&lt;/record&gt;&lt;/Cite&gt;&lt;/EndNote&gt;</w:instrText>
      </w:r>
      <w:r w:rsidR="00A109BA">
        <w:fldChar w:fldCharType="separate"/>
      </w:r>
      <w:r w:rsidR="00A109BA">
        <w:rPr>
          <w:noProof/>
        </w:rPr>
        <w:t>(</w:t>
      </w:r>
      <w:hyperlink w:anchor="_ENREF_36" w:tooltip="Lee, 2011 #222" w:history="1">
        <w:r w:rsidR="00835BA6">
          <w:rPr>
            <w:noProof/>
          </w:rPr>
          <w:t>Lee et al. 2011</w:t>
        </w:r>
      </w:hyperlink>
      <w:r w:rsidR="00A109BA">
        <w:rPr>
          <w:noProof/>
        </w:rPr>
        <w:t>)</w:t>
      </w:r>
      <w:r w:rsidR="00A109BA">
        <w:fldChar w:fldCharType="end"/>
      </w:r>
      <w:r w:rsidR="00A813F1">
        <w:t>.</w:t>
      </w:r>
    </w:p>
    <w:p w14:paraId="1B2FBD3F" w14:textId="673A0421" w:rsidR="007518CF" w:rsidRDefault="00A813F1" w:rsidP="00A813F1">
      <w:pPr>
        <w:jc w:val="both"/>
      </w:pPr>
      <w:r>
        <w:t>The two other studies did not report whether the correlations</w:t>
      </w:r>
      <w:r w:rsidR="003A55CD">
        <w:t xml:space="preserve"> were statistically significant;</w:t>
      </w:r>
      <w:r>
        <w:t xml:space="preserve"> however the correlations between AMH value and oocytes retrieved are between 0.45 and 0.60 in all three studies, which indicates a moderate linear relationship. Takae et al. (2015) also reported an inverse moderate correlation with age and the number of oocytes retrieved (r</w:t>
      </w:r>
      <w:r w:rsidR="00EB382C">
        <w:t>= -</w:t>
      </w:r>
      <w:r>
        <w:t>0.48).</w:t>
      </w:r>
    </w:p>
    <w:p w14:paraId="47EC9E10" w14:textId="250534EF" w:rsidR="00A813F1" w:rsidRDefault="00A813F1" w:rsidP="00A813F1">
      <w:pPr>
        <w:pStyle w:val="Caption"/>
        <w:keepNext/>
      </w:pPr>
      <w:bookmarkStart w:id="330" w:name="_Ref497902193"/>
      <w:bookmarkStart w:id="331" w:name="_Toc502833070"/>
      <w:r>
        <w:lastRenderedPageBreak/>
        <w:t xml:space="preserve">Table </w:t>
      </w:r>
      <w:r w:rsidR="00AC4BE5">
        <w:fldChar w:fldCharType="begin"/>
      </w:r>
      <w:r w:rsidR="00AC4BE5">
        <w:instrText xml:space="preserve"> SEQ Table \* ARABIC </w:instrText>
      </w:r>
      <w:r w:rsidR="00AC4BE5">
        <w:fldChar w:fldCharType="separate"/>
      </w:r>
      <w:r w:rsidR="00AC4BE5">
        <w:rPr>
          <w:noProof/>
        </w:rPr>
        <w:t>52</w:t>
      </w:r>
      <w:r w:rsidR="00AC4BE5">
        <w:rPr>
          <w:noProof/>
        </w:rPr>
        <w:fldChar w:fldCharType="end"/>
      </w:r>
      <w:bookmarkEnd w:id="330"/>
      <w:r>
        <w:tab/>
        <w:t>Correlation between oocyte</w:t>
      </w:r>
      <w:r w:rsidR="003A55CD">
        <w:t>s retrieved and AMH, AFC, FSH, i</w:t>
      </w:r>
      <w:r>
        <w:t>nhibin B and/or E2 values</w:t>
      </w:r>
      <w:bookmarkEnd w:id="331"/>
    </w:p>
    <w:tbl>
      <w:tblPr>
        <w:tblStyle w:val="TableGrid11"/>
        <w:tblW w:w="9067" w:type="dxa"/>
        <w:tblLook w:val="04A0" w:firstRow="1" w:lastRow="0" w:firstColumn="1" w:lastColumn="0" w:noHBand="0" w:noVBand="1"/>
        <w:tblCaption w:val="Correlation between oocytes retrieved and AMH, AFC, FSH, Inhibin B and/or E2 values"/>
        <w:tblDescription w:val="Correlation between oocytes retrieved and AMH, AFC, FSH, Inhibin B and/or E2 values"/>
      </w:tblPr>
      <w:tblGrid>
        <w:gridCol w:w="988"/>
        <w:gridCol w:w="1275"/>
        <w:gridCol w:w="2410"/>
        <w:gridCol w:w="992"/>
        <w:gridCol w:w="754"/>
        <w:gridCol w:w="806"/>
        <w:gridCol w:w="992"/>
        <w:gridCol w:w="850"/>
      </w:tblGrid>
      <w:tr w:rsidR="00A813F1" w:rsidRPr="00F52D5A" w14:paraId="6145A0AC" w14:textId="77777777" w:rsidTr="0025301A">
        <w:trPr>
          <w:tblHeader/>
        </w:trPr>
        <w:tc>
          <w:tcPr>
            <w:tcW w:w="988" w:type="dxa"/>
          </w:tcPr>
          <w:p w14:paraId="5B78B995" w14:textId="77777777" w:rsidR="00A813F1" w:rsidRPr="00F52D5A" w:rsidRDefault="00A813F1" w:rsidP="00762873">
            <w:pPr>
              <w:spacing w:after="0" w:line="240" w:lineRule="auto"/>
              <w:ind w:right="-57"/>
              <w:rPr>
                <w:rFonts w:ascii="Arial Narrow" w:hAnsi="Arial Narrow"/>
                <w:b/>
                <w:sz w:val="20"/>
              </w:rPr>
            </w:pPr>
            <w:r w:rsidRPr="00F52D5A">
              <w:rPr>
                <w:rFonts w:ascii="Arial Narrow" w:hAnsi="Arial Narrow"/>
                <w:b/>
                <w:sz w:val="20"/>
              </w:rPr>
              <w:t>Study</w:t>
            </w:r>
          </w:p>
        </w:tc>
        <w:tc>
          <w:tcPr>
            <w:tcW w:w="1275" w:type="dxa"/>
          </w:tcPr>
          <w:p w14:paraId="417466F0" w14:textId="77777777" w:rsidR="00A813F1" w:rsidRPr="00F52D5A" w:rsidRDefault="00A813F1" w:rsidP="00762873">
            <w:pPr>
              <w:spacing w:after="0" w:line="240" w:lineRule="auto"/>
              <w:ind w:right="-57"/>
              <w:rPr>
                <w:rFonts w:ascii="Arial Narrow" w:hAnsi="Arial Narrow"/>
                <w:b/>
                <w:sz w:val="20"/>
              </w:rPr>
            </w:pPr>
            <w:r w:rsidRPr="00F52D5A">
              <w:rPr>
                <w:rFonts w:ascii="Arial Narrow" w:hAnsi="Arial Narrow"/>
                <w:b/>
                <w:sz w:val="20"/>
              </w:rPr>
              <w:t>Population</w:t>
            </w:r>
          </w:p>
        </w:tc>
        <w:tc>
          <w:tcPr>
            <w:tcW w:w="2410" w:type="dxa"/>
          </w:tcPr>
          <w:p w14:paraId="299DEEEA" w14:textId="77777777" w:rsidR="00A813F1" w:rsidRPr="00F52D5A" w:rsidRDefault="00A813F1" w:rsidP="00762873">
            <w:pPr>
              <w:spacing w:after="0" w:line="240" w:lineRule="auto"/>
              <w:ind w:right="-57"/>
              <w:rPr>
                <w:rFonts w:ascii="Arial Narrow" w:hAnsi="Arial Narrow"/>
                <w:b/>
                <w:sz w:val="20"/>
              </w:rPr>
            </w:pPr>
            <w:r w:rsidRPr="00F52D5A">
              <w:rPr>
                <w:rFonts w:ascii="Arial Narrow" w:hAnsi="Arial Narrow"/>
                <w:b/>
                <w:sz w:val="20"/>
              </w:rPr>
              <w:t>Correlation between:</w:t>
            </w:r>
          </w:p>
        </w:tc>
        <w:tc>
          <w:tcPr>
            <w:tcW w:w="992" w:type="dxa"/>
          </w:tcPr>
          <w:p w14:paraId="2AE345CD" w14:textId="27C757F1" w:rsidR="00A813F1" w:rsidRPr="00F52D5A" w:rsidRDefault="006D275B" w:rsidP="00762873">
            <w:pPr>
              <w:spacing w:after="0" w:line="240" w:lineRule="auto"/>
              <w:ind w:right="-57"/>
              <w:rPr>
                <w:rFonts w:ascii="Arial Narrow" w:hAnsi="Arial Narrow"/>
                <w:b/>
                <w:sz w:val="20"/>
              </w:rPr>
            </w:pPr>
            <w:r>
              <w:rPr>
                <w:rFonts w:ascii="Arial Narrow" w:hAnsi="Arial Narrow"/>
                <w:b/>
                <w:sz w:val="20"/>
              </w:rPr>
              <w:t>AMH</w:t>
            </w:r>
          </w:p>
        </w:tc>
        <w:tc>
          <w:tcPr>
            <w:tcW w:w="754" w:type="dxa"/>
          </w:tcPr>
          <w:p w14:paraId="6BF98530" w14:textId="77777777" w:rsidR="00A813F1" w:rsidRPr="00F52D5A" w:rsidRDefault="00A813F1" w:rsidP="00762873">
            <w:pPr>
              <w:spacing w:after="0" w:line="240" w:lineRule="auto"/>
              <w:ind w:right="-57"/>
              <w:rPr>
                <w:rFonts w:ascii="Arial Narrow" w:hAnsi="Arial Narrow"/>
                <w:b/>
                <w:sz w:val="20"/>
              </w:rPr>
            </w:pPr>
            <w:r w:rsidRPr="00F52D5A">
              <w:rPr>
                <w:rFonts w:ascii="Arial Narrow" w:hAnsi="Arial Narrow"/>
                <w:b/>
                <w:sz w:val="20"/>
              </w:rPr>
              <w:t>AFC</w:t>
            </w:r>
          </w:p>
        </w:tc>
        <w:tc>
          <w:tcPr>
            <w:tcW w:w="806" w:type="dxa"/>
          </w:tcPr>
          <w:p w14:paraId="5E7779B9" w14:textId="77777777" w:rsidR="00A813F1" w:rsidRPr="00F52D5A" w:rsidRDefault="00A813F1" w:rsidP="00762873">
            <w:pPr>
              <w:spacing w:after="0" w:line="240" w:lineRule="auto"/>
              <w:ind w:right="-57"/>
              <w:rPr>
                <w:rFonts w:ascii="Arial Narrow" w:hAnsi="Arial Narrow"/>
                <w:b/>
                <w:sz w:val="20"/>
              </w:rPr>
            </w:pPr>
            <w:r w:rsidRPr="00F52D5A">
              <w:rPr>
                <w:rFonts w:ascii="Arial Narrow" w:hAnsi="Arial Narrow"/>
                <w:b/>
                <w:sz w:val="20"/>
              </w:rPr>
              <w:t>FSH</w:t>
            </w:r>
          </w:p>
        </w:tc>
        <w:tc>
          <w:tcPr>
            <w:tcW w:w="992" w:type="dxa"/>
          </w:tcPr>
          <w:p w14:paraId="28858EA4" w14:textId="77777777" w:rsidR="00A813F1" w:rsidRPr="00F52D5A" w:rsidRDefault="00A813F1" w:rsidP="00762873">
            <w:pPr>
              <w:spacing w:after="0" w:line="240" w:lineRule="auto"/>
              <w:ind w:right="-57"/>
              <w:rPr>
                <w:rFonts w:ascii="Arial Narrow" w:hAnsi="Arial Narrow"/>
                <w:b/>
                <w:sz w:val="20"/>
              </w:rPr>
            </w:pPr>
            <w:r w:rsidRPr="00F52D5A">
              <w:rPr>
                <w:rFonts w:ascii="Arial Narrow" w:hAnsi="Arial Narrow"/>
                <w:b/>
                <w:sz w:val="20"/>
              </w:rPr>
              <w:t>Inhibin B</w:t>
            </w:r>
          </w:p>
        </w:tc>
        <w:tc>
          <w:tcPr>
            <w:tcW w:w="850" w:type="dxa"/>
          </w:tcPr>
          <w:p w14:paraId="26BDFAA7" w14:textId="77777777" w:rsidR="00A813F1" w:rsidRPr="00F52D5A" w:rsidRDefault="00A813F1" w:rsidP="00762873">
            <w:pPr>
              <w:spacing w:after="0" w:line="240" w:lineRule="auto"/>
              <w:ind w:right="-57"/>
              <w:rPr>
                <w:rFonts w:ascii="Arial Narrow" w:hAnsi="Arial Narrow"/>
                <w:b/>
                <w:sz w:val="20"/>
              </w:rPr>
            </w:pPr>
            <w:r w:rsidRPr="00F52D5A">
              <w:rPr>
                <w:rFonts w:ascii="Arial Narrow" w:hAnsi="Arial Narrow"/>
                <w:b/>
                <w:sz w:val="20"/>
              </w:rPr>
              <w:t>Peak E2 (pg/mL)</w:t>
            </w:r>
          </w:p>
        </w:tc>
      </w:tr>
      <w:tr w:rsidR="00A813F1" w:rsidRPr="00F52D5A" w14:paraId="7F4261D6" w14:textId="77777777" w:rsidTr="0025301A">
        <w:trPr>
          <w:tblHeader/>
        </w:trPr>
        <w:tc>
          <w:tcPr>
            <w:tcW w:w="988" w:type="dxa"/>
          </w:tcPr>
          <w:p w14:paraId="4731D5AE"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Lee et al. (2011)</w:t>
            </w:r>
          </w:p>
          <w:p w14:paraId="5DDF3CF7" w14:textId="77777777" w:rsidR="00A813F1" w:rsidRPr="00F52D5A" w:rsidRDefault="00A813F1" w:rsidP="00762873">
            <w:pPr>
              <w:spacing w:after="0" w:line="240" w:lineRule="auto"/>
              <w:ind w:right="-57"/>
              <w:rPr>
                <w:rFonts w:ascii="Arial Narrow" w:hAnsi="Arial Narrow"/>
                <w:sz w:val="20"/>
              </w:rPr>
            </w:pPr>
          </w:p>
        </w:tc>
        <w:tc>
          <w:tcPr>
            <w:tcW w:w="1275" w:type="dxa"/>
          </w:tcPr>
          <w:p w14:paraId="2CC51F03" w14:textId="7406E583" w:rsidR="00A813F1" w:rsidRPr="00F52D5A" w:rsidRDefault="00A813F1" w:rsidP="00762873">
            <w:pPr>
              <w:spacing w:after="0" w:line="240" w:lineRule="auto"/>
              <w:ind w:right="-57"/>
              <w:rPr>
                <w:rFonts w:ascii="Arial Narrow" w:hAnsi="Arial Narrow"/>
                <w:sz w:val="20"/>
              </w:rPr>
            </w:pPr>
            <w:r w:rsidRPr="00F52D5A">
              <w:rPr>
                <w:rFonts w:ascii="Arial Narrow" w:hAnsi="Arial Narrow"/>
                <w:b/>
                <w:sz w:val="20"/>
              </w:rPr>
              <w:t>N</w:t>
            </w:r>
            <w:r w:rsidR="00846BA5">
              <w:rPr>
                <w:rFonts w:ascii="Arial Narrow" w:hAnsi="Arial Narrow"/>
                <w:b/>
                <w:sz w:val="20"/>
              </w:rPr>
              <w:t>=</w:t>
            </w:r>
            <w:r w:rsidRPr="00F52D5A">
              <w:rPr>
                <w:rFonts w:ascii="Arial Narrow" w:hAnsi="Arial Narrow"/>
                <w:b/>
                <w:sz w:val="20"/>
              </w:rPr>
              <w:t>41</w:t>
            </w:r>
            <w:r w:rsidRPr="00F52D5A">
              <w:rPr>
                <w:rFonts w:ascii="Arial Narrow" w:hAnsi="Arial Narrow"/>
                <w:sz w:val="20"/>
              </w:rPr>
              <w:t xml:space="preserve"> women with stage </w:t>
            </w:r>
            <w:r w:rsidR="003B42B2">
              <w:rPr>
                <w:rFonts w:ascii="Arial Narrow" w:hAnsi="Arial Narrow"/>
                <w:sz w:val="20"/>
              </w:rPr>
              <w:t>≤</w:t>
            </w:r>
            <w:r w:rsidR="003A55CD">
              <w:rPr>
                <w:rFonts w:ascii="Arial Narrow" w:hAnsi="Arial Narrow"/>
                <w:sz w:val="20"/>
              </w:rPr>
              <w:t>3 breast cancer</w:t>
            </w:r>
          </w:p>
        </w:tc>
        <w:tc>
          <w:tcPr>
            <w:tcW w:w="2410" w:type="dxa"/>
          </w:tcPr>
          <w:p w14:paraId="21437BA0" w14:textId="77777777" w:rsidR="00A813F1" w:rsidRPr="00F52D5A" w:rsidRDefault="00A813F1" w:rsidP="00762873">
            <w:pPr>
              <w:spacing w:after="0" w:line="240" w:lineRule="auto"/>
              <w:ind w:right="-57"/>
              <w:rPr>
                <w:rFonts w:ascii="Arial Narrow" w:hAnsi="Arial Narrow"/>
                <w:sz w:val="20"/>
              </w:rPr>
            </w:pPr>
          </w:p>
          <w:p w14:paraId="34EA722E" w14:textId="1D1C48C8" w:rsidR="00A813F1" w:rsidRPr="00F52D5A" w:rsidRDefault="003A55CD" w:rsidP="00762873">
            <w:pPr>
              <w:spacing w:after="0" w:line="240" w:lineRule="auto"/>
              <w:ind w:right="-57"/>
              <w:rPr>
                <w:rFonts w:ascii="Arial Narrow" w:hAnsi="Arial Narrow"/>
                <w:sz w:val="20"/>
              </w:rPr>
            </w:pPr>
            <w:r>
              <w:rPr>
                <w:rFonts w:ascii="Arial Narrow" w:hAnsi="Arial Narrow"/>
                <w:sz w:val="20"/>
              </w:rPr>
              <w:t>No. of oocytes retrieved:</w:t>
            </w:r>
          </w:p>
          <w:p w14:paraId="212B2C60" w14:textId="520A3BFD" w:rsidR="00A813F1" w:rsidRPr="00F52D5A" w:rsidRDefault="003A55CD" w:rsidP="00762873">
            <w:pPr>
              <w:spacing w:after="0" w:line="240" w:lineRule="auto"/>
              <w:ind w:right="-57"/>
              <w:rPr>
                <w:rFonts w:ascii="Arial Narrow" w:hAnsi="Arial Narrow"/>
                <w:sz w:val="20"/>
              </w:rPr>
            </w:pPr>
            <w:r>
              <w:rPr>
                <w:rFonts w:ascii="Arial Narrow" w:hAnsi="Arial Narrow"/>
                <w:sz w:val="20"/>
              </w:rPr>
              <w:t>No. of MII retrieved:</w:t>
            </w:r>
          </w:p>
          <w:p w14:paraId="1052144D"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No. of embryos cryopreserved:</w:t>
            </w:r>
          </w:p>
        </w:tc>
        <w:tc>
          <w:tcPr>
            <w:tcW w:w="992" w:type="dxa"/>
          </w:tcPr>
          <w:p w14:paraId="37E19501"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(logAMH)</w:t>
            </w:r>
          </w:p>
          <w:p w14:paraId="641E28B1"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0.454**</w:t>
            </w:r>
          </w:p>
          <w:p w14:paraId="740C0CA1"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0.583**</w:t>
            </w:r>
          </w:p>
          <w:p w14:paraId="0D4D5FC6"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0.508**</w:t>
            </w:r>
          </w:p>
        </w:tc>
        <w:tc>
          <w:tcPr>
            <w:tcW w:w="754" w:type="dxa"/>
          </w:tcPr>
          <w:p w14:paraId="6C5FD5F7" w14:textId="77777777" w:rsidR="00A813F1" w:rsidRPr="00F52D5A" w:rsidRDefault="00A813F1" w:rsidP="00762873">
            <w:pPr>
              <w:spacing w:after="0" w:line="240" w:lineRule="auto"/>
              <w:ind w:right="-57"/>
              <w:rPr>
                <w:rFonts w:ascii="Arial Narrow" w:hAnsi="Arial Narrow"/>
                <w:sz w:val="20"/>
              </w:rPr>
            </w:pPr>
          </w:p>
          <w:p w14:paraId="33A056EC"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0.658**</w:t>
            </w:r>
          </w:p>
          <w:p w14:paraId="29336EAF"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0.605**</w:t>
            </w:r>
          </w:p>
          <w:p w14:paraId="3529E5F9"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0.588**</w:t>
            </w:r>
          </w:p>
        </w:tc>
        <w:tc>
          <w:tcPr>
            <w:tcW w:w="806" w:type="dxa"/>
          </w:tcPr>
          <w:p w14:paraId="2368565A" w14:textId="77777777" w:rsidR="00A813F1" w:rsidRPr="00F52D5A" w:rsidRDefault="00A813F1" w:rsidP="00762873">
            <w:pPr>
              <w:spacing w:after="0" w:line="240" w:lineRule="auto"/>
              <w:ind w:right="-57"/>
              <w:rPr>
                <w:rFonts w:ascii="Arial Narrow" w:hAnsi="Arial Narrow"/>
                <w:sz w:val="20"/>
              </w:rPr>
            </w:pPr>
          </w:p>
          <w:p w14:paraId="74C58CD0"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-0.375*</w:t>
            </w:r>
          </w:p>
          <w:p w14:paraId="59B80AC3"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-0.360*</w:t>
            </w:r>
          </w:p>
          <w:p w14:paraId="0481B6C8"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NS</w:t>
            </w:r>
          </w:p>
        </w:tc>
        <w:tc>
          <w:tcPr>
            <w:tcW w:w="992" w:type="dxa"/>
          </w:tcPr>
          <w:p w14:paraId="7F4DC542" w14:textId="77777777" w:rsidR="00A813F1" w:rsidRPr="00F52D5A" w:rsidRDefault="00A813F1" w:rsidP="00762873">
            <w:pPr>
              <w:spacing w:after="0" w:line="240" w:lineRule="auto"/>
              <w:ind w:right="-57"/>
              <w:rPr>
                <w:rFonts w:ascii="Arial Narrow" w:hAnsi="Arial Narrow"/>
                <w:sz w:val="20"/>
              </w:rPr>
            </w:pPr>
          </w:p>
          <w:p w14:paraId="6595746D"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0.385*</w:t>
            </w:r>
          </w:p>
          <w:p w14:paraId="31A078C1"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0.434*</w:t>
            </w:r>
          </w:p>
          <w:p w14:paraId="744540F4"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0.595**</w:t>
            </w:r>
          </w:p>
        </w:tc>
        <w:tc>
          <w:tcPr>
            <w:tcW w:w="850" w:type="dxa"/>
          </w:tcPr>
          <w:p w14:paraId="1FD9BD5D" w14:textId="460E7EB5" w:rsidR="00A813F1" w:rsidRPr="00F52D5A" w:rsidRDefault="000B2896" w:rsidP="00762873">
            <w:pPr>
              <w:spacing w:after="0" w:line="240" w:lineRule="auto"/>
              <w:ind w:right="-57"/>
              <w:rPr>
                <w:rFonts w:ascii="Arial Narrow" w:hAnsi="Arial Narrow"/>
                <w:sz w:val="20"/>
              </w:rPr>
            </w:pPr>
            <w:r>
              <w:rPr>
                <w:rFonts w:ascii="Arial Narrow" w:hAnsi="Arial Narrow"/>
                <w:sz w:val="20"/>
              </w:rPr>
              <w:t>-</w:t>
            </w:r>
          </w:p>
        </w:tc>
      </w:tr>
      <w:tr w:rsidR="00A813F1" w:rsidRPr="00F52D5A" w14:paraId="66BC6859" w14:textId="77777777" w:rsidTr="0025301A">
        <w:trPr>
          <w:tblHeader/>
        </w:trPr>
        <w:tc>
          <w:tcPr>
            <w:tcW w:w="988" w:type="dxa"/>
          </w:tcPr>
          <w:p w14:paraId="30B052C4"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Manno et al. (2016)</w:t>
            </w:r>
          </w:p>
        </w:tc>
        <w:tc>
          <w:tcPr>
            <w:tcW w:w="1275" w:type="dxa"/>
          </w:tcPr>
          <w:p w14:paraId="53260B0C" w14:textId="75570D2B" w:rsidR="00A813F1" w:rsidRPr="00F52D5A" w:rsidRDefault="00A813F1" w:rsidP="00762873">
            <w:pPr>
              <w:spacing w:after="0" w:line="240" w:lineRule="auto"/>
              <w:ind w:right="-57"/>
              <w:rPr>
                <w:rFonts w:ascii="Arial Narrow" w:hAnsi="Arial Narrow"/>
                <w:sz w:val="20"/>
              </w:rPr>
            </w:pPr>
            <w:r w:rsidRPr="00F52D5A">
              <w:rPr>
                <w:rFonts w:ascii="Arial Narrow" w:hAnsi="Arial Narrow"/>
                <w:b/>
                <w:sz w:val="20"/>
              </w:rPr>
              <w:t>N</w:t>
            </w:r>
            <w:r w:rsidR="00846BA5">
              <w:rPr>
                <w:rFonts w:ascii="Arial Narrow" w:hAnsi="Arial Narrow"/>
                <w:b/>
                <w:sz w:val="20"/>
              </w:rPr>
              <w:t>=</w:t>
            </w:r>
            <w:r w:rsidRPr="00F52D5A">
              <w:rPr>
                <w:rFonts w:ascii="Arial Narrow" w:hAnsi="Arial Narrow"/>
                <w:b/>
                <w:sz w:val="20"/>
              </w:rPr>
              <w:t>38</w:t>
            </w:r>
            <w:r w:rsidRPr="00F52D5A">
              <w:rPr>
                <w:rFonts w:ascii="Arial Narrow" w:hAnsi="Arial Narrow"/>
                <w:sz w:val="20"/>
              </w:rPr>
              <w:t xml:space="preserve"> patients with breast cancer, HL</w:t>
            </w:r>
            <w:r w:rsidR="003A55CD">
              <w:rPr>
                <w:rFonts w:ascii="Arial Narrow" w:hAnsi="Arial Narrow"/>
                <w:sz w:val="20"/>
              </w:rPr>
              <w:t>, NHL, or other types of cancer</w:t>
            </w:r>
          </w:p>
        </w:tc>
        <w:tc>
          <w:tcPr>
            <w:tcW w:w="2410" w:type="dxa"/>
          </w:tcPr>
          <w:p w14:paraId="7582A499"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(Pearson r)</w:t>
            </w:r>
          </w:p>
          <w:p w14:paraId="2FF1683C" w14:textId="69465133" w:rsidR="00A813F1" w:rsidRPr="00F52D5A" w:rsidRDefault="003A55CD" w:rsidP="00762873">
            <w:pPr>
              <w:spacing w:after="0" w:line="240" w:lineRule="auto"/>
              <w:ind w:right="-57"/>
              <w:rPr>
                <w:rFonts w:ascii="Arial Narrow" w:hAnsi="Arial Narrow"/>
                <w:sz w:val="20"/>
              </w:rPr>
            </w:pPr>
            <w:r>
              <w:rPr>
                <w:rFonts w:ascii="Arial Narrow" w:hAnsi="Arial Narrow"/>
                <w:sz w:val="20"/>
              </w:rPr>
              <w:t>No. of oocytes retrieved:</w:t>
            </w:r>
          </w:p>
          <w:p w14:paraId="5B3899F1" w14:textId="7BDCA5C3" w:rsidR="00A813F1" w:rsidRPr="00F52D5A" w:rsidRDefault="003A55CD" w:rsidP="00762873">
            <w:pPr>
              <w:spacing w:after="0" w:line="240" w:lineRule="auto"/>
              <w:ind w:right="-57"/>
              <w:rPr>
                <w:rFonts w:ascii="Arial Narrow" w:hAnsi="Arial Narrow"/>
                <w:sz w:val="20"/>
              </w:rPr>
            </w:pPr>
            <w:r>
              <w:rPr>
                <w:rFonts w:ascii="Arial Narrow" w:hAnsi="Arial Narrow"/>
                <w:sz w:val="20"/>
              </w:rPr>
              <w:t>No. of oocytes vitrified:</w:t>
            </w:r>
          </w:p>
        </w:tc>
        <w:tc>
          <w:tcPr>
            <w:tcW w:w="992" w:type="dxa"/>
          </w:tcPr>
          <w:p w14:paraId="25768BB8" w14:textId="77777777" w:rsidR="00A813F1" w:rsidRPr="00F52D5A" w:rsidRDefault="00A813F1" w:rsidP="00762873">
            <w:pPr>
              <w:spacing w:after="0" w:line="240" w:lineRule="auto"/>
              <w:ind w:right="-57"/>
              <w:rPr>
                <w:rFonts w:ascii="Arial Narrow" w:hAnsi="Arial Narrow"/>
                <w:sz w:val="20"/>
              </w:rPr>
            </w:pPr>
          </w:p>
          <w:p w14:paraId="4FDACB2A"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0.46</w:t>
            </w:r>
          </w:p>
          <w:p w14:paraId="17B0E260"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 xml:space="preserve">0.39 </w:t>
            </w:r>
          </w:p>
        </w:tc>
        <w:tc>
          <w:tcPr>
            <w:tcW w:w="754" w:type="dxa"/>
          </w:tcPr>
          <w:p w14:paraId="77E947BA" w14:textId="77777777" w:rsidR="00A813F1" w:rsidRPr="00F52D5A" w:rsidRDefault="00A813F1" w:rsidP="00762873">
            <w:pPr>
              <w:spacing w:after="0" w:line="240" w:lineRule="auto"/>
              <w:ind w:right="-57"/>
              <w:rPr>
                <w:rFonts w:ascii="Arial Narrow" w:hAnsi="Arial Narrow"/>
                <w:sz w:val="20"/>
              </w:rPr>
            </w:pPr>
          </w:p>
          <w:p w14:paraId="4B719604"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0.16</w:t>
            </w:r>
          </w:p>
          <w:p w14:paraId="5F950393"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0.26</w:t>
            </w:r>
          </w:p>
        </w:tc>
        <w:tc>
          <w:tcPr>
            <w:tcW w:w="806" w:type="dxa"/>
          </w:tcPr>
          <w:p w14:paraId="72B6FC5C"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w:t>
            </w:r>
          </w:p>
        </w:tc>
        <w:tc>
          <w:tcPr>
            <w:tcW w:w="992" w:type="dxa"/>
          </w:tcPr>
          <w:p w14:paraId="70FC4D14"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w:t>
            </w:r>
          </w:p>
        </w:tc>
        <w:tc>
          <w:tcPr>
            <w:tcW w:w="850" w:type="dxa"/>
          </w:tcPr>
          <w:p w14:paraId="1A25FB9E" w14:textId="77777777" w:rsidR="00A813F1" w:rsidRPr="00F52D5A" w:rsidRDefault="00A813F1" w:rsidP="00762873">
            <w:pPr>
              <w:spacing w:after="0" w:line="240" w:lineRule="auto"/>
              <w:ind w:right="-57"/>
              <w:rPr>
                <w:rFonts w:ascii="Arial Narrow" w:hAnsi="Arial Narrow"/>
                <w:sz w:val="20"/>
              </w:rPr>
            </w:pPr>
          </w:p>
          <w:p w14:paraId="3E329FE9"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0.35</w:t>
            </w:r>
          </w:p>
          <w:p w14:paraId="372D7A5F"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0.40</w:t>
            </w:r>
          </w:p>
        </w:tc>
      </w:tr>
      <w:tr w:rsidR="00A813F1" w:rsidRPr="00F52D5A" w14:paraId="7A03A815" w14:textId="77777777" w:rsidTr="0025301A">
        <w:trPr>
          <w:tblHeader/>
        </w:trPr>
        <w:tc>
          <w:tcPr>
            <w:tcW w:w="988" w:type="dxa"/>
          </w:tcPr>
          <w:p w14:paraId="64FC165D"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Takae et al. (2015)</w:t>
            </w:r>
          </w:p>
        </w:tc>
        <w:tc>
          <w:tcPr>
            <w:tcW w:w="1275" w:type="dxa"/>
          </w:tcPr>
          <w:p w14:paraId="35F2ED8A" w14:textId="11E8E2A4" w:rsidR="00A813F1" w:rsidRPr="00F52D5A" w:rsidRDefault="00A813F1" w:rsidP="00762873">
            <w:pPr>
              <w:spacing w:after="0" w:line="240" w:lineRule="auto"/>
              <w:ind w:right="-57"/>
              <w:rPr>
                <w:rFonts w:ascii="Arial Narrow" w:hAnsi="Arial Narrow"/>
                <w:sz w:val="20"/>
              </w:rPr>
            </w:pPr>
            <w:r w:rsidRPr="00F52D5A">
              <w:rPr>
                <w:rFonts w:ascii="Arial Narrow" w:hAnsi="Arial Narrow"/>
                <w:b/>
                <w:sz w:val="20"/>
              </w:rPr>
              <w:t>N</w:t>
            </w:r>
            <w:r w:rsidR="00846BA5">
              <w:rPr>
                <w:rFonts w:ascii="Arial Narrow" w:hAnsi="Arial Narrow"/>
                <w:b/>
                <w:sz w:val="20"/>
              </w:rPr>
              <w:t>=</w:t>
            </w:r>
            <w:r w:rsidRPr="00F52D5A">
              <w:rPr>
                <w:rFonts w:ascii="Arial Narrow" w:hAnsi="Arial Narrow"/>
                <w:b/>
                <w:sz w:val="20"/>
              </w:rPr>
              <w:t>27</w:t>
            </w:r>
            <w:r w:rsidRPr="00F52D5A">
              <w:rPr>
                <w:rFonts w:ascii="Arial Narrow" w:hAnsi="Arial Narrow"/>
                <w:sz w:val="20"/>
              </w:rPr>
              <w:t xml:space="preserve"> breast cancer patients</w:t>
            </w:r>
          </w:p>
        </w:tc>
        <w:tc>
          <w:tcPr>
            <w:tcW w:w="2410" w:type="dxa"/>
          </w:tcPr>
          <w:p w14:paraId="438F955C"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(Spearman correlation coefficient by log rank test)</w:t>
            </w:r>
          </w:p>
          <w:p w14:paraId="7661B62C"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No. of oocytes retrieved</w:t>
            </w:r>
          </w:p>
        </w:tc>
        <w:tc>
          <w:tcPr>
            <w:tcW w:w="992" w:type="dxa"/>
          </w:tcPr>
          <w:p w14:paraId="1D96A854" w14:textId="77777777" w:rsidR="00A813F1" w:rsidRPr="00F52D5A" w:rsidRDefault="00A813F1" w:rsidP="00762873">
            <w:pPr>
              <w:spacing w:after="0" w:line="240" w:lineRule="auto"/>
              <w:ind w:right="-57"/>
              <w:rPr>
                <w:rFonts w:ascii="Arial Narrow" w:hAnsi="Arial Narrow"/>
                <w:sz w:val="20"/>
              </w:rPr>
            </w:pPr>
          </w:p>
          <w:p w14:paraId="37C4592F" w14:textId="77777777" w:rsidR="00A813F1" w:rsidRPr="00F52D5A" w:rsidRDefault="00A813F1" w:rsidP="00762873">
            <w:pPr>
              <w:spacing w:after="0" w:line="240" w:lineRule="auto"/>
              <w:ind w:right="-57"/>
              <w:rPr>
                <w:rFonts w:ascii="Arial Narrow" w:hAnsi="Arial Narrow"/>
                <w:sz w:val="20"/>
              </w:rPr>
            </w:pPr>
          </w:p>
          <w:p w14:paraId="029E4289"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0.60</w:t>
            </w:r>
          </w:p>
        </w:tc>
        <w:tc>
          <w:tcPr>
            <w:tcW w:w="754" w:type="dxa"/>
          </w:tcPr>
          <w:p w14:paraId="0C6B28D0"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w:t>
            </w:r>
          </w:p>
        </w:tc>
        <w:tc>
          <w:tcPr>
            <w:tcW w:w="806" w:type="dxa"/>
          </w:tcPr>
          <w:p w14:paraId="06095908"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w:t>
            </w:r>
          </w:p>
        </w:tc>
        <w:tc>
          <w:tcPr>
            <w:tcW w:w="992" w:type="dxa"/>
          </w:tcPr>
          <w:p w14:paraId="2FA94B7C" w14:textId="77777777" w:rsidR="00A813F1" w:rsidRPr="00F52D5A" w:rsidRDefault="00A813F1" w:rsidP="00762873">
            <w:pPr>
              <w:spacing w:after="0" w:line="240" w:lineRule="auto"/>
              <w:ind w:right="-57"/>
              <w:rPr>
                <w:rFonts w:ascii="Arial Narrow" w:hAnsi="Arial Narrow"/>
                <w:sz w:val="20"/>
              </w:rPr>
            </w:pPr>
            <w:r w:rsidRPr="00F52D5A">
              <w:rPr>
                <w:rFonts w:ascii="Arial Narrow" w:hAnsi="Arial Narrow"/>
                <w:sz w:val="20"/>
              </w:rPr>
              <w:t>-</w:t>
            </w:r>
          </w:p>
        </w:tc>
        <w:tc>
          <w:tcPr>
            <w:tcW w:w="850" w:type="dxa"/>
          </w:tcPr>
          <w:p w14:paraId="0CC1987D" w14:textId="351FB8B3" w:rsidR="00A813F1" w:rsidRPr="00F52D5A" w:rsidRDefault="000B2896" w:rsidP="00762873">
            <w:pPr>
              <w:spacing w:after="0" w:line="240" w:lineRule="auto"/>
              <w:ind w:right="-57"/>
              <w:rPr>
                <w:rFonts w:ascii="Arial Narrow" w:hAnsi="Arial Narrow"/>
                <w:sz w:val="20"/>
              </w:rPr>
            </w:pPr>
            <w:r>
              <w:rPr>
                <w:rFonts w:ascii="Arial Narrow" w:hAnsi="Arial Narrow"/>
                <w:sz w:val="20"/>
              </w:rPr>
              <w:t>-</w:t>
            </w:r>
          </w:p>
        </w:tc>
      </w:tr>
    </w:tbl>
    <w:p w14:paraId="16C3FF2A" w14:textId="20E47E80" w:rsidR="007518CF" w:rsidRDefault="009C25E2" w:rsidP="006D275B">
      <w:pPr>
        <w:pStyle w:val="Tablenotes0"/>
        <w:spacing w:after="0"/>
        <w:rPr>
          <w:rFonts w:eastAsia="Calibri"/>
        </w:rPr>
      </w:pPr>
      <w:r>
        <w:t>AFC = antral follicle count;</w:t>
      </w:r>
      <w:r w:rsidR="003767E2" w:rsidRPr="00F92627">
        <w:t xml:space="preserve"> AMH = </w:t>
      </w:r>
      <w:r w:rsidR="00C22392">
        <w:t>anti-Müllerian hormone</w:t>
      </w:r>
      <w:r>
        <w:t>;</w:t>
      </w:r>
      <w:r w:rsidR="003767E2" w:rsidRPr="00C52B6E">
        <w:t xml:space="preserve"> E2 = estradiol</w:t>
      </w:r>
      <w:r>
        <w:t>;</w:t>
      </w:r>
      <w:r w:rsidR="003767E2" w:rsidRPr="00C52B6E">
        <w:t xml:space="preserve"> FSH = follicle</w:t>
      </w:r>
      <w:r w:rsidR="00DE6DD5">
        <w:t>-</w:t>
      </w:r>
      <w:r w:rsidR="003767E2" w:rsidRPr="00C52B6E">
        <w:t>stimulating hormone</w:t>
      </w:r>
      <w:r>
        <w:t>;</w:t>
      </w:r>
      <w:r w:rsidR="00F92627" w:rsidRPr="0077727B">
        <w:t xml:space="preserve"> </w:t>
      </w:r>
      <w:r w:rsidR="00A813F1" w:rsidRPr="00A91EEC">
        <w:rPr>
          <w:rFonts w:eastAsia="Calibri"/>
        </w:rPr>
        <w:t>MII = mature, metaphase II oocyte</w:t>
      </w:r>
    </w:p>
    <w:p w14:paraId="2BABCA82" w14:textId="71098F1B" w:rsidR="00A813F1" w:rsidRPr="00A91EEC" w:rsidRDefault="00A813F1" w:rsidP="006D275B">
      <w:pPr>
        <w:pStyle w:val="Tablenotes0"/>
        <w:spacing w:after="0"/>
        <w:rPr>
          <w:rFonts w:eastAsia="Calibri"/>
        </w:rPr>
      </w:pPr>
      <w:r w:rsidRPr="00A91EEC">
        <w:rPr>
          <w:rFonts w:eastAsia="Calibri"/>
        </w:rPr>
        <w:t>*p&lt;0.005 (2-tailed)</w:t>
      </w:r>
    </w:p>
    <w:p w14:paraId="78849917" w14:textId="77777777" w:rsidR="00A813F1" w:rsidRPr="00A91EEC" w:rsidRDefault="00A813F1" w:rsidP="00A91EEC">
      <w:pPr>
        <w:pStyle w:val="Tablenotes0"/>
        <w:rPr>
          <w:rFonts w:eastAsia="Calibri"/>
        </w:rPr>
      </w:pPr>
      <w:r w:rsidRPr="00A91EEC">
        <w:rPr>
          <w:rFonts w:eastAsia="Calibri"/>
        </w:rPr>
        <w:t>**p&lt;0.001 (2-tailed)</w:t>
      </w:r>
    </w:p>
    <w:p w14:paraId="4E435B1D" w14:textId="538F9569" w:rsidR="0055629E" w:rsidRDefault="0055629E" w:rsidP="0055629E">
      <w:pPr>
        <w:pStyle w:val="Heading3"/>
      </w:pPr>
      <w:bookmarkStart w:id="332" w:name="_Ref497814583"/>
      <w:bookmarkStart w:id="333" w:name="_Ref497821399"/>
      <w:bookmarkStart w:id="334" w:name="_Toc502832956"/>
      <w:r>
        <w:t>Is it accurate?</w:t>
      </w:r>
      <w:bookmarkEnd w:id="332"/>
      <w:r w:rsidR="001E7102">
        <w:t xml:space="preserve"> -</w:t>
      </w:r>
      <w:r w:rsidR="000F4B7F">
        <w:t xml:space="preserve"> Usefulness of AMH at varying risks of ovarian failure</w:t>
      </w:r>
      <w:bookmarkEnd w:id="333"/>
      <w:r w:rsidR="001D4722">
        <w:t xml:space="preserve"> (c</w:t>
      </w:r>
      <w:r w:rsidR="00837A27">
        <w:t>linical validity)</w:t>
      </w:r>
      <w:bookmarkEnd w:id="334"/>
    </w:p>
    <w:p w14:paraId="090B52B0" w14:textId="31AD30CE" w:rsidR="0055629E" w:rsidRDefault="00DD53E7" w:rsidP="0055629E">
      <w:pPr>
        <w:pStyle w:val="Summaryboxheading"/>
        <w:pBdr>
          <w:top w:val="single" w:sz="4" w:space="1" w:color="auto"/>
          <w:left w:val="single" w:sz="4" w:space="4" w:color="auto"/>
          <w:bottom w:val="single" w:sz="4" w:space="1" w:color="auto"/>
          <w:right w:val="single" w:sz="4" w:space="4" w:color="auto"/>
        </w:pBdr>
        <w:jc w:val="both"/>
      </w:pPr>
      <w:r>
        <w:t>Summary</w:t>
      </w:r>
    </w:p>
    <w:p w14:paraId="17C9B0E2" w14:textId="1E6AF3D9" w:rsidR="007518CF" w:rsidRDefault="008C724D" w:rsidP="00837A27">
      <w:pPr>
        <w:pStyle w:val="Summaryboxheading"/>
        <w:pBdr>
          <w:top w:val="single" w:sz="4" w:space="1" w:color="auto"/>
          <w:left w:val="single" w:sz="4" w:space="4" w:color="auto"/>
          <w:bottom w:val="single" w:sz="4" w:space="1" w:color="auto"/>
          <w:right w:val="single" w:sz="4" w:space="4" w:color="auto"/>
        </w:pBdr>
        <w:rPr>
          <w:b w:val="0"/>
        </w:rPr>
      </w:pPr>
      <w:r>
        <w:rPr>
          <w:b w:val="0"/>
        </w:rPr>
        <w:t>T</w:t>
      </w:r>
      <w:r w:rsidR="00837A27" w:rsidRPr="00837A27">
        <w:rPr>
          <w:b w:val="0"/>
        </w:rPr>
        <w:t>he accuracy of AMH testing prior to gonadotoxic treatment in predicting the resumption of menses after treatment</w:t>
      </w:r>
      <w:r>
        <w:rPr>
          <w:b w:val="0"/>
        </w:rPr>
        <w:t xml:space="preserve"> was reported in three studies. First generation AMH tests </w:t>
      </w:r>
      <w:r w:rsidR="00837A27" w:rsidRPr="00837A27">
        <w:rPr>
          <w:b w:val="0"/>
        </w:rPr>
        <w:t xml:space="preserve">showed </w:t>
      </w:r>
      <w:r w:rsidR="00784C7C">
        <w:rPr>
          <w:b w:val="0"/>
        </w:rPr>
        <w:t>limited</w:t>
      </w:r>
      <w:r w:rsidR="00837A27" w:rsidRPr="00837A27">
        <w:rPr>
          <w:b w:val="0"/>
        </w:rPr>
        <w:t xml:space="preserve"> utility for AMH measured both prior to and after treatment </w:t>
      </w:r>
      <w:r>
        <w:rPr>
          <w:b w:val="0"/>
        </w:rPr>
        <w:t>for predicting</w:t>
      </w:r>
      <w:r w:rsidR="00837A27" w:rsidRPr="00837A27">
        <w:rPr>
          <w:b w:val="0"/>
        </w:rPr>
        <w:t xml:space="preserve"> </w:t>
      </w:r>
      <w:r w:rsidR="003A55CD">
        <w:rPr>
          <w:b w:val="0"/>
        </w:rPr>
        <w:t xml:space="preserve">the </w:t>
      </w:r>
      <w:r w:rsidR="00837A27" w:rsidRPr="00837A27">
        <w:rPr>
          <w:b w:val="0"/>
        </w:rPr>
        <w:t xml:space="preserve">resumption of </w:t>
      </w:r>
      <w:r w:rsidR="003A55CD">
        <w:rPr>
          <w:b w:val="0"/>
        </w:rPr>
        <w:t xml:space="preserve">menses. A positive test result, </w:t>
      </w:r>
      <w:r>
        <w:rPr>
          <w:b w:val="0"/>
        </w:rPr>
        <w:t xml:space="preserve">i.e. </w:t>
      </w:r>
      <w:r w:rsidR="003A55CD">
        <w:rPr>
          <w:b w:val="0"/>
        </w:rPr>
        <w:t>above a certain threshold,</w:t>
      </w:r>
      <w:r w:rsidR="00837A27" w:rsidRPr="00837A27">
        <w:rPr>
          <w:b w:val="0"/>
        </w:rPr>
        <w:t xml:space="preserve"> only offers useful inf</w:t>
      </w:r>
      <w:r>
        <w:rPr>
          <w:b w:val="0"/>
        </w:rPr>
        <w:t>ormation for</w:t>
      </w:r>
      <w:r w:rsidR="00837A27" w:rsidRPr="00837A27">
        <w:rPr>
          <w:b w:val="0"/>
        </w:rPr>
        <w:t xml:space="preserve"> women </w:t>
      </w:r>
      <w:r>
        <w:rPr>
          <w:b w:val="0"/>
        </w:rPr>
        <w:t>undergoing intermediate to high</w:t>
      </w:r>
      <w:r w:rsidR="002E5D5E">
        <w:rPr>
          <w:b w:val="0"/>
        </w:rPr>
        <w:t>-</w:t>
      </w:r>
      <w:r>
        <w:rPr>
          <w:b w:val="0"/>
        </w:rPr>
        <w:t>risk treatment. A</w:t>
      </w:r>
      <w:r w:rsidR="00837A27" w:rsidRPr="00837A27">
        <w:rPr>
          <w:b w:val="0"/>
        </w:rPr>
        <w:t xml:space="preserve">t least 76% of </w:t>
      </w:r>
      <w:r>
        <w:rPr>
          <w:b w:val="0"/>
        </w:rPr>
        <w:t>women with a ≥50% risk of ovarian failure received</w:t>
      </w:r>
      <w:r w:rsidR="00837A27" w:rsidRPr="00837A27">
        <w:rPr>
          <w:b w:val="0"/>
        </w:rPr>
        <w:t xml:space="preserve"> a positive pre-treatment</w:t>
      </w:r>
      <w:r>
        <w:rPr>
          <w:b w:val="0"/>
        </w:rPr>
        <w:t xml:space="preserve"> AMH</w:t>
      </w:r>
      <w:r w:rsidR="003A55CD">
        <w:rPr>
          <w:b w:val="0"/>
        </w:rPr>
        <w:t xml:space="preserve"> result and 79 to </w:t>
      </w:r>
      <w:r w:rsidR="00837A27" w:rsidRPr="00837A27">
        <w:rPr>
          <w:b w:val="0"/>
        </w:rPr>
        <w:t>94% of women</w:t>
      </w:r>
      <w:r>
        <w:rPr>
          <w:b w:val="0"/>
        </w:rPr>
        <w:t xml:space="preserve"> undergoing high</w:t>
      </w:r>
      <w:r w:rsidR="002E5D5E">
        <w:rPr>
          <w:b w:val="0"/>
        </w:rPr>
        <w:t>-</w:t>
      </w:r>
      <w:r>
        <w:rPr>
          <w:b w:val="0"/>
        </w:rPr>
        <w:t>risk treatment</w:t>
      </w:r>
      <w:r w:rsidR="00837A27" w:rsidRPr="00837A27">
        <w:rPr>
          <w:b w:val="0"/>
        </w:rPr>
        <w:t xml:space="preserve"> with </w:t>
      </w:r>
      <w:r>
        <w:rPr>
          <w:b w:val="0"/>
        </w:rPr>
        <w:t xml:space="preserve">a </w:t>
      </w:r>
      <w:r w:rsidR="00837A27" w:rsidRPr="00837A27">
        <w:rPr>
          <w:b w:val="0"/>
        </w:rPr>
        <w:t xml:space="preserve">positive post-treatment </w:t>
      </w:r>
      <w:r>
        <w:rPr>
          <w:b w:val="0"/>
        </w:rPr>
        <w:t xml:space="preserve">AMH </w:t>
      </w:r>
      <w:r w:rsidR="00837A27" w:rsidRPr="00837A27">
        <w:rPr>
          <w:b w:val="0"/>
        </w:rPr>
        <w:t xml:space="preserve">test result </w:t>
      </w:r>
      <w:r w:rsidR="003A55CD">
        <w:rPr>
          <w:b w:val="0"/>
        </w:rPr>
        <w:t>resumed</w:t>
      </w:r>
      <w:r w:rsidR="00837A27" w:rsidRPr="00837A27">
        <w:rPr>
          <w:b w:val="0"/>
        </w:rPr>
        <w:t xml:space="preserve"> menses. On the other hand, a negative </w:t>
      </w:r>
      <w:r>
        <w:rPr>
          <w:b w:val="0"/>
        </w:rPr>
        <w:t>AMH test result only offered</w:t>
      </w:r>
      <w:r w:rsidR="00837A27" w:rsidRPr="00837A27">
        <w:rPr>
          <w:b w:val="0"/>
        </w:rPr>
        <w:t xml:space="preserve"> useful info</w:t>
      </w:r>
      <w:r>
        <w:rPr>
          <w:b w:val="0"/>
        </w:rPr>
        <w:t>rmation to women having</w:t>
      </w:r>
      <w:r w:rsidR="00837A27" w:rsidRPr="00837A27">
        <w:rPr>
          <w:b w:val="0"/>
        </w:rPr>
        <w:t xml:space="preserve"> treatment</w:t>
      </w:r>
      <w:r>
        <w:rPr>
          <w:b w:val="0"/>
        </w:rPr>
        <w:t xml:space="preserve"> with low risk of amenorrhea</w:t>
      </w:r>
      <w:r w:rsidR="003A55CD">
        <w:rPr>
          <w:b w:val="0"/>
        </w:rPr>
        <w:t>.</w:t>
      </w:r>
      <w:r w:rsidR="00837A27" w:rsidRPr="00837A27">
        <w:rPr>
          <w:b w:val="0"/>
        </w:rPr>
        <w:t xml:space="preserve"> </w:t>
      </w:r>
      <w:r w:rsidR="003A55CD">
        <w:rPr>
          <w:b w:val="0"/>
        </w:rPr>
        <w:t xml:space="preserve">Here, the NPV indicated that 88 to 95% and 71 to </w:t>
      </w:r>
      <w:r w:rsidR="00837A27" w:rsidRPr="00837A27">
        <w:rPr>
          <w:b w:val="0"/>
        </w:rPr>
        <w:t>88% of women with a negative pre- and post-treatment</w:t>
      </w:r>
      <w:r>
        <w:rPr>
          <w:b w:val="0"/>
        </w:rPr>
        <w:t xml:space="preserve"> AMH</w:t>
      </w:r>
      <w:r w:rsidR="00837A27" w:rsidRPr="00837A27">
        <w:rPr>
          <w:b w:val="0"/>
        </w:rPr>
        <w:t xml:space="preserve"> test result would not have resumption of menses, respectively. </w:t>
      </w:r>
      <w:r w:rsidR="003A55CD">
        <w:rPr>
          <w:b w:val="0"/>
        </w:rPr>
        <w:t>Among</w:t>
      </w:r>
      <w:r w:rsidR="00837A27" w:rsidRPr="00837A27">
        <w:rPr>
          <w:b w:val="0"/>
        </w:rPr>
        <w:t xml:space="preserve"> women having treatment with a h</w:t>
      </w:r>
      <w:r w:rsidR="003A55CD">
        <w:rPr>
          <w:b w:val="0"/>
        </w:rPr>
        <w:t xml:space="preserve">igh risk of ovarian failure, 44 to 68% and 21 to </w:t>
      </w:r>
      <w:r w:rsidR="00837A27" w:rsidRPr="00837A27">
        <w:rPr>
          <w:b w:val="0"/>
        </w:rPr>
        <w:t>45% with a negative pre- or post-treatment test result would have amenorrhea at follow-up</w:t>
      </w:r>
      <w:r>
        <w:rPr>
          <w:b w:val="0"/>
        </w:rPr>
        <w:t>, respectively. This is equivalent to chance</w:t>
      </w:r>
      <w:r w:rsidR="003B0D3E">
        <w:rPr>
          <w:b w:val="0"/>
        </w:rPr>
        <w:t xml:space="preserve"> and not clinically useful.</w:t>
      </w:r>
    </w:p>
    <w:p w14:paraId="7AF65C95" w14:textId="5D111F72" w:rsidR="00752A45" w:rsidRPr="00183E4D" w:rsidRDefault="00961E14" w:rsidP="006D6131">
      <w:pPr>
        <w:pStyle w:val="Summaryboxheading"/>
        <w:pBdr>
          <w:top w:val="single" w:sz="4" w:space="1" w:color="auto"/>
          <w:left w:val="single" w:sz="4" w:space="4" w:color="auto"/>
          <w:bottom w:val="single" w:sz="4" w:space="1" w:color="auto"/>
          <w:right w:val="single" w:sz="4" w:space="4" w:color="auto"/>
        </w:pBdr>
      </w:pPr>
      <w:r>
        <w:rPr>
          <w:b w:val="0"/>
        </w:rPr>
        <w:t>Second generation AMH tests</w:t>
      </w:r>
      <w:r w:rsidR="00837A27" w:rsidRPr="00837A27">
        <w:rPr>
          <w:b w:val="0"/>
        </w:rPr>
        <w:t xml:space="preserve"> performed much better. In women with a low risk of ovarian failure, </w:t>
      </w:r>
      <w:r>
        <w:rPr>
          <w:b w:val="0"/>
        </w:rPr>
        <w:t>up to three quarters of women</w:t>
      </w:r>
      <w:r w:rsidR="00837A27" w:rsidRPr="00837A27">
        <w:rPr>
          <w:b w:val="0"/>
        </w:rPr>
        <w:t xml:space="preserve"> with a detectable baseline AMH Gen II ELISA test result would have resumption of menses, and </w:t>
      </w:r>
      <w:r>
        <w:rPr>
          <w:b w:val="0"/>
        </w:rPr>
        <w:t xml:space="preserve">around 95% </w:t>
      </w:r>
      <w:r w:rsidR="00837A27" w:rsidRPr="00837A27">
        <w:rPr>
          <w:b w:val="0"/>
        </w:rPr>
        <w:t xml:space="preserve">of women </w:t>
      </w:r>
      <w:r>
        <w:rPr>
          <w:b w:val="0"/>
        </w:rPr>
        <w:t>with a detectable AMH level undergoing</w:t>
      </w:r>
      <w:r w:rsidR="00837A27" w:rsidRPr="00837A27">
        <w:rPr>
          <w:b w:val="0"/>
        </w:rPr>
        <w:t xml:space="preserve"> </w:t>
      </w:r>
      <w:r>
        <w:rPr>
          <w:b w:val="0"/>
        </w:rPr>
        <w:t xml:space="preserve">a treatment </w:t>
      </w:r>
      <w:r w:rsidR="008308DE">
        <w:rPr>
          <w:b w:val="0"/>
        </w:rPr>
        <w:t>that poses</w:t>
      </w:r>
      <w:r w:rsidR="008308DE" w:rsidRPr="00837A27">
        <w:rPr>
          <w:b w:val="0"/>
        </w:rPr>
        <w:t xml:space="preserve"> </w:t>
      </w:r>
      <w:r w:rsidR="00837A27" w:rsidRPr="00837A27">
        <w:rPr>
          <w:b w:val="0"/>
        </w:rPr>
        <w:t>high risk of ovarian failure would have resumption of m</w:t>
      </w:r>
      <w:r>
        <w:rPr>
          <w:b w:val="0"/>
        </w:rPr>
        <w:t>enses after treatment. The NPV showed</w:t>
      </w:r>
      <w:r w:rsidR="00837A27" w:rsidRPr="00837A27">
        <w:rPr>
          <w:b w:val="0"/>
        </w:rPr>
        <w:t xml:space="preserve"> that 81</w:t>
      </w:r>
      <w:r w:rsidR="008308DE">
        <w:rPr>
          <w:b w:val="0"/>
        </w:rPr>
        <w:t xml:space="preserve"> to </w:t>
      </w:r>
      <w:r w:rsidR="00837A27" w:rsidRPr="00837A27">
        <w:rPr>
          <w:b w:val="0"/>
        </w:rPr>
        <w:t>99% of women</w:t>
      </w:r>
      <w:r>
        <w:rPr>
          <w:b w:val="0"/>
        </w:rPr>
        <w:t xml:space="preserve"> with an undetectable AMH level and</w:t>
      </w:r>
      <w:r w:rsidR="00837A27" w:rsidRPr="00837A27">
        <w:rPr>
          <w:b w:val="0"/>
        </w:rPr>
        <w:t xml:space="preserve"> a low risk of ovarian failure would </w:t>
      </w:r>
      <w:r>
        <w:rPr>
          <w:b w:val="0"/>
        </w:rPr>
        <w:t>continue to have amenorrhea</w:t>
      </w:r>
      <w:r w:rsidR="00837A27" w:rsidRPr="00837A27">
        <w:rPr>
          <w:b w:val="0"/>
        </w:rPr>
        <w:t xml:space="preserve">. The </w:t>
      </w:r>
      <w:r w:rsidR="008308DE">
        <w:rPr>
          <w:b w:val="0"/>
        </w:rPr>
        <w:t>pico</w:t>
      </w:r>
      <w:r w:rsidR="00837A27" w:rsidRPr="00837A27">
        <w:rPr>
          <w:b w:val="0"/>
        </w:rPr>
        <w:t>-AMH ELISA showed that around 90% of women</w:t>
      </w:r>
      <w:r>
        <w:rPr>
          <w:b w:val="0"/>
        </w:rPr>
        <w:t xml:space="preserve"> undergoing high</w:t>
      </w:r>
      <w:r w:rsidR="002E5D5E">
        <w:rPr>
          <w:b w:val="0"/>
        </w:rPr>
        <w:t>-</w:t>
      </w:r>
      <w:r>
        <w:rPr>
          <w:b w:val="0"/>
        </w:rPr>
        <w:t>risk treatment</w:t>
      </w:r>
      <w:r w:rsidR="00837A27" w:rsidRPr="00837A27">
        <w:rPr>
          <w:b w:val="0"/>
        </w:rPr>
        <w:t xml:space="preserve"> who had a positive post-treatment</w:t>
      </w:r>
      <w:r>
        <w:rPr>
          <w:b w:val="0"/>
        </w:rPr>
        <w:t xml:space="preserve"> AMH</w:t>
      </w:r>
      <w:r w:rsidR="00837A27" w:rsidRPr="00837A27">
        <w:rPr>
          <w:b w:val="0"/>
        </w:rPr>
        <w:t xml:space="preserve"> test result would have res</w:t>
      </w:r>
      <w:r w:rsidR="008308DE">
        <w:rPr>
          <w:b w:val="0"/>
        </w:rPr>
        <w:t xml:space="preserve">umption of menses. Conversely, only 47 to </w:t>
      </w:r>
      <w:r w:rsidR="00837A27" w:rsidRPr="00837A27">
        <w:rPr>
          <w:b w:val="0"/>
        </w:rPr>
        <w:t>64%</w:t>
      </w:r>
      <w:r>
        <w:rPr>
          <w:b w:val="0"/>
        </w:rPr>
        <w:t xml:space="preserve"> </w:t>
      </w:r>
      <w:r w:rsidR="008308DE">
        <w:rPr>
          <w:b w:val="0"/>
        </w:rPr>
        <w:t>of</w:t>
      </w:r>
      <w:r>
        <w:rPr>
          <w:b w:val="0"/>
        </w:rPr>
        <w:t xml:space="preserve"> women with</w:t>
      </w:r>
      <w:r w:rsidR="00837A27" w:rsidRPr="00837A27">
        <w:rPr>
          <w:b w:val="0"/>
        </w:rPr>
        <w:t xml:space="preserve"> a positive </w:t>
      </w:r>
      <w:r w:rsidR="008308DE">
        <w:rPr>
          <w:b w:val="0"/>
        </w:rPr>
        <w:t>pico</w:t>
      </w:r>
      <w:r w:rsidR="008308DE" w:rsidRPr="00837A27">
        <w:rPr>
          <w:b w:val="0"/>
        </w:rPr>
        <w:t>-AMH ELISA</w:t>
      </w:r>
      <w:r w:rsidR="008308DE">
        <w:rPr>
          <w:b w:val="0"/>
        </w:rPr>
        <w:t xml:space="preserve"> result and</w:t>
      </w:r>
      <w:r w:rsidR="00837A27" w:rsidRPr="00837A27">
        <w:rPr>
          <w:b w:val="0"/>
        </w:rPr>
        <w:t xml:space="preserve"> undergoing low</w:t>
      </w:r>
      <w:r w:rsidR="002E5D5E">
        <w:rPr>
          <w:b w:val="0"/>
        </w:rPr>
        <w:t>-</w:t>
      </w:r>
      <w:r w:rsidR="00837A27" w:rsidRPr="00837A27">
        <w:rPr>
          <w:b w:val="0"/>
        </w:rPr>
        <w:t>risk treatment</w:t>
      </w:r>
      <w:r w:rsidR="008308DE">
        <w:rPr>
          <w:b w:val="0"/>
        </w:rPr>
        <w:t xml:space="preserve"> would resume menses</w:t>
      </w:r>
      <w:r w:rsidR="00837A27" w:rsidRPr="00837A27">
        <w:rPr>
          <w:b w:val="0"/>
        </w:rPr>
        <w:t xml:space="preserve">. </w:t>
      </w:r>
      <w:r w:rsidR="00BE1B7A">
        <w:rPr>
          <w:b w:val="0"/>
        </w:rPr>
        <w:t>In</w:t>
      </w:r>
      <w:r w:rsidR="00837A27" w:rsidRPr="00837A27">
        <w:rPr>
          <w:b w:val="0"/>
        </w:rPr>
        <w:t xml:space="preserve"> the low</w:t>
      </w:r>
      <w:r w:rsidR="002E5D5E">
        <w:rPr>
          <w:b w:val="0"/>
        </w:rPr>
        <w:t>-</w:t>
      </w:r>
      <w:r w:rsidR="00837A27" w:rsidRPr="00837A27">
        <w:rPr>
          <w:b w:val="0"/>
        </w:rPr>
        <w:t>risk treatment group,</w:t>
      </w:r>
      <w:r w:rsidR="00BE1B7A">
        <w:rPr>
          <w:b w:val="0"/>
        </w:rPr>
        <w:t xml:space="preserve"> only a negative result was useful,</w:t>
      </w:r>
      <w:r w:rsidR="008308DE">
        <w:rPr>
          <w:b w:val="0"/>
        </w:rPr>
        <w:t xml:space="preserve"> with 87 to </w:t>
      </w:r>
      <w:r w:rsidR="00837A27" w:rsidRPr="00837A27">
        <w:rPr>
          <w:b w:val="0"/>
        </w:rPr>
        <w:t xml:space="preserve">97% of women </w:t>
      </w:r>
      <w:r w:rsidR="00BE1B7A">
        <w:rPr>
          <w:b w:val="0"/>
        </w:rPr>
        <w:t xml:space="preserve">having amenorrhea </w:t>
      </w:r>
      <w:r w:rsidR="00837A27" w:rsidRPr="00837A27">
        <w:rPr>
          <w:b w:val="0"/>
        </w:rPr>
        <w:t>with a negative AMH result</w:t>
      </w:r>
      <w:r w:rsidR="00BE1B7A">
        <w:rPr>
          <w:b w:val="0"/>
        </w:rPr>
        <w:t xml:space="preserve"> measured after treatment. In conclusion</w:t>
      </w:r>
      <w:r w:rsidR="00837A27" w:rsidRPr="00837A27">
        <w:rPr>
          <w:b w:val="0"/>
        </w:rPr>
        <w:t xml:space="preserve">, the positive </w:t>
      </w:r>
      <w:r w:rsidR="00BE1B7A">
        <w:rPr>
          <w:b w:val="0"/>
        </w:rPr>
        <w:t xml:space="preserve">AMH </w:t>
      </w:r>
      <w:r w:rsidR="00837A27" w:rsidRPr="00837A27">
        <w:rPr>
          <w:b w:val="0"/>
        </w:rPr>
        <w:t>test result was only clinically useful at higher prevalence rates of ovarian failure</w:t>
      </w:r>
      <w:r w:rsidR="008308DE">
        <w:rPr>
          <w:b w:val="0"/>
        </w:rPr>
        <w:t>, i.e. in scenarios of high</w:t>
      </w:r>
      <w:r w:rsidR="002E5D5E">
        <w:rPr>
          <w:b w:val="0"/>
        </w:rPr>
        <w:t>-</w:t>
      </w:r>
      <w:r w:rsidR="008308DE">
        <w:rPr>
          <w:b w:val="0"/>
        </w:rPr>
        <w:t>risk treatment</w:t>
      </w:r>
      <w:r w:rsidR="00837A27" w:rsidRPr="00837A27">
        <w:rPr>
          <w:b w:val="0"/>
        </w:rPr>
        <w:t>, whereas the negative test result was only useful in the group at low risk of ovarian failure</w:t>
      </w:r>
      <w:r w:rsidR="008308DE">
        <w:rPr>
          <w:b w:val="0"/>
        </w:rPr>
        <w:t>, i.e. in scenarios of low</w:t>
      </w:r>
      <w:r w:rsidR="002E5D5E">
        <w:rPr>
          <w:b w:val="0"/>
        </w:rPr>
        <w:t>-</w:t>
      </w:r>
      <w:r w:rsidR="008308DE">
        <w:rPr>
          <w:b w:val="0"/>
        </w:rPr>
        <w:t>risk treatment</w:t>
      </w:r>
      <w:r w:rsidR="00837A27" w:rsidRPr="00837A27">
        <w:rPr>
          <w:b w:val="0"/>
        </w:rPr>
        <w:t>.</w:t>
      </w:r>
    </w:p>
    <w:p w14:paraId="66F90CE0" w14:textId="60C4FB89" w:rsidR="00F70BE5" w:rsidRDefault="00CB6357" w:rsidP="00CB6357">
      <w:pPr>
        <w:jc w:val="both"/>
      </w:pPr>
      <w:r w:rsidRPr="00CB6357">
        <w:lastRenderedPageBreak/>
        <w:t>T</w:t>
      </w:r>
      <w:r w:rsidR="00F70BE5" w:rsidRPr="00CB6357">
        <w:t xml:space="preserve">he evidence that was included in the </w:t>
      </w:r>
      <w:r w:rsidR="00CA73DC">
        <w:t>analytical validity</w:t>
      </w:r>
      <w:r w:rsidR="00F70BE5" w:rsidRPr="00CB6357">
        <w:t xml:space="preserve"> and the prognostic section</w:t>
      </w:r>
      <w:r w:rsidRPr="00CB6357">
        <w:t xml:space="preserve"> and provided sensitivity/specificity or </w:t>
      </w:r>
      <w:r w:rsidR="008308DE" w:rsidRPr="008308DE">
        <w:t>2 × 2</w:t>
      </w:r>
      <w:r w:rsidRPr="00CB6357">
        <w:t xml:space="preserve"> data was included</w:t>
      </w:r>
      <w:r w:rsidR="00F70BE5" w:rsidRPr="00CB6357">
        <w:t xml:space="preserve"> here to determine h</w:t>
      </w:r>
      <w:r w:rsidRPr="00CB6357">
        <w:t xml:space="preserve">ow the test would perform in women undergoing </w:t>
      </w:r>
      <w:r>
        <w:t>gon</w:t>
      </w:r>
      <w:r w:rsidRPr="00CB6357">
        <w:t>adotoxic treatment</w:t>
      </w:r>
      <w:r>
        <w:t xml:space="preserve"> of different levels of gonadotoxicity</w:t>
      </w:r>
      <w:r w:rsidRPr="00CB6357">
        <w:t>.</w:t>
      </w:r>
      <w:r w:rsidRPr="00CB6357">
        <w:rPr>
          <w:color w:val="000000" w:themeColor="text1"/>
        </w:rPr>
        <w:t xml:space="preserve"> This gives an indication of the usefulness of the test when it is used before or after treatments </w:t>
      </w:r>
      <w:r w:rsidR="008308DE">
        <w:rPr>
          <w:color w:val="000000" w:themeColor="text1"/>
        </w:rPr>
        <w:t>posing</w:t>
      </w:r>
      <w:r w:rsidRPr="00CB6357">
        <w:rPr>
          <w:color w:val="000000" w:themeColor="text1"/>
        </w:rPr>
        <w:t xml:space="preserve"> low</w:t>
      </w:r>
      <w:r w:rsidR="00916047">
        <w:rPr>
          <w:color w:val="000000" w:themeColor="text1"/>
        </w:rPr>
        <w:t xml:space="preserve"> </w:t>
      </w:r>
      <w:r w:rsidRPr="00CB6357">
        <w:rPr>
          <w:color w:val="000000" w:themeColor="text1"/>
        </w:rPr>
        <w:t>risk (20–30%), intermediate</w:t>
      </w:r>
      <w:r w:rsidR="00DE6DD5">
        <w:rPr>
          <w:color w:val="000000" w:themeColor="text1"/>
        </w:rPr>
        <w:t xml:space="preserve"> </w:t>
      </w:r>
      <w:r w:rsidRPr="00CB6357">
        <w:rPr>
          <w:color w:val="000000" w:themeColor="text1"/>
        </w:rPr>
        <w:t>risk (40–70%) and high</w:t>
      </w:r>
      <w:r w:rsidR="00DE6DD5">
        <w:rPr>
          <w:color w:val="000000" w:themeColor="text1"/>
        </w:rPr>
        <w:t xml:space="preserve"> </w:t>
      </w:r>
      <w:r w:rsidRPr="00CB6357">
        <w:rPr>
          <w:color w:val="000000" w:themeColor="text1"/>
        </w:rPr>
        <w:t>risk (70–80%) of ovarian failure.</w:t>
      </w:r>
    </w:p>
    <w:p w14:paraId="3B1C339D" w14:textId="3AA0F917" w:rsidR="00F70BE5" w:rsidRDefault="005B3CFD" w:rsidP="00F70BE5">
      <w:pPr>
        <w:pStyle w:val="Heading4"/>
      </w:pPr>
      <w:r>
        <w:t>Clinical validity</w:t>
      </w:r>
      <w:r w:rsidR="00F70BE5">
        <w:t xml:space="preserve"> of AMH testing measured prior to gonadotoxic treatment compared with</w:t>
      </w:r>
      <w:r w:rsidR="00856156">
        <w:t xml:space="preserve"> a clinical reference standard to predict </w:t>
      </w:r>
      <w:r w:rsidR="00F70BE5">
        <w:t>resumption of menses</w:t>
      </w:r>
      <w:r w:rsidR="00856156">
        <w:t xml:space="preserve"> after treatment</w:t>
      </w:r>
    </w:p>
    <w:p w14:paraId="43F4DE22" w14:textId="473C342B" w:rsidR="00F70BE5" w:rsidRPr="007F2BB1" w:rsidRDefault="00F70BE5" w:rsidP="00F70BE5">
      <w:pPr>
        <w:jc w:val="both"/>
        <w:rPr>
          <w:color w:val="000000" w:themeColor="text1"/>
        </w:rPr>
      </w:pPr>
      <w:r>
        <w:rPr>
          <w:color w:val="000000" w:themeColor="text1"/>
        </w:rPr>
        <w:t xml:space="preserve">Three studies reported on the accuracy of AMH testing prior to gonadotoxic </w:t>
      </w:r>
      <w:r w:rsidR="008D2561">
        <w:rPr>
          <w:color w:val="000000" w:themeColor="text1"/>
        </w:rPr>
        <w:t>treatment</w:t>
      </w:r>
      <w:r>
        <w:rPr>
          <w:color w:val="000000" w:themeColor="text1"/>
        </w:rPr>
        <w:t xml:space="preserve"> in predicting the resump</w:t>
      </w:r>
      <w:r w:rsidR="00856156">
        <w:rPr>
          <w:color w:val="000000" w:themeColor="text1"/>
        </w:rPr>
        <w:t xml:space="preserve">tion of menses after treatment </w:t>
      </w:r>
      <w:r>
        <w:rPr>
          <w:color w:val="000000" w:themeColor="text1"/>
        </w:rPr>
        <w:t xml:space="preserve">and provided sensitivity/specificity or </w:t>
      </w:r>
      <w:r w:rsidR="008308DE" w:rsidRPr="008308DE">
        <w:rPr>
          <w:color w:val="000000" w:themeColor="text1"/>
        </w:rPr>
        <w:t>2 × 2</w:t>
      </w:r>
      <w:r w:rsidR="00856156">
        <w:rPr>
          <w:color w:val="000000" w:themeColor="text1"/>
        </w:rPr>
        <w:t xml:space="preserve"> data</w:t>
      </w:r>
      <w:r>
        <w:rPr>
          <w:color w:val="000000" w:themeColor="text1"/>
        </w:rPr>
        <w:t xml:space="preserve">. The </w:t>
      </w:r>
      <w:r w:rsidRPr="004E5FC9">
        <w:rPr>
          <w:color w:val="000000" w:themeColor="text1"/>
        </w:rPr>
        <w:t>study by Anders et al. (2008) compared the sensitivity and specificity of the DSL ACTIVE® MIS/AMH</w:t>
      </w:r>
      <w:r w:rsidRPr="00DF5744">
        <w:rPr>
          <w:color w:val="000000" w:themeColor="text1"/>
        </w:rPr>
        <w:t xml:space="preserve"> ELISA </w:t>
      </w:r>
      <w:r>
        <w:rPr>
          <w:color w:val="000000" w:themeColor="text1"/>
        </w:rPr>
        <w:t xml:space="preserve">measured prior to gonadotoxic treatment </w:t>
      </w:r>
      <w:r w:rsidRPr="00187DB9">
        <w:rPr>
          <w:color w:val="000000" w:themeColor="text1"/>
        </w:rPr>
        <w:t>for early stage breast cancer</w:t>
      </w:r>
      <w:r>
        <w:rPr>
          <w:color w:val="000000" w:themeColor="text1"/>
        </w:rPr>
        <w:t xml:space="preserve"> in 27 </w:t>
      </w:r>
      <w:r w:rsidRPr="00187DB9">
        <w:rPr>
          <w:color w:val="000000" w:themeColor="text1"/>
        </w:rPr>
        <w:t xml:space="preserve">women </w:t>
      </w:r>
      <w:r>
        <w:rPr>
          <w:color w:val="000000" w:themeColor="text1"/>
        </w:rPr>
        <w:t xml:space="preserve">to detect the resumption of menses within one year </w:t>
      </w:r>
      <w:r w:rsidR="00856156">
        <w:rPr>
          <w:color w:val="000000" w:themeColor="text1"/>
        </w:rPr>
        <w:t>of</w:t>
      </w:r>
      <w:r>
        <w:rPr>
          <w:color w:val="000000" w:themeColor="text1"/>
        </w:rPr>
        <w:t xml:space="preserve"> treatment.</w:t>
      </w:r>
      <w:r w:rsidRPr="001F3408">
        <w:rPr>
          <w:color w:val="000000" w:themeColor="text1"/>
        </w:rPr>
        <w:t xml:space="preserve"> </w:t>
      </w:r>
      <w:r>
        <w:rPr>
          <w:color w:val="000000" w:themeColor="text1"/>
        </w:rPr>
        <w:t xml:space="preserve">The </w:t>
      </w:r>
      <w:r w:rsidRPr="00111195">
        <w:rPr>
          <w:color w:val="000000" w:themeColor="text1"/>
        </w:rPr>
        <w:t>pre-chemotherapy median</w:t>
      </w:r>
      <w:r>
        <w:rPr>
          <w:color w:val="000000" w:themeColor="text1"/>
        </w:rPr>
        <w:t xml:space="preserve"> </w:t>
      </w:r>
      <w:r w:rsidRPr="00111195">
        <w:rPr>
          <w:color w:val="000000" w:themeColor="text1"/>
        </w:rPr>
        <w:t>AMH</w:t>
      </w:r>
      <w:r>
        <w:rPr>
          <w:color w:val="000000" w:themeColor="text1"/>
        </w:rPr>
        <w:t xml:space="preserve"> levels </w:t>
      </w:r>
      <w:r w:rsidRPr="00111195">
        <w:rPr>
          <w:color w:val="000000" w:themeColor="text1"/>
        </w:rPr>
        <w:t>among</w:t>
      </w:r>
      <w:r>
        <w:rPr>
          <w:color w:val="000000" w:themeColor="text1"/>
        </w:rPr>
        <w:t xml:space="preserve"> </w:t>
      </w:r>
      <w:r w:rsidRPr="00111195">
        <w:rPr>
          <w:color w:val="000000" w:themeColor="text1"/>
        </w:rPr>
        <w:t>women aged</w:t>
      </w:r>
      <w:r>
        <w:rPr>
          <w:color w:val="000000" w:themeColor="text1"/>
        </w:rPr>
        <w:t xml:space="preserve"> </w:t>
      </w:r>
      <w:r w:rsidR="00856156">
        <w:rPr>
          <w:color w:val="000000" w:themeColor="text1"/>
        </w:rPr>
        <w:t xml:space="preserve">less than </w:t>
      </w:r>
      <w:r w:rsidRPr="00111195">
        <w:rPr>
          <w:color w:val="000000" w:themeColor="text1"/>
        </w:rPr>
        <w:t>35 years</w:t>
      </w:r>
      <w:r w:rsidRPr="007F2BB1">
        <w:t xml:space="preserve"> </w:t>
      </w:r>
      <w:r w:rsidRPr="007F2BB1">
        <w:rPr>
          <w:color w:val="000000" w:themeColor="text1"/>
        </w:rPr>
        <w:t>was significantly higher compared with those aged 35 years</w:t>
      </w:r>
      <w:r>
        <w:rPr>
          <w:color w:val="000000" w:themeColor="text1"/>
        </w:rPr>
        <w:t xml:space="preserve"> </w:t>
      </w:r>
      <w:r w:rsidR="00856156">
        <w:rPr>
          <w:color w:val="000000" w:themeColor="text1"/>
        </w:rPr>
        <w:t xml:space="preserve">or older </w:t>
      </w:r>
      <w:r>
        <w:rPr>
          <w:color w:val="000000" w:themeColor="text1"/>
        </w:rPr>
        <w:t>(2.72 versus 0.47 ng/</w:t>
      </w:r>
      <w:r w:rsidR="00023800">
        <w:rPr>
          <w:color w:val="000000" w:themeColor="text1"/>
        </w:rPr>
        <w:t>mL</w:t>
      </w:r>
      <w:r>
        <w:rPr>
          <w:color w:val="000000" w:themeColor="text1"/>
        </w:rPr>
        <w:t>, p&lt;0.0001).</w:t>
      </w:r>
      <w:r w:rsidRPr="007F2BB1">
        <w:t xml:space="preserve"> </w:t>
      </w:r>
      <w:r>
        <w:rPr>
          <w:color w:val="000000" w:themeColor="text1"/>
        </w:rPr>
        <w:t xml:space="preserve">The authors reported that </w:t>
      </w:r>
      <w:r w:rsidRPr="007F2BB1">
        <w:rPr>
          <w:color w:val="000000" w:themeColor="text1"/>
        </w:rPr>
        <w:t>women with pre-</w:t>
      </w:r>
      <w:r>
        <w:rPr>
          <w:color w:val="000000" w:themeColor="text1"/>
        </w:rPr>
        <w:t>treatment</w:t>
      </w:r>
      <w:r w:rsidRPr="007F2BB1">
        <w:rPr>
          <w:color w:val="000000" w:themeColor="text1"/>
        </w:rPr>
        <w:t xml:space="preserve"> </w:t>
      </w:r>
      <w:r>
        <w:rPr>
          <w:color w:val="000000" w:themeColor="text1"/>
        </w:rPr>
        <w:t xml:space="preserve">levels </w:t>
      </w:r>
      <w:r w:rsidRPr="007F2BB1">
        <w:rPr>
          <w:color w:val="000000" w:themeColor="text1"/>
        </w:rPr>
        <w:t>below the median</w:t>
      </w:r>
      <w:r>
        <w:rPr>
          <w:color w:val="000000" w:themeColor="text1"/>
        </w:rPr>
        <w:t xml:space="preserve"> </w:t>
      </w:r>
      <w:r w:rsidRPr="007F2BB1">
        <w:rPr>
          <w:color w:val="000000" w:themeColor="text1"/>
        </w:rPr>
        <w:t xml:space="preserve">AMH </w:t>
      </w:r>
      <w:r>
        <w:rPr>
          <w:color w:val="000000" w:themeColor="text1"/>
        </w:rPr>
        <w:t>value were more likely to</w:t>
      </w:r>
      <w:r w:rsidRPr="007F2BB1">
        <w:rPr>
          <w:color w:val="000000" w:themeColor="text1"/>
        </w:rPr>
        <w:t xml:space="preserve"> experience CRA </w:t>
      </w:r>
      <w:r>
        <w:rPr>
          <w:color w:val="000000" w:themeColor="text1"/>
        </w:rPr>
        <w:t>than those</w:t>
      </w:r>
      <w:r w:rsidRPr="007F2BB1">
        <w:rPr>
          <w:color w:val="000000" w:themeColor="text1"/>
        </w:rPr>
        <w:t xml:space="preserve"> </w:t>
      </w:r>
      <w:r>
        <w:rPr>
          <w:color w:val="000000" w:themeColor="text1"/>
        </w:rPr>
        <w:t xml:space="preserve">who were </w:t>
      </w:r>
      <w:r w:rsidRPr="007F2BB1">
        <w:rPr>
          <w:color w:val="000000" w:themeColor="text1"/>
        </w:rPr>
        <w:t>abo</w:t>
      </w:r>
      <w:r>
        <w:rPr>
          <w:color w:val="000000" w:themeColor="text1"/>
        </w:rPr>
        <w:t>ve the median.</w:t>
      </w:r>
    </w:p>
    <w:p w14:paraId="4C5FB416" w14:textId="76209A4A" w:rsidR="007518CF" w:rsidRDefault="00F70BE5" w:rsidP="00F70BE5">
      <w:pPr>
        <w:jc w:val="both"/>
        <w:rPr>
          <w:color w:val="000000" w:themeColor="text1"/>
        </w:rPr>
      </w:pPr>
      <w:r w:rsidRPr="00FB0199">
        <w:rPr>
          <w:color w:val="000000" w:themeColor="text1"/>
        </w:rPr>
        <w:t xml:space="preserve">The study by D’Avila et al. (2015) </w:t>
      </w:r>
      <w:r w:rsidR="00856156">
        <w:rPr>
          <w:color w:val="000000" w:themeColor="text1"/>
        </w:rPr>
        <w:t>considered</w:t>
      </w:r>
      <w:r w:rsidRPr="00FB0199">
        <w:rPr>
          <w:color w:val="000000" w:themeColor="text1"/>
        </w:rPr>
        <w:t xml:space="preserve"> the sensitivity and specificity of the EIA AMH/MIS ELISA in measuring AMH levels prior to gonadotoxic treatment </w:t>
      </w:r>
      <w:r w:rsidR="00856156">
        <w:rPr>
          <w:color w:val="000000" w:themeColor="text1"/>
        </w:rPr>
        <w:t>for predicting post-treatment resumption of menstruation in</w:t>
      </w:r>
      <w:r w:rsidRPr="00FB0199">
        <w:rPr>
          <w:color w:val="000000" w:themeColor="text1"/>
        </w:rPr>
        <w:t xml:space="preserve"> 52 women diagnosed with breast cancer. The authors reported that women with AMH values &lt;3.32 ng/</w:t>
      </w:r>
      <w:r w:rsidR="00023800">
        <w:rPr>
          <w:color w:val="000000" w:themeColor="text1"/>
        </w:rPr>
        <w:t>mL</w:t>
      </w:r>
      <w:r w:rsidRPr="00FB0199">
        <w:rPr>
          <w:color w:val="000000" w:themeColor="text1"/>
        </w:rPr>
        <w:t xml:space="preserve"> prior to gonadotoxic treatment were more likely to develop oligomenorrhea or amenorrhea after completion of their treatment</w:t>
      </w:r>
      <w:r w:rsidR="00D50709">
        <w:rPr>
          <w:color w:val="000000" w:themeColor="text1"/>
        </w:rPr>
        <w:t xml:space="preserve"> (</w:t>
      </w:r>
      <w:r w:rsidR="00D50709">
        <w:rPr>
          <w:color w:val="000000" w:themeColor="text1"/>
        </w:rPr>
        <w:fldChar w:fldCharType="begin"/>
      </w:r>
      <w:r w:rsidR="00D50709">
        <w:rPr>
          <w:color w:val="000000" w:themeColor="text1"/>
        </w:rPr>
        <w:instrText xml:space="preserve"> REF _Ref501454025 \h </w:instrText>
      </w:r>
      <w:r w:rsidR="00D50709">
        <w:rPr>
          <w:color w:val="000000" w:themeColor="text1"/>
        </w:rPr>
      </w:r>
      <w:r w:rsidR="00D50709">
        <w:rPr>
          <w:color w:val="000000" w:themeColor="text1"/>
        </w:rPr>
        <w:fldChar w:fldCharType="separate"/>
      </w:r>
      <w:r w:rsidR="00AC4BE5" w:rsidRPr="001F3408">
        <w:t xml:space="preserve">Table </w:t>
      </w:r>
      <w:r w:rsidR="00AC4BE5">
        <w:rPr>
          <w:noProof/>
        </w:rPr>
        <w:t>53</w:t>
      </w:r>
      <w:r w:rsidR="00D50709">
        <w:rPr>
          <w:color w:val="000000" w:themeColor="text1"/>
        </w:rPr>
        <w:fldChar w:fldCharType="end"/>
      </w:r>
      <w:r w:rsidR="00D50709">
        <w:rPr>
          <w:color w:val="000000" w:themeColor="text1"/>
        </w:rPr>
        <w:t>)</w:t>
      </w:r>
      <w:r w:rsidRPr="00FB0199">
        <w:rPr>
          <w:color w:val="000000" w:themeColor="text1"/>
        </w:rPr>
        <w:t>. The study by Henry et al. (2014) investigated the sensitivity and specificity of the AMH Gen II ELISA to detect AMH in 27 women</w:t>
      </w:r>
      <w:r w:rsidRPr="00FB0199">
        <w:t xml:space="preserve"> </w:t>
      </w:r>
      <w:r w:rsidR="00856156">
        <w:rPr>
          <w:color w:val="000000" w:themeColor="text1"/>
        </w:rPr>
        <w:t xml:space="preserve">with stage I to stage </w:t>
      </w:r>
      <w:r w:rsidRPr="00FB0199">
        <w:rPr>
          <w:color w:val="000000" w:themeColor="text1"/>
        </w:rPr>
        <w:t>III breast cancer, prior to receiving neoadjuvant or adjuvant chemotherapy</w:t>
      </w:r>
      <w:r w:rsidR="00856156">
        <w:rPr>
          <w:color w:val="000000" w:themeColor="text1"/>
        </w:rPr>
        <w:t>,</w:t>
      </w:r>
      <w:r w:rsidRPr="00FB0199">
        <w:rPr>
          <w:color w:val="000000" w:themeColor="text1"/>
        </w:rPr>
        <w:t xml:space="preserve"> compared with </w:t>
      </w:r>
      <w:r w:rsidR="00856156">
        <w:rPr>
          <w:color w:val="000000" w:themeColor="text1"/>
        </w:rPr>
        <w:t>a</w:t>
      </w:r>
      <w:r w:rsidRPr="00FB0199">
        <w:rPr>
          <w:color w:val="000000" w:themeColor="text1"/>
        </w:rPr>
        <w:t xml:space="preserve"> reference standard of resumed menstruation</w:t>
      </w:r>
      <w:r w:rsidR="00D50709">
        <w:rPr>
          <w:color w:val="000000" w:themeColor="text1"/>
        </w:rPr>
        <w:t xml:space="preserve"> (</w:t>
      </w:r>
      <w:r w:rsidR="00D50709">
        <w:rPr>
          <w:color w:val="000000" w:themeColor="text1"/>
        </w:rPr>
        <w:fldChar w:fldCharType="begin"/>
      </w:r>
      <w:r w:rsidR="00D50709">
        <w:rPr>
          <w:color w:val="000000" w:themeColor="text1"/>
        </w:rPr>
        <w:instrText xml:space="preserve"> REF _Ref501454025 \h </w:instrText>
      </w:r>
      <w:r w:rsidR="00D50709">
        <w:rPr>
          <w:color w:val="000000" w:themeColor="text1"/>
        </w:rPr>
      </w:r>
      <w:r w:rsidR="00D50709">
        <w:rPr>
          <w:color w:val="000000" w:themeColor="text1"/>
        </w:rPr>
        <w:fldChar w:fldCharType="separate"/>
      </w:r>
      <w:r w:rsidR="00AC4BE5" w:rsidRPr="001F3408">
        <w:t xml:space="preserve">Table </w:t>
      </w:r>
      <w:r w:rsidR="00AC4BE5">
        <w:rPr>
          <w:noProof/>
        </w:rPr>
        <w:t>53</w:t>
      </w:r>
      <w:r w:rsidR="00D50709">
        <w:rPr>
          <w:color w:val="000000" w:themeColor="text1"/>
        </w:rPr>
        <w:fldChar w:fldCharType="end"/>
      </w:r>
      <w:r w:rsidR="00D50709">
        <w:rPr>
          <w:color w:val="000000" w:themeColor="text1"/>
        </w:rPr>
        <w:t>)</w:t>
      </w:r>
      <w:r w:rsidRPr="00FB0199">
        <w:rPr>
          <w:color w:val="000000" w:themeColor="text1"/>
        </w:rPr>
        <w:t>.</w:t>
      </w:r>
    </w:p>
    <w:p w14:paraId="434822C1" w14:textId="19A7EB11" w:rsidR="007518CF" w:rsidRDefault="00F70BE5" w:rsidP="00F70BE5">
      <w:pPr>
        <w:jc w:val="both"/>
        <w:rPr>
          <w:color w:val="000000" w:themeColor="text1"/>
        </w:rPr>
      </w:pPr>
      <w:r>
        <w:rPr>
          <w:color w:val="000000" w:themeColor="text1"/>
        </w:rPr>
        <w:t xml:space="preserve">As the Australian prevalence rate of women resuming menstruation after gonadotoxic therapy cannot be </w:t>
      </w:r>
      <w:r w:rsidR="00FB0199">
        <w:rPr>
          <w:color w:val="000000" w:themeColor="text1"/>
        </w:rPr>
        <w:t>estimated</w:t>
      </w:r>
      <w:r>
        <w:rPr>
          <w:color w:val="000000" w:themeColor="text1"/>
        </w:rPr>
        <w:t xml:space="preserve"> accurately</w:t>
      </w:r>
      <w:r w:rsidR="00856156">
        <w:rPr>
          <w:color w:val="000000" w:themeColor="text1"/>
        </w:rPr>
        <w:t>,</w:t>
      </w:r>
      <w:r w:rsidR="00FB0199">
        <w:rPr>
          <w:color w:val="000000" w:themeColor="text1"/>
        </w:rPr>
        <w:t xml:space="preserve"> and depends on a range of factors including type of treatment</w:t>
      </w:r>
      <w:r>
        <w:rPr>
          <w:color w:val="000000" w:themeColor="text1"/>
        </w:rPr>
        <w:t xml:space="preserve"> (</w:t>
      </w:r>
      <w:r w:rsidR="00B50CCE">
        <w:rPr>
          <w:color w:val="000000" w:themeColor="text1"/>
        </w:rPr>
        <w:t>S</w:t>
      </w:r>
      <w:r w:rsidRPr="00FB0199">
        <w:rPr>
          <w:color w:val="000000" w:themeColor="text1"/>
        </w:rPr>
        <w:t>ection A</w:t>
      </w:r>
      <w:r w:rsidR="00B50CCE">
        <w:rPr>
          <w:color w:val="000000" w:themeColor="text1"/>
        </w:rPr>
        <w:t>,</w:t>
      </w:r>
      <w:r w:rsidRPr="00FB0199">
        <w:rPr>
          <w:color w:val="000000" w:themeColor="text1"/>
        </w:rPr>
        <w:t xml:space="preserve"> </w:t>
      </w:r>
      <w:r w:rsidR="00FB0199" w:rsidRPr="00FB0199">
        <w:rPr>
          <w:color w:val="000000" w:themeColor="text1"/>
        </w:rPr>
        <w:fldChar w:fldCharType="begin"/>
      </w:r>
      <w:r w:rsidR="00FB0199" w:rsidRPr="00FB0199">
        <w:rPr>
          <w:color w:val="000000" w:themeColor="text1"/>
        </w:rPr>
        <w:instrText xml:space="preserve"> REF _Ref497382166 \h </w:instrText>
      </w:r>
      <w:r w:rsidR="00FB0199">
        <w:rPr>
          <w:color w:val="000000" w:themeColor="text1"/>
        </w:rPr>
        <w:instrText xml:space="preserve"> \* MERGEFORMAT </w:instrText>
      </w:r>
      <w:r w:rsidR="00FB0199" w:rsidRPr="00FB0199">
        <w:rPr>
          <w:color w:val="000000" w:themeColor="text1"/>
        </w:rPr>
      </w:r>
      <w:r w:rsidR="00FB0199" w:rsidRPr="00FB0199">
        <w:rPr>
          <w:color w:val="000000" w:themeColor="text1"/>
        </w:rPr>
        <w:fldChar w:fldCharType="separate"/>
      </w:r>
      <w:r w:rsidR="00AC4BE5" w:rsidRPr="007C3449">
        <w:t xml:space="preserve">Table </w:t>
      </w:r>
      <w:r w:rsidR="00AC4BE5">
        <w:rPr>
          <w:noProof/>
        </w:rPr>
        <w:t>7</w:t>
      </w:r>
      <w:r w:rsidR="00FB0199" w:rsidRPr="00FB0199">
        <w:rPr>
          <w:color w:val="000000" w:themeColor="text1"/>
        </w:rPr>
        <w:fldChar w:fldCharType="end"/>
      </w:r>
      <w:r>
        <w:rPr>
          <w:color w:val="000000" w:themeColor="text1"/>
        </w:rPr>
        <w:t>), the PPV and NPV were calculated for women undergoing gonadotoxic treatments with low</w:t>
      </w:r>
      <w:r w:rsidR="00916047">
        <w:rPr>
          <w:color w:val="000000" w:themeColor="text1"/>
        </w:rPr>
        <w:t xml:space="preserve"> </w:t>
      </w:r>
      <w:r>
        <w:rPr>
          <w:color w:val="000000" w:themeColor="text1"/>
        </w:rPr>
        <w:t>risk (20–30%), intermediate</w:t>
      </w:r>
      <w:r w:rsidR="00DE6DD5">
        <w:rPr>
          <w:color w:val="000000" w:themeColor="text1"/>
        </w:rPr>
        <w:t xml:space="preserve"> </w:t>
      </w:r>
      <w:r>
        <w:rPr>
          <w:color w:val="000000" w:themeColor="text1"/>
        </w:rPr>
        <w:t>risk (40–70%) and high</w:t>
      </w:r>
      <w:r w:rsidR="00DE6DD5">
        <w:rPr>
          <w:color w:val="000000" w:themeColor="text1"/>
        </w:rPr>
        <w:t xml:space="preserve"> </w:t>
      </w:r>
      <w:r>
        <w:rPr>
          <w:color w:val="000000" w:themeColor="text1"/>
        </w:rPr>
        <w:t>risk (70–80%) of ovarian failure</w:t>
      </w:r>
      <w:r w:rsidR="004A2B7B">
        <w:rPr>
          <w:color w:val="000000" w:themeColor="text1"/>
        </w:rPr>
        <w:t xml:space="preserve"> (</w:t>
      </w:r>
      <w:r w:rsidR="004A2B7B">
        <w:rPr>
          <w:color w:val="000000" w:themeColor="text1"/>
        </w:rPr>
        <w:fldChar w:fldCharType="begin"/>
      </w:r>
      <w:r w:rsidR="004A2B7B">
        <w:rPr>
          <w:color w:val="000000" w:themeColor="text1"/>
        </w:rPr>
        <w:instrText xml:space="preserve"> REF _Ref501612620 \h </w:instrText>
      </w:r>
      <w:r w:rsidR="004A2B7B">
        <w:rPr>
          <w:color w:val="000000" w:themeColor="text1"/>
        </w:rPr>
      </w:r>
      <w:r w:rsidR="004A2B7B">
        <w:rPr>
          <w:color w:val="000000" w:themeColor="text1"/>
        </w:rPr>
        <w:fldChar w:fldCharType="separate"/>
      </w:r>
      <w:r w:rsidR="00AC4BE5">
        <w:t xml:space="preserve">Figure </w:t>
      </w:r>
      <w:r w:rsidR="00AC4BE5">
        <w:rPr>
          <w:noProof/>
        </w:rPr>
        <w:t>6</w:t>
      </w:r>
      <w:r w:rsidR="004A2B7B">
        <w:rPr>
          <w:color w:val="000000" w:themeColor="text1"/>
        </w:rPr>
        <w:fldChar w:fldCharType="end"/>
      </w:r>
      <w:r w:rsidR="004A2B7B">
        <w:rPr>
          <w:color w:val="000000" w:themeColor="text1"/>
        </w:rPr>
        <w:t xml:space="preserve"> and </w:t>
      </w:r>
      <w:r w:rsidR="004A2B7B">
        <w:rPr>
          <w:color w:val="000000" w:themeColor="text1"/>
        </w:rPr>
        <w:fldChar w:fldCharType="begin"/>
      </w:r>
      <w:r w:rsidR="004A2B7B">
        <w:rPr>
          <w:color w:val="000000" w:themeColor="text1"/>
        </w:rPr>
        <w:instrText xml:space="preserve"> REF _Ref496626527 \h </w:instrText>
      </w:r>
      <w:r w:rsidR="004A2B7B">
        <w:rPr>
          <w:color w:val="000000" w:themeColor="text1"/>
        </w:rPr>
      </w:r>
      <w:r w:rsidR="004A2B7B">
        <w:rPr>
          <w:color w:val="000000" w:themeColor="text1"/>
        </w:rPr>
        <w:fldChar w:fldCharType="separate"/>
      </w:r>
      <w:r w:rsidR="00AC4BE5">
        <w:t xml:space="preserve">Figure </w:t>
      </w:r>
      <w:r w:rsidR="00AC4BE5">
        <w:rPr>
          <w:noProof/>
        </w:rPr>
        <w:t>7</w:t>
      </w:r>
      <w:r w:rsidR="004A2B7B">
        <w:rPr>
          <w:color w:val="000000" w:themeColor="text1"/>
        </w:rPr>
        <w:fldChar w:fldCharType="end"/>
      </w:r>
      <w:r w:rsidR="004A2B7B">
        <w:rPr>
          <w:color w:val="000000" w:themeColor="text1"/>
        </w:rPr>
        <w:t>)</w:t>
      </w:r>
      <w:r>
        <w:rPr>
          <w:color w:val="000000" w:themeColor="text1"/>
        </w:rPr>
        <w:t>. The LR+ and LR</w:t>
      </w:r>
      <w:r w:rsidR="00856156">
        <w:rPr>
          <w:color w:val="000000" w:themeColor="text1"/>
        </w:rPr>
        <w:t>-</w:t>
      </w:r>
      <w:r>
        <w:rPr>
          <w:color w:val="000000" w:themeColor="text1"/>
        </w:rPr>
        <w:t>, which are not dependent on the prevalence rate, were also calculated (</w:t>
      </w:r>
      <w:r w:rsidR="0004250B">
        <w:rPr>
          <w:color w:val="000000" w:themeColor="text1"/>
        </w:rPr>
        <w:fldChar w:fldCharType="begin"/>
      </w:r>
      <w:r w:rsidR="0004250B">
        <w:rPr>
          <w:color w:val="000000" w:themeColor="text1"/>
        </w:rPr>
        <w:instrText xml:space="preserve"> REF _Ref501454025 \h </w:instrText>
      </w:r>
      <w:r w:rsidR="0004250B">
        <w:rPr>
          <w:color w:val="000000" w:themeColor="text1"/>
        </w:rPr>
      </w:r>
      <w:r w:rsidR="0004250B">
        <w:rPr>
          <w:color w:val="000000" w:themeColor="text1"/>
        </w:rPr>
        <w:fldChar w:fldCharType="separate"/>
      </w:r>
      <w:r w:rsidR="00AC4BE5" w:rsidRPr="001F3408">
        <w:t xml:space="preserve">Table </w:t>
      </w:r>
      <w:r w:rsidR="00AC4BE5">
        <w:rPr>
          <w:noProof/>
        </w:rPr>
        <w:t>53</w:t>
      </w:r>
      <w:r w:rsidR="0004250B">
        <w:rPr>
          <w:color w:val="000000" w:themeColor="text1"/>
        </w:rPr>
        <w:fldChar w:fldCharType="end"/>
      </w:r>
      <w:r>
        <w:rPr>
          <w:color w:val="000000" w:themeColor="text1"/>
        </w:rPr>
        <w:t>).</w:t>
      </w:r>
    </w:p>
    <w:p w14:paraId="6FFC089D" w14:textId="0E8C9BF8" w:rsidR="00F70BE5" w:rsidRPr="001F3408" w:rsidRDefault="00F70BE5" w:rsidP="00F70BE5">
      <w:pPr>
        <w:pStyle w:val="Caption"/>
        <w:keepNext/>
        <w:ind w:left="1134" w:hanging="1134"/>
        <w:jc w:val="both"/>
        <w:rPr>
          <w:rFonts w:cs="Arial"/>
          <w:snapToGrid w:val="0"/>
          <w:szCs w:val="16"/>
          <w:lang w:eastAsia="en-US"/>
        </w:rPr>
      </w:pPr>
      <w:bookmarkStart w:id="335" w:name="_Ref501454025"/>
      <w:bookmarkStart w:id="336" w:name="_Toc502833071"/>
      <w:r w:rsidRPr="001F3408">
        <w:lastRenderedPageBreak/>
        <w:t xml:space="preserve">Table </w:t>
      </w:r>
      <w:r w:rsidR="00AC4BE5">
        <w:fldChar w:fldCharType="begin"/>
      </w:r>
      <w:r w:rsidR="00AC4BE5">
        <w:instrText xml:space="preserve"> SEQ Table \* ARABIC </w:instrText>
      </w:r>
      <w:r w:rsidR="00AC4BE5">
        <w:fldChar w:fldCharType="separate"/>
      </w:r>
      <w:r w:rsidR="00AC4BE5">
        <w:rPr>
          <w:noProof/>
        </w:rPr>
        <w:t>53</w:t>
      </w:r>
      <w:r w:rsidR="00AC4BE5">
        <w:rPr>
          <w:noProof/>
        </w:rPr>
        <w:fldChar w:fldCharType="end"/>
      </w:r>
      <w:bookmarkEnd w:id="335"/>
      <w:r w:rsidRPr="001F3408">
        <w:tab/>
      </w:r>
      <w:r w:rsidR="005B3CFD">
        <w:t>Clinical validity</w:t>
      </w:r>
      <w:r w:rsidRPr="001F3408">
        <w:rPr>
          <w:rFonts w:cs="Arial"/>
          <w:snapToGrid w:val="0"/>
          <w:szCs w:val="16"/>
          <w:lang w:eastAsia="en-US"/>
        </w:rPr>
        <w:t xml:space="preserve"> </w:t>
      </w:r>
      <w:r>
        <w:rPr>
          <w:rFonts w:cs="Arial"/>
          <w:snapToGrid w:val="0"/>
          <w:szCs w:val="16"/>
          <w:lang w:eastAsia="en-US"/>
        </w:rPr>
        <w:t>of</w:t>
      </w:r>
      <w:r w:rsidRPr="001F3408">
        <w:rPr>
          <w:rFonts w:cs="Arial"/>
          <w:snapToGrid w:val="0"/>
          <w:szCs w:val="16"/>
          <w:lang w:eastAsia="en-US"/>
        </w:rPr>
        <w:t xml:space="preserve"> </w:t>
      </w:r>
      <w:r w:rsidRPr="00963144">
        <w:rPr>
          <w:rFonts w:cs="Arial"/>
          <w:snapToGrid w:val="0"/>
          <w:szCs w:val="16"/>
          <w:lang w:eastAsia="en-US"/>
        </w:rPr>
        <w:t xml:space="preserve">the </w:t>
      </w:r>
      <w:r>
        <w:rPr>
          <w:rFonts w:cs="Arial"/>
          <w:snapToGrid w:val="0"/>
          <w:szCs w:val="16"/>
          <w:lang w:eastAsia="en-US"/>
        </w:rPr>
        <w:t>AMH test</w:t>
      </w:r>
      <w:r w:rsidRPr="00963144">
        <w:rPr>
          <w:rFonts w:cs="Arial"/>
          <w:snapToGrid w:val="0"/>
          <w:szCs w:val="16"/>
          <w:lang w:eastAsia="en-US"/>
        </w:rPr>
        <w:t xml:space="preserve"> </w:t>
      </w:r>
      <w:r w:rsidRPr="001F3408">
        <w:rPr>
          <w:rFonts w:cs="Arial"/>
          <w:snapToGrid w:val="0"/>
          <w:szCs w:val="16"/>
          <w:lang w:eastAsia="en-US"/>
        </w:rPr>
        <w:t xml:space="preserve">against </w:t>
      </w:r>
      <w:r>
        <w:rPr>
          <w:rFonts w:cs="Arial"/>
          <w:snapToGrid w:val="0"/>
          <w:szCs w:val="16"/>
          <w:lang w:eastAsia="en-US"/>
        </w:rPr>
        <w:t>the clinical refe</w:t>
      </w:r>
      <w:r w:rsidRPr="001F3408">
        <w:rPr>
          <w:rFonts w:cs="Arial"/>
          <w:snapToGrid w:val="0"/>
          <w:szCs w:val="16"/>
          <w:lang w:eastAsia="en-US"/>
        </w:rPr>
        <w:t xml:space="preserve">rence standard </w:t>
      </w:r>
      <w:r>
        <w:rPr>
          <w:rFonts w:cs="Arial"/>
          <w:snapToGrid w:val="0"/>
          <w:szCs w:val="16"/>
          <w:lang w:eastAsia="en-US"/>
        </w:rPr>
        <w:t>of resumption of menses</w:t>
      </w:r>
      <w:bookmarkEnd w:id="336"/>
    </w:p>
    <w:tbl>
      <w:tblPr>
        <w:tblStyle w:val="TableGrid1"/>
        <w:tblW w:w="5000"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996"/>
        <w:gridCol w:w="1767"/>
        <w:gridCol w:w="1858"/>
        <w:gridCol w:w="1882"/>
        <w:gridCol w:w="1739"/>
      </w:tblGrid>
      <w:tr w:rsidR="00F70BE5" w:rsidRPr="00FB0199" w14:paraId="56038E9E" w14:textId="77777777" w:rsidTr="006815D3">
        <w:trPr>
          <w:cnfStyle w:val="100000000000" w:firstRow="1" w:lastRow="0" w:firstColumn="0" w:lastColumn="0" w:oddVBand="0" w:evenVBand="0" w:oddHBand="0" w:evenHBand="0" w:firstRowFirstColumn="0" w:firstRowLastColumn="0" w:lastRowFirstColumn="0" w:lastRowLastColumn="0"/>
          <w:tblHeader/>
        </w:trPr>
        <w:tc>
          <w:tcPr>
            <w:tcW w:w="1080" w:type="pct"/>
          </w:tcPr>
          <w:p w14:paraId="32E35E9B" w14:textId="77777777" w:rsidR="00F70BE5" w:rsidRPr="00FB0199" w:rsidRDefault="00F70BE5" w:rsidP="00CB6357">
            <w:pPr>
              <w:pStyle w:val="TableHeading"/>
              <w:rPr>
                <w:snapToGrid w:val="0"/>
                <w:lang w:eastAsia="en-US"/>
              </w:rPr>
            </w:pPr>
            <w:r w:rsidRPr="00FB0199">
              <w:rPr>
                <w:snapToGrid w:val="0"/>
                <w:lang w:eastAsia="en-US"/>
              </w:rPr>
              <w:t>Study ID</w:t>
            </w:r>
          </w:p>
        </w:tc>
        <w:tc>
          <w:tcPr>
            <w:tcW w:w="956" w:type="pct"/>
          </w:tcPr>
          <w:p w14:paraId="57B1259E" w14:textId="77777777" w:rsidR="00F70BE5" w:rsidRPr="0004250B" w:rsidRDefault="00F70BE5" w:rsidP="0004250B">
            <w:pPr>
              <w:pStyle w:val="Tabletext1"/>
              <w:rPr>
                <w:b/>
                <w:snapToGrid w:val="0"/>
                <w:lang w:eastAsia="en-US"/>
              </w:rPr>
            </w:pPr>
            <w:r w:rsidRPr="0004250B">
              <w:rPr>
                <w:b/>
                <w:snapToGrid w:val="0"/>
                <w:lang w:eastAsia="en-US"/>
              </w:rPr>
              <w:t>Result</w:t>
            </w:r>
          </w:p>
        </w:tc>
        <w:tc>
          <w:tcPr>
            <w:tcW w:w="1005" w:type="pct"/>
          </w:tcPr>
          <w:p w14:paraId="41FCF8E9" w14:textId="77777777" w:rsidR="00F70BE5" w:rsidRPr="0004250B" w:rsidRDefault="00F70BE5" w:rsidP="0004250B">
            <w:pPr>
              <w:pStyle w:val="Tabletext1"/>
              <w:rPr>
                <w:b/>
                <w:snapToGrid w:val="0"/>
                <w:lang w:eastAsia="en-US"/>
              </w:rPr>
            </w:pPr>
            <w:r w:rsidRPr="0004250B">
              <w:rPr>
                <w:b/>
                <w:snapToGrid w:val="0"/>
                <w:lang w:eastAsia="en-US"/>
              </w:rPr>
              <w:t>EIA AMH/MIS assay [95%CI]</w:t>
            </w:r>
          </w:p>
        </w:tc>
        <w:tc>
          <w:tcPr>
            <w:tcW w:w="1018" w:type="pct"/>
          </w:tcPr>
          <w:p w14:paraId="20E5ECAC" w14:textId="77777777" w:rsidR="00F70BE5" w:rsidRPr="0004250B" w:rsidRDefault="00F70BE5" w:rsidP="0004250B">
            <w:pPr>
              <w:pStyle w:val="Tabletext1"/>
              <w:rPr>
                <w:b/>
                <w:snapToGrid w:val="0"/>
                <w:lang w:eastAsia="en-US"/>
              </w:rPr>
            </w:pPr>
            <w:r w:rsidRPr="0004250B">
              <w:rPr>
                <w:b/>
                <w:snapToGrid w:val="0"/>
                <w:lang w:eastAsia="en-US"/>
              </w:rPr>
              <w:t>DSL ACTIVE</w:t>
            </w:r>
            <w:r w:rsidRPr="0004250B">
              <w:rPr>
                <w:b/>
                <w:snapToGrid w:val="0"/>
                <w:vertAlign w:val="superscript"/>
                <w:lang w:eastAsia="en-US"/>
              </w:rPr>
              <w:t>®</w:t>
            </w:r>
            <w:r w:rsidRPr="0004250B">
              <w:rPr>
                <w:b/>
                <w:snapToGrid w:val="0"/>
                <w:lang w:eastAsia="en-US"/>
              </w:rPr>
              <w:t xml:space="preserve"> AMH/MIS ELISA</w:t>
            </w:r>
          </w:p>
        </w:tc>
        <w:tc>
          <w:tcPr>
            <w:tcW w:w="941" w:type="pct"/>
          </w:tcPr>
          <w:p w14:paraId="2FB536C9" w14:textId="77777777" w:rsidR="00F70BE5" w:rsidRPr="0004250B" w:rsidRDefault="00F70BE5" w:rsidP="0004250B">
            <w:pPr>
              <w:pStyle w:val="Tabletext1"/>
              <w:rPr>
                <w:b/>
                <w:snapToGrid w:val="0"/>
                <w:lang w:eastAsia="en-US"/>
              </w:rPr>
            </w:pPr>
            <w:r w:rsidRPr="0004250B">
              <w:rPr>
                <w:b/>
                <w:snapToGrid w:val="0"/>
                <w:lang w:eastAsia="en-US"/>
              </w:rPr>
              <w:t>AMH Gen II ELISA</w:t>
            </w:r>
          </w:p>
        </w:tc>
      </w:tr>
      <w:tr w:rsidR="00F70BE5" w:rsidRPr="00FB0199" w14:paraId="7AA30BC8" w14:textId="77777777" w:rsidTr="009B1C7A">
        <w:tc>
          <w:tcPr>
            <w:tcW w:w="1080" w:type="pct"/>
          </w:tcPr>
          <w:p w14:paraId="618315D1" w14:textId="77777777" w:rsidR="00F70BE5" w:rsidRPr="00FB0199" w:rsidRDefault="00F70BE5" w:rsidP="00CB6357">
            <w:pPr>
              <w:pStyle w:val="TableText0"/>
              <w:rPr>
                <w:snapToGrid w:val="0"/>
              </w:rPr>
            </w:pPr>
            <w:r w:rsidRPr="00FB0199">
              <w:rPr>
                <w:snapToGrid w:val="0"/>
              </w:rPr>
              <w:t>Anders et al. (2008)</w:t>
            </w:r>
          </w:p>
          <w:p w14:paraId="7CE8EBA2" w14:textId="77777777" w:rsidR="00F70BE5" w:rsidRPr="00FB0199" w:rsidRDefault="00F70BE5" w:rsidP="00CB6357">
            <w:pPr>
              <w:pStyle w:val="TableText0"/>
              <w:rPr>
                <w:snapToGrid w:val="0"/>
              </w:rPr>
            </w:pPr>
            <w:r w:rsidRPr="00FB0199">
              <w:rPr>
                <w:snapToGrid w:val="0"/>
              </w:rPr>
              <w:t>AMH levels below the median prior to treatment versus RS post-treatment</w:t>
            </w:r>
          </w:p>
        </w:tc>
        <w:tc>
          <w:tcPr>
            <w:tcW w:w="956" w:type="pct"/>
          </w:tcPr>
          <w:p w14:paraId="0EA49799" w14:textId="77777777" w:rsidR="00F70BE5" w:rsidRPr="00FB0199" w:rsidRDefault="00F70BE5" w:rsidP="0004250B">
            <w:pPr>
              <w:pStyle w:val="Tabletext1"/>
              <w:rPr>
                <w:snapToGrid w:val="0"/>
              </w:rPr>
            </w:pPr>
            <w:r w:rsidRPr="00FB0199">
              <w:rPr>
                <w:snapToGrid w:val="0"/>
              </w:rPr>
              <w:t>Sensitivity</w:t>
            </w:r>
          </w:p>
          <w:p w14:paraId="5B5871DE" w14:textId="77777777" w:rsidR="00F70BE5" w:rsidRPr="00FB0199" w:rsidRDefault="00F70BE5" w:rsidP="0004250B">
            <w:pPr>
              <w:pStyle w:val="Tabletext1"/>
              <w:rPr>
                <w:snapToGrid w:val="0"/>
              </w:rPr>
            </w:pPr>
            <w:r w:rsidRPr="00FB0199">
              <w:rPr>
                <w:snapToGrid w:val="0"/>
              </w:rPr>
              <w:t>Specificity</w:t>
            </w:r>
          </w:p>
          <w:p w14:paraId="6B152EB5" w14:textId="77777777" w:rsidR="00F70BE5" w:rsidRPr="00FB0199" w:rsidRDefault="00F70BE5" w:rsidP="0004250B">
            <w:pPr>
              <w:pStyle w:val="Tabletext1"/>
              <w:rPr>
                <w:snapToGrid w:val="0"/>
              </w:rPr>
            </w:pPr>
            <w:r w:rsidRPr="00FB0199">
              <w:rPr>
                <w:snapToGrid w:val="0"/>
              </w:rPr>
              <w:t>LR+</w:t>
            </w:r>
          </w:p>
          <w:p w14:paraId="26ADC686" w14:textId="79A5BBEF" w:rsidR="00F70BE5" w:rsidRPr="00FB0199" w:rsidRDefault="00856156" w:rsidP="0004250B">
            <w:pPr>
              <w:pStyle w:val="Tabletext1"/>
              <w:rPr>
                <w:snapToGrid w:val="0"/>
              </w:rPr>
            </w:pPr>
            <w:r>
              <w:rPr>
                <w:snapToGrid w:val="0"/>
              </w:rPr>
              <w:t>LR-</w:t>
            </w:r>
          </w:p>
        </w:tc>
        <w:tc>
          <w:tcPr>
            <w:tcW w:w="1005" w:type="pct"/>
          </w:tcPr>
          <w:p w14:paraId="73A5C464" w14:textId="77777777" w:rsidR="00F70BE5" w:rsidRPr="00FB0199" w:rsidRDefault="00F70BE5" w:rsidP="0004250B">
            <w:pPr>
              <w:pStyle w:val="Tabletext1"/>
              <w:rPr>
                <w:snapToGrid w:val="0"/>
              </w:rPr>
            </w:pPr>
            <w:r w:rsidRPr="00FB0199">
              <w:rPr>
                <w:snapToGrid w:val="0"/>
              </w:rPr>
              <w:t>NA</w:t>
            </w:r>
          </w:p>
        </w:tc>
        <w:tc>
          <w:tcPr>
            <w:tcW w:w="1018" w:type="pct"/>
          </w:tcPr>
          <w:p w14:paraId="396C15A2" w14:textId="77777777" w:rsidR="00F70BE5" w:rsidRPr="00FB0199" w:rsidRDefault="00F70BE5" w:rsidP="0004250B">
            <w:pPr>
              <w:pStyle w:val="Tabletext1"/>
              <w:rPr>
                <w:snapToGrid w:val="0"/>
              </w:rPr>
            </w:pPr>
            <w:r w:rsidRPr="00FB0199">
              <w:rPr>
                <w:snapToGrid w:val="0"/>
              </w:rPr>
              <w:t>75% [19, 99]</w:t>
            </w:r>
          </w:p>
          <w:p w14:paraId="0286B183" w14:textId="70C9AD36" w:rsidR="00F70BE5" w:rsidRPr="00FB0199" w:rsidRDefault="00DE5D72" w:rsidP="0004250B">
            <w:pPr>
              <w:pStyle w:val="Tabletext1"/>
              <w:rPr>
                <w:snapToGrid w:val="0"/>
              </w:rPr>
            </w:pPr>
            <w:r>
              <w:rPr>
                <w:snapToGrid w:val="0"/>
              </w:rPr>
              <w:t>79% [49, 95]</w:t>
            </w:r>
          </w:p>
          <w:p w14:paraId="045490E9" w14:textId="77777777" w:rsidR="00F70BE5" w:rsidRPr="00FB0199" w:rsidRDefault="00F70BE5" w:rsidP="0004250B">
            <w:pPr>
              <w:pStyle w:val="Tabletext1"/>
              <w:rPr>
                <w:snapToGrid w:val="0"/>
              </w:rPr>
            </w:pPr>
            <w:r w:rsidRPr="00FB0199">
              <w:rPr>
                <w:snapToGrid w:val="0"/>
              </w:rPr>
              <w:t>3.50 [1.11, 11.07]</w:t>
            </w:r>
          </w:p>
          <w:p w14:paraId="3B47F577" w14:textId="77777777" w:rsidR="00F70BE5" w:rsidRPr="00FB0199" w:rsidRDefault="00F70BE5" w:rsidP="0004250B">
            <w:pPr>
              <w:pStyle w:val="Tabletext1"/>
              <w:rPr>
                <w:snapToGrid w:val="0"/>
              </w:rPr>
            </w:pPr>
            <w:r w:rsidRPr="00FB0199">
              <w:rPr>
                <w:snapToGrid w:val="0"/>
              </w:rPr>
              <w:t>0.32 [0.06, 1.78]</w:t>
            </w:r>
          </w:p>
        </w:tc>
        <w:tc>
          <w:tcPr>
            <w:tcW w:w="941" w:type="pct"/>
          </w:tcPr>
          <w:p w14:paraId="52A0B741" w14:textId="77777777" w:rsidR="00F70BE5" w:rsidRPr="00FB0199" w:rsidRDefault="00F70BE5" w:rsidP="0004250B">
            <w:pPr>
              <w:pStyle w:val="Tabletext1"/>
              <w:rPr>
                <w:snapToGrid w:val="0"/>
              </w:rPr>
            </w:pPr>
            <w:r w:rsidRPr="00FB0199">
              <w:rPr>
                <w:snapToGrid w:val="0"/>
              </w:rPr>
              <w:t>NA</w:t>
            </w:r>
          </w:p>
        </w:tc>
      </w:tr>
      <w:tr w:rsidR="00F70BE5" w:rsidRPr="00FB0199" w14:paraId="7B90893E" w14:textId="77777777" w:rsidTr="009B1C7A">
        <w:tc>
          <w:tcPr>
            <w:tcW w:w="1080" w:type="pct"/>
          </w:tcPr>
          <w:p w14:paraId="5C07E952" w14:textId="77777777" w:rsidR="00F70BE5" w:rsidRPr="00FB0199" w:rsidRDefault="00F70BE5" w:rsidP="00CB6357">
            <w:pPr>
              <w:pStyle w:val="TableText0"/>
              <w:rPr>
                <w:snapToGrid w:val="0"/>
              </w:rPr>
            </w:pPr>
            <w:r w:rsidRPr="00FB0199">
              <w:rPr>
                <w:snapToGrid w:val="0"/>
              </w:rPr>
              <w:t>D’Avila et al (2015)</w:t>
            </w:r>
          </w:p>
          <w:p w14:paraId="368EDDC2" w14:textId="033AA992" w:rsidR="00F70BE5" w:rsidRPr="00FB0199" w:rsidRDefault="00F70BE5" w:rsidP="00CB6357">
            <w:pPr>
              <w:pStyle w:val="TableText0"/>
              <w:rPr>
                <w:snapToGrid w:val="0"/>
              </w:rPr>
            </w:pPr>
            <w:r w:rsidRPr="00FB0199">
              <w:rPr>
                <w:snapToGrid w:val="0"/>
              </w:rPr>
              <w:t>AMH levels &lt;3.32 ng/</w:t>
            </w:r>
            <w:r w:rsidR="00023800">
              <w:rPr>
                <w:snapToGrid w:val="0"/>
              </w:rPr>
              <w:t>mL</w:t>
            </w:r>
            <w:r w:rsidRPr="00FB0199">
              <w:rPr>
                <w:snapToGrid w:val="0"/>
              </w:rPr>
              <w:t xml:space="preserve"> prior to treatment versus RS post-treatment</w:t>
            </w:r>
          </w:p>
        </w:tc>
        <w:tc>
          <w:tcPr>
            <w:tcW w:w="956" w:type="pct"/>
          </w:tcPr>
          <w:p w14:paraId="21DE35B1" w14:textId="77777777" w:rsidR="00F70BE5" w:rsidRPr="00FB0199" w:rsidRDefault="00F70BE5" w:rsidP="0004250B">
            <w:pPr>
              <w:pStyle w:val="Tabletext1"/>
              <w:rPr>
                <w:snapToGrid w:val="0"/>
              </w:rPr>
            </w:pPr>
            <w:r w:rsidRPr="00FB0199">
              <w:rPr>
                <w:snapToGrid w:val="0"/>
              </w:rPr>
              <w:t>Sensitivity</w:t>
            </w:r>
          </w:p>
          <w:p w14:paraId="64BE9573" w14:textId="77777777" w:rsidR="00F70BE5" w:rsidRPr="00FB0199" w:rsidRDefault="00F70BE5" w:rsidP="0004250B">
            <w:pPr>
              <w:pStyle w:val="Tabletext1"/>
              <w:rPr>
                <w:snapToGrid w:val="0"/>
              </w:rPr>
            </w:pPr>
            <w:r w:rsidRPr="00FB0199">
              <w:rPr>
                <w:snapToGrid w:val="0"/>
              </w:rPr>
              <w:t>Specificity</w:t>
            </w:r>
          </w:p>
          <w:p w14:paraId="7E7847EC" w14:textId="77777777" w:rsidR="00F70BE5" w:rsidRPr="00FB0199" w:rsidRDefault="00F70BE5" w:rsidP="0004250B">
            <w:pPr>
              <w:pStyle w:val="Tabletext1"/>
              <w:rPr>
                <w:snapToGrid w:val="0"/>
              </w:rPr>
            </w:pPr>
            <w:r w:rsidRPr="00FB0199">
              <w:rPr>
                <w:snapToGrid w:val="0"/>
              </w:rPr>
              <w:t>LR+</w:t>
            </w:r>
          </w:p>
          <w:p w14:paraId="676C1F32" w14:textId="2BBAB1DE" w:rsidR="00F70BE5" w:rsidRPr="00FB0199" w:rsidRDefault="00856156" w:rsidP="0004250B">
            <w:pPr>
              <w:pStyle w:val="Tabletext1"/>
              <w:rPr>
                <w:snapToGrid w:val="0"/>
              </w:rPr>
            </w:pPr>
            <w:r>
              <w:rPr>
                <w:snapToGrid w:val="0"/>
              </w:rPr>
              <w:t>LR-</w:t>
            </w:r>
          </w:p>
        </w:tc>
        <w:tc>
          <w:tcPr>
            <w:tcW w:w="1005" w:type="pct"/>
          </w:tcPr>
          <w:p w14:paraId="39F5A1BF" w14:textId="77777777" w:rsidR="00F70BE5" w:rsidRPr="00FB0199" w:rsidRDefault="00F70BE5" w:rsidP="0004250B">
            <w:pPr>
              <w:pStyle w:val="Tabletext1"/>
              <w:rPr>
                <w:snapToGrid w:val="0"/>
              </w:rPr>
            </w:pPr>
            <w:r w:rsidRPr="00FB0199">
              <w:rPr>
                <w:snapToGrid w:val="0"/>
              </w:rPr>
              <w:t>85%</w:t>
            </w:r>
          </w:p>
          <w:p w14:paraId="1F4AFB66" w14:textId="77777777" w:rsidR="00F70BE5" w:rsidRPr="00FB0199" w:rsidRDefault="00F70BE5" w:rsidP="0004250B">
            <w:pPr>
              <w:pStyle w:val="Tabletext1"/>
              <w:rPr>
                <w:snapToGrid w:val="0"/>
              </w:rPr>
            </w:pPr>
            <w:r w:rsidRPr="00FB0199">
              <w:rPr>
                <w:snapToGrid w:val="0"/>
              </w:rPr>
              <w:t>75%</w:t>
            </w:r>
          </w:p>
          <w:p w14:paraId="1A9B37D2" w14:textId="77777777" w:rsidR="00F70BE5" w:rsidRPr="00FB0199" w:rsidRDefault="00F70BE5" w:rsidP="0004250B">
            <w:pPr>
              <w:pStyle w:val="Tabletext1"/>
              <w:rPr>
                <w:snapToGrid w:val="0"/>
              </w:rPr>
            </w:pPr>
            <w:r w:rsidRPr="00FB0199">
              <w:rPr>
                <w:snapToGrid w:val="0"/>
              </w:rPr>
              <w:t>3.40</w:t>
            </w:r>
          </w:p>
          <w:p w14:paraId="4FB93CDE" w14:textId="77777777" w:rsidR="00F70BE5" w:rsidRPr="00FB0199" w:rsidRDefault="00F70BE5" w:rsidP="0004250B">
            <w:pPr>
              <w:pStyle w:val="Tabletext1"/>
              <w:rPr>
                <w:snapToGrid w:val="0"/>
              </w:rPr>
            </w:pPr>
            <w:r w:rsidRPr="00FB0199">
              <w:rPr>
                <w:snapToGrid w:val="0"/>
              </w:rPr>
              <w:t>0.20</w:t>
            </w:r>
          </w:p>
        </w:tc>
        <w:tc>
          <w:tcPr>
            <w:tcW w:w="1018" w:type="pct"/>
          </w:tcPr>
          <w:p w14:paraId="1060F8BA" w14:textId="77777777" w:rsidR="00F70BE5" w:rsidRPr="00FB0199" w:rsidRDefault="00F70BE5" w:rsidP="0004250B">
            <w:pPr>
              <w:pStyle w:val="Tabletext1"/>
              <w:rPr>
                <w:snapToGrid w:val="0"/>
              </w:rPr>
            </w:pPr>
            <w:r w:rsidRPr="00FB0199">
              <w:rPr>
                <w:snapToGrid w:val="0"/>
              </w:rPr>
              <w:t>NA</w:t>
            </w:r>
          </w:p>
        </w:tc>
        <w:tc>
          <w:tcPr>
            <w:tcW w:w="941" w:type="pct"/>
          </w:tcPr>
          <w:p w14:paraId="7332B682" w14:textId="77777777" w:rsidR="00F70BE5" w:rsidRPr="00FB0199" w:rsidRDefault="00F70BE5" w:rsidP="0004250B">
            <w:pPr>
              <w:pStyle w:val="Tabletext1"/>
              <w:rPr>
                <w:snapToGrid w:val="0"/>
              </w:rPr>
            </w:pPr>
            <w:r w:rsidRPr="00FB0199">
              <w:rPr>
                <w:snapToGrid w:val="0"/>
              </w:rPr>
              <w:t>NA</w:t>
            </w:r>
          </w:p>
        </w:tc>
      </w:tr>
      <w:tr w:rsidR="00F70BE5" w:rsidRPr="001F3408" w14:paraId="22752456" w14:textId="77777777" w:rsidTr="009B1C7A">
        <w:tc>
          <w:tcPr>
            <w:tcW w:w="1080" w:type="pct"/>
          </w:tcPr>
          <w:p w14:paraId="72EDFEA4" w14:textId="77777777" w:rsidR="00F70BE5" w:rsidRPr="00FB0199" w:rsidRDefault="00F70BE5" w:rsidP="00CB6357">
            <w:pPr>
              <w:pStyle w:val="TableText0"/>
              <w:rPr>
                <w:snapToGrid w:val="0"/>
              </w:rPr>
            </w:pPr>
            <w:r w:rsidRPr="00FB0199">
              <w:rPr>
                <w:snapToGrid w:val="0"/>
              </w:rPr>
              <w:t>Henry et al. (2014)</w:t>
            </w:r>
          </w:p>
          <w:p w14:paraId="2F4EC1CE" w14:textId="77777777" w:rsidR="00F70BE5" w:rsidRPr="00FB0199" w:rsidRDefault="00F70BE5" w:rsidP="00CB6357">
            <w:pPr>
              <w:pStyle w:val="TableText0"/>
              <w:rPr>
                <w:snapToGrid w:val="0"/>
              </w:rPr>
            </w:pPr>
            <w:r w:rsidRPr="00FB0199">
              <w:rPr>
                <w:snapToGrid w:val="0"/>
              </w:rPr>
              <w:t>Undetectable AMH levels prior to treatment versus RS post-treatment</w:t>
            </w:r>
          </w:p>
        </w:tc>
        <w:tc>
          <w:tcPr>
            <w:tcW w:w="956" w:type="pct"/>
          </w:tcPr>
          <w:p w14:paraId="7B6DC8C9" w14:textId="77777777" w:rsidR="00F70BE5" w:rsidRPr="00FB0199" w:rsidRDefault="00F70BE5" w:rsidP="0004250B">
            <w:pPr>
              <w:pStyle w:val="Tabletext1"/>
              <w:rPr>
                <w:snapToGrid w:val="0"/>
              </w:rPr>
            </w:pPr>
            <w:r w:rsidRPr="00FB0199">
              <w:rPr>
                <w:snapToGrid w:val="0"/>
              </w:rPr>
              <w:t>Sensitivity</w:t>
            </w:r>
          </w:p>
          <w:p w14:paraId="3DBCB5C4" w14:textId="77777777" w:rsidR="00F70BE5" w:rsidRPr="00FB0199" w:rsidRDefault="00F70BE5" w:rsidP="0004250B">
            <w:pPr>
              <w:pStyle w:val="Tabletext1"/>
              <w:rPr>
                <w:snapToGrid w:val="0"/>
              </w:rPr>
            </w:pPr>
            <w:r w:rsidRPr="00FB0199">
              <w:rPr>
                <w:snapToGrid w:val="0"/>
              </w:rPr>
              <w:t>Specificity</w:t>
            </w:r>
          </w:p>
          <w:p w14:paraId="0B95E5AA" w14:textId="77777777" w:rsidR="00F70BE5" w:rsidRPr="00FB0199" w:rsidRDefault="00F70BE5" w:rsidP="0004250B">
            <w:pPr>
              <w:pStyle w:val="Tabletext1"/>
              <w:rPr>
                <w:snapToGrid w:val="0"/>
              </w:rPr>
            </w:pPr>
            <w:r w:rsidRPr="00FB0199">
              <w:rPr>
                <w:snapToGrid w:val="0"/>
              </w:rPr>
              <w:t>LR+</w:t>
            </w:r>
          </w:p>
          <w:p w14:paraId="10986CD9" w14:textId="0C658E49" w:rsidR="00F70BE5" w:rsidRPr="00FB0199" w:rsidRDefault="00856156" w:rsidP="0004250B">
            <w:pPr>
              <w:pStyle w:val="Tabletext1"/>
              <w:rPr>
                <w:snapToGrid w:val="0"/>
              </w:rPr>
            </w:pPr>
            <w:r>
              <w:rPr>
                <w:snapToGrid w:val="0"/>
              </w:rPr>
              <w:t>LR-</w:t>
            </w:r>
          </w:p>
        </w:tc>
        <w:tc>
          <w:tcPr>
            <w:tcW w:w="1005" w:type="pct"/>
          </w:tcPr>
          <w:p w14:paraId="42947C40" w14:textId="77777777" w:rsidR="00F70BE5" w:rsidRPr="00FB0199" w:rsidRDefault="00F70BE5" w:rsidP="0004250B">
            <w:pPr>
              <w:pStyle w:val="Tabletext1"/>
              <w:rPr>
                <w:snapToGrid w:val="0"/>
              </w:rPr>
            </w:pPr>
            <w:r w:rsidRPr="00FB0199">
              <w:rPr>
                <w:snapToGrid w:val="0"/>
              </w:rPr>
              <w:t>NA</w:t>
            </w:r>
          </w:p>
        </w:tc>
        <w:tc>
          <w:tcPr>
            <w:tcW w:w="1018" w:type="pct"/>
          </w:tcPr>
          <w:p w14:paraId="556F7EA9" w14:textId="77777777" w:rsidR="00F70BE5" w:rsidRPr="00FB0199" w:rsidRDefault="00F70BE5" w:rsidP="0004250B">
            <w:pPr>
              <w:pStyle w:val="Tabletext1"/>
              <w:rPr>
                <w:snapToGrid w:val="0"/>
              </w:rPr>
            </w:pPr>
            <w:r w:rsidRPr="00FB0199">
              <w:rPr>
                <w:snapToGrid w:val="0"/>
              </w:rPr>
              <w:t>NA</w:t>
            </w:r>
          </w:p>
        </w:tc>
        <w:tc>
          <w:tcPr>
            <w:tcW w:w="941" w:type="pct"/>
          </w:tcPr>
          <w:p w14:paraId="315B0A50" w14:textId="77777777" w:rsidR="00F70BE5" w:rsidRPr="00FB0199" w:rsidRDefault="00F70BE5" w:rsidP="0004250B">
            <w:pPr>
              <w:pStyle w:val="Tabletext1"/>
              <w:rPr>
                <w:snapToGrid w:val="0"/>
              </w:rPr>
            </w:pPr>
            <w:r w:rsidRPr="00FB0199">
              <w:rPr>
                <w:snapToGrid w:val="0"/>
              </w:rPr>
              <w:t>95% [74, 100]</w:t>
            </w:r>
          </w:p>
          <w:p w14:paraId="0CA76EA4" w14:textId="77777777" w:rsidR="00F70BE5" w:rsidRPr="00FB0199" w:rsidRDefault="00F70BE5" w:rsidP="0004250B">
            <w:pPr>
              <w:pStyle w:val="Tabletext1"/>
              <w:rPr>
                <w:snapToGrid w:val="0"/>
              </w:rPr>
            </w:pPr>
            <w:r w:rsidRPr="00FB0199">
              <w:rPr>
                <w:snapToGrid w:val="0"/>
              </w:rPr>
              <w:t>86% [42, 100]</w:t>
            </w:r>
          </w:p>
          <w:p w14:paraId="0E4C3950" w14:textId="77777777" w:rsidR="00F70BE5" w:rsidRPr="00FB0199" w:rsidRDefault="00F70BE5" w:rsidP="0004250B">
            <w:pPr>
              <w:pStyle w:val="Tabletext1"/>
              <w:rPr>
                <w:snapToGrid w:val="0"/>
              </w:rPr>
            </w:pPr>
            <w:r w:rsidRPr="00FB0199">
              <w:rPr>
                <w:snapToGrid w:val="0"/>
              </w:rPr>
              <w:t>6.63 [1.08, 40.84]</w:t>
            </w:r>
          </w:p>
          <w:p w14:paraId="1D3F5A3A" w14:textId="77777777" w:rsidR="00F70BE5" w:rsidRDefault="00F70BE5" w:rsidP="0004250B">
            <w:pPr>
              <w:pStyle w:val="Tabletext1"/>
              <w:rPr>
                <w:snapToGrid w:val="0"/>
              </w:rPr>
            </w:pPr>
            <w:r w:rsidRPr="00FB0199">
              <w:rPr>
                <w:snapToGrid w:val="0"/>
              </w:rPr>
              <w:t>0.06 [0.01, 0.42]</w:t>
            </w:r>
          </w:p>
        </w:tc>
      </w:tr>
    </w:tbl>
    <w:p w14:paraId="02FFB2BD" w14:textId="76A8D251" w:rsidR="00F70BE5" w:rsidRPr="00F85BC1" w:rsidRDefault="00F70BE5" w:rsidP="00856156">
      <w:pPr>
        <w:pStyle w:val="Tablenotes0"/>
        <w:spacing w:after="240"/>
      </w:pPr>
      <w:r w:rsidRPr="00F85BC1">
        <w:t xml:space="preserve">AMH = anti-Müllerian hormone; CI = confidence interval; EIA = enzyme Immunoassay; </w:t>
      </w:r>
      <w:r>
        <w:t xml:space="preserve">LR+ </w:t>
      </w:r>
      <w:r w:rsidR="00856156">
        <w:t xml:space="preserve">= positive likelihood ratio; LR- </w:t>
      </w:r>
      <w:r>
        <w:t xml:space="preserve">= negative likelihood ratio; NA = not applicable; </w:t>
      </w:r>
      <w:r w:rsidRPr="00F85BC1">
        <w:t>MIS = Mü</w:t>
      </w:r>
      <w:r w:rsidR="005070FC">
        <w:t>llerian-inhibiting</w:t>
      </w:r>
      <w:r w:rsidRPr="00F85BC1">
        <w:t xml:space="preserve"> substance</w:t>
      </w:r>
      <w:r>
        <w:t>; RS = reference standard</w:t>
      </w:r>
    </w:p>
    <w:p w14:paraId="2678B8AE" w14:textId="77777777" w:rsidR="00F70BE5" w:rsidRDefault="00F70BE5" w:rsidP="00F70BE5">
      <w:pPr>
        <w:spacing w:after="0" w:line="240" w:lineRule="auto"/>
        <w:jc w:val="center"/>
        <w:rPr>
          <w:color w:val="000000" w:themeColor="text1"/>
        </w:rPr>
      </w:pPr>
      <w:r>
        <w:rPr>
          <w:noProof/>
          <w:color w:val="000000" w:themeColor="text1"/>
        </w:rPr>
        <w:drawing>
          <wp:inline distT="0" distB="0" distL="0" distR="0" wp14:anchorId="04B253A8" wp14:editId="07719519">
            <wp:extent cx="5727700" cy="3042655"/>
            <wp:effectExtent l="0" t="0" r="6350" b="5715"/>
            <wp:docPr id="9" name="Picture 9" descr="PPV values with increasing prevalence of treatment-induced ovarian failure from 20% to 80% (AMH measured prior to treatment)" title="PPV values with increasing prevalence of treatment-induced ovarian failure from 20% to 80% (AMH measured prior to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4448" cy="3051552"/>
                    </a:xfrm>
                    <a:prstGeom prst="rect">
                      <a:avLst/>
                    </a:prstGeom>
                    <a:noFill/>
                  </pic:spPr>
                </pic:pic>
              </a:graphicData>
            </a:graphic>
          </wp:inline>
        </w:drawing>
      </w:r>
    </w:p>
    <w:p w14:paraId="0051B1A6" w14:textId="762DAA02" w:rsidR="00F70BE5" w:rsidRDefault="00F70BE5" w:rsidP="006D275B">
      <w:pPr>
        <w:pStyle w:val="TableHeading"/>
        <w:ind w:left="993" w:hanging="993"/>
        <w:rPr>
          <w:color w:val="000000" w:themeColor="text1"/>
        </w:rPr>
      </w:pPr>
      <w:bookmarkStart w:id="337" w:name="_Ref501612620"/>
      <w:bookmarkStart w:id="338" w:name="_Toc502833120"/>
      <w:r>
        <w:t xml:space="preserve">Figure </w:t>
      </w:r>
      <w:r w:rsidR="00AC4BE5">
        <w:fldChar w:fldCharType="begin"/>
      </w:r>
      <w:r w:rsidR="00AC4BE5">
        <w:instrText xml:space="preserve"> SEQ Figure \* ARABIC </w:instrText>
      </w:r>
      <w:r w:rsidR="00AC4BE5">
        <w:fldChar w:fldCharType="separate"/>
      </w:r>
      <w:r w:rsidR="00AC4BE5">
        <w:rPr>
          <w:noProof/>
        </w:rPr>
        <w:t>6</w:t>
      </w:r>
      <w:r w:rsidR="00AC4BE5">
        <w:rPr>
          <w:noProof/>
        </w:rPr>
        <w:fldChar w:fldCharType="end"/>
      </w:r>
      <w:bookmarkEnd w:id="337"/>
      <w:r>
        <w:tab/>
        <w:t>PPV values with increasing prevalence of treatment-induced ovarian failure from 20% to 80%</w:t>
      </w:r>
      <w:r w:rsidR="00856156">
        <w:t xml:space="preserve">, </w:t>
      </w:r>
      <w:r w:rsidR="00FB0199">
        <w:t>AMH measured prior to treatment</w:t>
      </w:r>
      <w:bookmarkEnd w:id="338"/>
    </w:p>
    <w:p w14:paraId="5918EDE4" w14:textId="77777777" w:rsidR="00F70BE5" w:rsidRDefault="00F70BE5" w:rsidP="00F70BE5">
      <w:pPr>
        <w:pStyle w:val="Tablenotes0"/>
      </w:pPr>
      <w:r w:rsidRPr="00FB0199">
        <w:t>Anders = PPV for DSL ACTIVE</w:t>
      </w:r>
      <w:r w:rsidRPr="00FB0199">
        <w:rPr>
          <w:vertAlign w:val="superscript"/>
        </w:rPr>
        <w:t>®</w:t>
      </w:r>
      <w:r w:rsidRPr="00FB0199">
        <w:t xml:space="preserve"> AMH/MIS ELISA from Anders et al. (2008); D’Avila = PPV for EIA AMH/MIS assay from D’Avila et al. (2015); Henry = PPV for AMH Gen II ELISA from Henry et al. (2014)</w:t>
      </w:r>
    </w:p>
    <w:p w14:paraId="4351C7E8" w14:textId="5972DA45" w:rsidR="009C25E2" w:rsidRPr="009C25E2" w:rsidRDefault="009C25E2" w:rsidP="009C25E2">
      <w:pPr>
        <w:jc w:val="both"/>
        <w:rPr>
          <w:color w:val="000000" w:themeColor="text1"/>
        </w:rPr>
      </w:pPr>
      <w:r w:rsidRPr="007C39A8">
        <w:rPr>
          <w:color w:val="000000" w:themeColor="text1"/>
        </w:rPr>
        <w:t>Women who have treatment associated with a low risk (20–30%) of ovarian failure, tested using the generation 1 DSL ACTIVE® AMH/MIS ELISA or EIA AMH/MIS assays, have a PPV of 0.</w:t>
      </w:r>
      <w:r>
        <w:rPr>
          <w:color w:val="000000" w:themeColor="text1"/>
        </w:rPr>
        <w:t xml:space="preserve">46 to </w:t>
      </w:r>
      <w:r w:rsidRPr="007C39A8">
        <w:rPr>
          <w:color w:val="000000" w:themeColor="text1"/>
        </w:rPr>
        <w:t>0.</w:t>
      </w:r>
      <w:r>
        <w:rPr>
          <w:color w:val="000000" w:themeColor="text1"/>
        </w:rPr>
        <w:t>60</w:t>
      </w:r>
      <w:r w:rsidRPr="007C39A8">
        <w:rPr>
          <w:color w:val="000000" w:themeColor="text1"/>
        </w:rPr>
        <w:t xml:space="preserve"> indicating that </w:t>
      </w:r>
      <w:r>
        <w:rPr>
          <w:color w:val="000000" w:themeColor="text1"/>
        </w:rPr>
        <w:t>approximately half</w:t>
      </w:r>
      <w:r w:rsidRPr="007C39A8">
        <w:rPr>
          <w:color w:val="000000" w:themeColor="text1"/>
        </w:rPr>
        <w:t xml:space="preserve"> of the women with a positive test result would actually have resumption of menses. This is </w:t>
      </w:r>
      <w:r>
        <w:rPr>
          <w:color w:val="000000" w:themeColor="text1"/>
        </w:rPr>
        <w:t>equivalent to</w:t>
      </w:r>
      <w:r w:rsidRPr="007C39A8">
        <w:rPr>
          <w:color w:val="000000" w:themeColor="text1"/>
        </w:rPr>
        <w:t xml:space="preserve"> chance</w:t>
      </w:r>
      <w:r w:rsidRPr="00C70E9D">
        <w:t xml:space="preserve"> </w:t>
      </w:r>
      <w:r w:rsidRPr="00C70E9D">
        <w:rPr>
          <w:color w:val="000000" w:themeColor="text1"/>
        </w:rPr>
        <w:t>and is not clinically useful</w:t>
      </w:r>
      <w:r w:rsidRPr="007C39A8">
        <w:rPr>
          <w:color w:val="000000" w:themeColor="text1"/>
        </w:rPr>
        <w:t xml:space="preserve">. Conversely, of the women having treatment with a high risk (70–80%) of ovarian failure, </w:t>
      </w:r>
      <w:r>
        <w:rPr>
          <w:color w:val="000000" w:themeColor="text1"/>
        </w:rPr>
        <w:t xml:space="preserve">89 to </w:t>
      </w:r>
      <w:r w:rsidRPr="007C39A8">
        <w:rPr>
          <w:color w:val="000000" w:themeColor="text1"/>
        </w:rPr>
        <w:t>9</w:t>
      </w:r>
      <w:r>
        <w:rPr>
          <w:color w:val="000000" w:themeColor="text1"/>
        </w:rPr>
        <w:t>3</w:t>
      </w:r>
      <w:r w:rsidRPr="007C39A8">
        <w:rPr>
          <w:color w:val="000000" w:themeColor="text1"/>
        </w:rPr>
        <w:t xml:space="preserve">% with a positive </w:t>
      </w:r>
      <w:r w:rsidRPr="00C70E9D">
        <w:rPr>
          <w:color w:val="000000" w:themeColor="text1"/>
        </w:rPr>
        <w:t>DSL ACTIVE® AMH/MIS ELISA or EIA AMH/MIS assay</w:t>
      </w:r>
      <w:r>
        <w:rPr>
          <w:color w:val="000000" w:themeColor="text1"/>
        </w:rPr>
        <w:t xml:space="preserve"> result</w:t>
      </w:r>
      <w:r w:rsidRPr="00C70E9D">
        <w:rPr>
          <w:color w:val="000000" w:themeColor="text1"/>
        </w:rPr>
        <w:t xml:space="preserve"> </w:t>
      </w:r>
      <w:r w:rsidRPr="007C39A8">
        <w:rPr>
          <w:color w:val="000000" w:themeColor="text1"/>
        </w:rPr>
        <w:t xml:space="preserve">would have resumption of menses. Thus, a positive test result only offers useful information to women having </w:t>
      </w:r>
      <w:r>
        <w:rPr>
          <w:color w:val="000000" w:themeColor="text1"/>
        </w:rPr>
        <w:t xml:space="preserve">intermediate to </w:t>
      </w:r>
      <w:r w:rsidRPr="007C39A8">
        <w:rPr>
          <w:color w:val="000000" w:themeColor="text1"/>
        </w:rPr>
        <w:t>high</w:t>
      </w:r>
      <w:r w:rsidR="002E5D5E">
        <w:rPr>
          <w:color w:val="000000" w:themeColor="text1"/>
        </w:rPr>
        <w:t>-</w:t>
      </w:r>
      <w:r>
        <w:rPr>
          <w:color w:val="000000" w:themeColor="text1"/>
        </w:rPr>
        <w:t xml:space="preserve">risk </w:t>
      </w:r>
      <w:r>
        <w:rPr>
          <w:color w:val="000000" w:themeColor="text1"/>
        </w:rPr>
        <w:lastRenderedPageBreak/>
        <w:t>treatment.</w:t>
      </w:r>
      <w:r w:rsidRPr="007C39A8">
        <w:rPr>
          <w:color w:val="000000" w:themeColor="text1"/>
        </w:rPr>
        <w:t xml:space="preserve"> </w:t>
      </w:r>
      <w:r>
        <w:rPr>
          <w:color w:val="000000" w:themeColor="text1"/>
        </w:rPr>
        <w:t>In this scenario,</w:t>
      </w:r>
      <w:r w:rsidRPr="007C39A8">
        <w:rPr>
          <w:color w:val="000000" w:themeColor="text1"/>
        </w:rPr>
        <w:t xml:space="preserve"> at least 7</w:t>
      </w:r>
      <w:r>
        <w:rPr>
          <w:color w:val="000000" w:themeColor="text1"/>
        </w:rPr>
        <w:t>6</w:t>
      </w:r>
      <w:r w:rsidRPr="007C39A8">
        <w:rPr>
          <w:color w:val="000000" w:themeColor="text1"/>
        </w:rPr>
        <w:t xml:space="preserve">% of women </w:t>
      </w:r>
      <w:r>
        <w:rPr>
          <w:color w:val="000000" w:themeColor="text1"/>
        </w:rPr>
        <w:t>with a ≥50% risk and</w:t>
      </w:r>
      <w:r w:rsidRPr="007C39A8">
        <w:rPr>
          <w:color w:val="000000" w:themeColor="text1"/>
        </w:rPr>
        <w:t xml:space="preserve"> a positive result </w:t>
      </w:r>
      <w:r>
        <w:rPr>
          <w:color w:val="000000" w:themeColor="text1"/>
        </w:rPr>
        <w:t xml:space="preserve">would </w:t>
      </w:r>
      <w:r w:rsidRPr="007C39A8">
        <w:rPr>
          <w:color w:val="000000" w:themeColor="text1"/>
        </w:rPr>
        <w:t xml:space="preserve">actually </w:t>
      </w:r>
      <w:r>
        <w:rPr>
          <w:color w:val="000000" w:themeColor="text1"/>
        </w:rPr>
        <w:t>resume</w:t>
      </w:r>
      <w:r w:rsidRPr="007C39A8">
        <w:rPr>
          <w:color w:val="000000" w:themeColor="text1"/>
        </w:rPr>
        <w:t xml:space="preserve"> menses and thus </w:t>
      </w:r>
      <w:r>
        <w:rPr>
          <w:color w:val="000000" w:themeColor="text1"/>
        </w:rPr>
        <w:t>be</w:t>
      </w:r>
      <w:r w:rsidRPr="007C39A8">
        <w:rPr>
          <w:color w:val="000000" w:themeColor="text1"/>
        </w:rPr>
        <w:t xml:space="preserve"> true positives (</w:t>
      </w:r>
      <w:r w:rsidR="00C86372">
        <w:rPr>
          <w:color w:val="000000" w:themeColor="text1"/>
        </w:rPr>
        <w:fldChar w:fldCharType="begin"/>
      </w:r>
      <w:r w:rsidR="00C86372">
        <w:rPr>
          <w:color w:val="000000" w:themeColor="text1"/>
        </w:rPr>
        <w:instrText xml:space="preserve"> REF _Ref501612620 \h </w:instrText>
      </w:r>
      <w:r w:rsidR="00C86372">
        <w:rPr>
          <w:color w:val="000000" w:themeColor="text1"/>
        </w:rPr>
      </w:r>
      <w:r w:rsidR="00C86372">
        <w:rPr>
          <w:color w:val="000000" w:themeColor="text1"/>
        </w:rPr>
        <w:fldChar w:fldCharType="separate"/>
      </w:r>
      <w:r w:rsidR="00AC4BE5">
        <w:t xml:space="preserve">Figure </w:t>
      </w:r>
      <w:r w:rsidR="00AC4BE5">
        <w:rPr>
          <w:noProof/>
        </w:rPr>
        <w:t>6</w:t>
      </w:r>
      <w:r w:rsidR="00C86372">
        <w:rPr>
          <w:color w:val="000000" w:themeColor="text1"/>
        </w:rPr>
        <w:fldChar w:fldCharType="end"/>
      </w:r>
      <w:r w:rsidRPr="007C39A8">
        <w:rPr>
          <w:color w:val="000000" w:themeColor="text1"/>
        </w:rPr>
        <w:t>).</w:t>
      </w:r>
    </w:p>
    <w:p w14:paraId="2C6B33B3" w14:textId="77777777" w:rsidR="00F70BE5" w:rsidRDefault="00F70BE5" w:rsidP="00F70BE5">
      <w:pPr>
        <w:spacing w:after="0" w:line="240" w:lineRule="auto"/>
        <w:jc w:val="center"/>
        <w:rPr>
          <w:color w:val="000000" w:themeColor="text1"/>
        </w:rPr>
      </w:pPr>
      <w:r>
        <w:rPr>
          <w:noProof/>
          <w:color w:val="000000" w:themeColor="text1"/>
        </w:rPr>
        <w:drawing>
          <wp:inline distT="0" distB="0" distL="0" distR="0" wp14:anchorId="5CEE0691" wp14:editId="76669969">
            <wp:extent cx="5683250" cy="3365613"/>
            <wp:effectExtent l="0" t="0" r="0" b="6350"/>
            <wp:docPr id="10" name="Picture 10" descr="NPV values with increasing prevalence of treatment-induced ovarian failure from 20% to 80% (AMH measured prior to treatment)" title="NPV values with increasing prevalence of treatment-induced ovarian failure from 20% to 80% (AMH measured prior to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5292" cy="3372744"/>
                    </a:xfrm>
                    <a:prstGeom prst="rect">
                      <a:avLst/>
                    </a:prstGeom>
                    <a:noFill/>
                  </pic:spPr>
                </pic:pic>
              </a:graphicData>
            </a:graphic>
          </wp:inline>
        </w:drawing>
      </w:r>
    </w:p>
    <w:p w14:paraId="27AB2329" w14:textId="0951EFA5" w:rsidR="00F70BE5" w:rsidRDefault="00F70BE5" w:rsidP="006D275B">
      <w:pPr>
        <w:pStyle w:val="TableHeading"/>
        <w:ind w:left="993" w:hanging="993"/>
        <w:rPr>
          <w:color w:val="000000" w:themeColor="text1"/>
        </w:rPr>
      </w:pPr>
      <w:bookmarkStart w:id="339" w:name="_Ref496626527"/>
      <w:bookmarkStart w:id="340" w:name="_Toc502833121"/>
      <w:r>
        <w:t xml:space="preserve">Figure </w:t>
      </w:r>
      <w:r w:rsidR="00AC4BE5">
        <w:fldChar w:fldCharType="begin"/>
      </w:r>
      <w:r w:rsidR="00AC4BE5">
        <w:instrText xml:space="preserve"> SEQ Figure \* ARABIC </w:instrText>
      </w:r>
      <w:r w:rsidR="00AC4BE5">
        <w:fldChar w:fldCharType="separate"/>
      </w:r>
      <w:r w:rsidR="00AC4BE5">
        <w:rPr>
          <w:noProof/>
        </w:rPr>
        <w:t>7</w:t>
      </w:r>
      <w:r w:rsidR="00AC4BE5">
        <w:rPr>
          <w:noProof/>
        </w:rPr>
        <w:fldChar w:fldCharType="end"/>
      </w:r>
      <w:bookmarkEnd w:id="339"/>
      <w:r>
        <w:tab/>
        <w:t>NPV values with increasing prevalence of treatment-induced ovarian failure from 20% to 80%</w:t>
      </w:r>
      <w:r w:rsidR="00CF5B65">
        <w:t xml:space="preserve">, </w:t>
      </w:r>
      <w:r w:rsidR="00FB0199">
        <w:t>AMH measured prior to treatment</w:t>
      </w:r>
      <w:bookmarkEnd w:id="340"/>
    </w:p>
    <w:p w14:paraId="6B709A28" w14:textId="77777777" w:rsidR="00F70BE5" w:rsidRDefault="00F70BE5" w:rsidP="00CF5B65">
      <w:pPr>
        <w:pStyle w:val="Tablenotes0"/>
        <w:spacing w:after="240"/>
      </w:pPr>
      <w:r w:rsidRPr="00FB0199">
        <w:t>Anders = NPV for DSL ACTIVE</w:t>
      </w:r>
      <w:r w:rsidRPr="00FB0199">
        <w:rPr>
          <w:vertAlign w:val="superscript"/>
        </w:rPr>
        <w:t>®</w:t>
      </w:r>
      <w:r w:rsidRPr="00FB0199">
        <w:t xml:space="preserve"> AMH/MIS ELISA from Anders et al. (2008); D’Avila = NPV for EIA AMH/MIS assay from D’Avila et al. (2015); Henry = NPV for AMH Gen II ELISA from Henry et al. (2014)</w:t>
      </w:r>
    </w:p>
    <w:p w14:paraId="258AD1DF" w14:textId="421A475E" w:rsidR="00F70BE5" w:rsidRPr="007C39A8" w:rsidRDefault="00F70BE5" w:rsidP="00F70BE5">
      <w:pPr>
        <w:jc w:val="both"/>
        <w:rPr>
          <w:color w:val="000000" w:themeColor="text1"/>
        </w:rPr>
      </w:pPr>
      <w:r w:rsidRPr="007C39A8">
        <w:rPr>
          <w:color w:val="000000" w:themeColor="text1"/>
        </w:rPr>
        <w:t>On the other hand, a negative test result only offers useful information to women having low</w:t>
      </w:r>
      <w:r w:rsidR="002E5D5E">
        <w:rPr>
          <w:color w:val="000000" w:themeColor="text1"/>
        </w:rPr>
        <w:t>-</w:t>
      </w:r>
      <w:r w:rsidRPr="007C39A8">
        <w:rPr>
          <w:color w:val="000000" w:themeColor="text1"/>
        </w:rPr>
        <w:t xml:space="preserve">risk treatment, where the NPV indicated that </w:t>
      </w:r>
      <w:r>
        <w:rPr>
          <w:color w:val="000000" w:themeColor="text1"/>
        </w:rPr>
        <w:t>88</w:t>
      </w:r>
      <w:r w:rsidR="00CF5B65">
        <w:rPr>
          <w:color w:val="000000" w:themeColor="text1"/>
        </w:rPr>
        <w:t xml:space="preserve"> to </w:t>
      </w:r>
      <w:r>
        <w:rPr>
          <w:color w:val="000000" w:themeColor="text1"/>
        </w:rPr>
        <w:t>95</w:t>
      </w:r>
      <w:r w:rsidRPr="007C39A8">
        <w:rPr>
          <w:color w:val="000000" w:themeColor="text1"/>
        </w:rPr>
        <w:t xml:space="preserve">% of women with a negative test result would not have resumption of menses. </w:t>
      </w:r>
      <w:r w:rsidR="00CF5B65">
        <w:rPr>
          <w:color w:val="000000" w:themeColor="text1"/>
        </w:rPr>
        <w:t>Among</w:t>
      </w:r>
      <w:r w:rsidRPr="007C39A8">
        <w:rPr>
          <w:color w:val="000000" w:themeColor="text1"/>
        </w:rPr>
        <w:t xml:space="preserve"> women having treatment with a high risk of ovarian failure, </w:t>
      </w:r>
      <w:r>
        <w:rPr>
          <w:color w:val="000000" w:themeColor="text1"/>
        </w:rPr>
        <w:t>44</w:t>
      </w:r>
      <w:r w:rsidR="00CF5B65">
        <w:rPr>
          <w:color w:val="000000" w:themeColor="text1"/>
        </w:rPr>
        <w:t xml:space="preserve"> to </w:t>
      </w:r>
      <w:r>
        <w:rPr>
          <w:color w:val="000000" w:themeColor="text1"/>
        </w:rPr>
        <w:t>68</w:t>
      </w:r>
      <w:r w:rsidRPr="007C39A8">
        <w:rPr>
          <w:color w:val="000000" w:themeColor="text1"/>
        </w:rPr>
        <w:t>% with a negative test result would not have resumption of menses (</w:t>
      </w:r>
      <w:r w:rsidR="00C86372">
        <w:rPr>
          <w:color w:val="000000" w:themeColor="text1"/>
        </w:rPr>
        <w:fldChar w:fldCharType="begin"/>
      </w:r>
      <w:r w:rsidR="00C86372">
        <w:rPr>
          <w:color w:val="000000" w:themeColor="text1"/>
        </w:rPr>
        <w:instrText xml:space="preserve"> REF _Ref496626527 \h </w:instrText>
      </w:r>
      <w:r w:rsidR="00C86372">
        <w:rPr>
          <w:color w:val="000000" w:themeColor="text1"/>
        </w:rPr>
      </w:r>
      <w:r w:rsidR="00C86372">
        <w:rPr>
          <w:color w:val="000000" w:themeColor="text1"/>
        </w:rPr>
        <w:fldChar w:fldCharType="separate"/>
      </w:r>
      <w:r w:rsidR="00AC4BE5">
        <w:t xml:space="preserve">Figure </w:t>
      </w:r>
      <w:r w:rsidR="00AC4BE5">
        <w:rPr>
          <w:noProof/>
        </w:rPr>
        <w:t>7</w:t>
      </w:r>
      <w:r w:rsidR="00C86372">
        <w:rPr>
          <w:color w:val="000000" w:themeColor="text1"/>
        </w:rPr>
        <w:fldChar w:fldCharType="end"/>
      </w:r>
      <w:r w:rsidRPr="007C39A8">
        <w:rPr>
          <w:color w:val="000000" w:themeColor="text1"/>
        </w:rPr>
        <w:t xml:space="preserve">). This is </w:t>
      </w:r>
      <w:r>
        <w:rPr>
          <w:color w:val="000000" w:themeColor="text1"/>
        </w:rPr>
        <w:t>equivalent to</w:t>
      </w:r>
      <w:r w:rsidR="00CF5B65">
        <w:rPr>
          <w:color w:val="000000" w:themeColor="text1"/>
        </w:rPr>
        <w:t xml:space="preserve"> chance and not clinically useful.</w:t>
      </w:r>
    </w:p>
    <w:p w14:paraId="595A975B" w14:textId="73FC54B4" w:rsidR="007518CF" w:rsidRDefault="00F70BE5" w:rsidP="00F70BE5">
      <w:pPr>
        <w:jc w:val="both"/>
        <w:rPr>
          <w:color w:val="000000" w:themeColor="text1"/>
        </w:rPr>
      </w:pPr>
      <w:r w:rsidRPr="007C39A8">
        <w:rPr>
          <w:color w:val="000000" w:themeColor="text1"/>
        </w:rPr>
        <w:t>The poi</w:t>
      </w:r>
      <w:r w:rsidR="00CF5B65">
        <w:rPr>
          <w:color w:val="000000" w:themeColor="text1"/>
        </w:rPr>
        <w:t>nt estimates for the LR+ and LR-</w:t>
      </w:r>
      <w:r w:rsidRPr="007C39A8">
        <w:rPr>
          <w:color w:val="000000" w:themeColor="text1"/>
        </w:rPr>
        <w:t xml:space="preserve"> calculated for the DSL ACTIVE® AMH/MIS ELISA and EIA AMH/MIS assays, confirm the conclusions reached due to the PPV and NPV values. </w:t>
      </w:r>
      <w:r w:rsidRPr="00C70E9D">
        <w:rPr>
          <w:color w:val="000000" w:themeColor="text1"/>
        </w:rPr>
        <w:t xml:space="preserve">The LR+ point estimate </w:t>
      </w:r>
      <w:r w:rsidRPr="00CC6ABE">
        <w:rPr>
          <w:color w:val="000000" w:themeColor="text1"/>
        </w:rPr>
        <w:t>and 95%CIs</w:t>
      </w:r>
      <w:r>
        <w:rPr>
          <w:color w:val="000000" w:themeColor="text1"/>
        </w:rPr>
        <w:t xml:space="preserve"> </w:t>
      </w:r>
      <w:r w:rsidR="00CF5B65">
        <w:rPr>
          <w:color w:val="000000" w:themeColor="text1"/>
        </w:rPr>
        <w:t>for the DSL ACTIVE® AMH/MIS ELISA</w:t>
      </w:r>
      <w:r w:rsidRPr="00CC6ABE">
        <w:rPr>
          <w:color w:val="000000" w:themeColor="text1"/>
        </w:rPr>
        <w:t xml:space="preserve"> </w:t>
      </w:r>
      <w:r w:rsidRPr="00C70E9D">
        <w:rPr>
          <w:color w:val="000000" w:themeColor="text1"/>
        </w:rPr>
        <w:t xml:space="preserve">indicate </w:t>
      </w:r>
      <w:r>
        <w:rPr>
          <w:color w:val="000000" w:themeColor="text1"/>
        </w:rPr>
        <w:t>that a positive test result is 3</w:t>
      </w:r>
      <w:r w:rsidR="00CF5B65">
        <w:rPr>
          <w:color w:val="000000" w:themeColor="text1"/>
        </w:rPr>
        <w:t>.5</w:t>
      </w:r>
      <w:r w:rsidR="006F03FF">
        <w:rPr>
          <w:color w:val="000000" w:themeColor="text1"/>
        </w:rPr>
        <w:t xml:space="preserve"> </w:t>
      </w:r>
      <w:r w:rsidR="00CF5B65">
        <w:rPr>
          <w:color w:val="000000" w:themeColor="text1"/>
        </w:rPr>
        <w:t xml:space="preserve">times more likely, </w:t>
      </w:r>
      <w:r>
        <w:rPr>
          <w:color w:val="000000" w:themeColor="text1"/>
        </w:rPr>
        <w:t xml:space="preserve">or </w:t>
      </w:r>
      <w:r w:rsidRPr="00CC6ABE">
        <w:rPr>
          <w:color w:val="000000" w:themeColor="text1"/>
        </w:rPr>
        <w:t xml:space="preserve">at least </w:t>
      </w:r>
      <w:r>
        <w:rPr>
          <w:color w:val="000000" w:themeColor="text1"/>
        </w:rPr>
        <w:t>as likely</w:t>
      </w:r>
      <w:r w:rsidR="00CF5B65">
        <w:rPr>
          <w:color w:val="000000" w:themeColor="text1"/>
        </w:rPr>
        <w:t xml:space="preserve"> with 95% confidence,</w:t>
      </w:r>
      <w:r>
        <w:rPr>
          <w:color w:val="000000" w:themeColor="text1"/>
        </w:rPr>
        <w:t xml:space="preserve"> </w:t>
      </w:r>
      <w:r w:rsidRPr="00C70E9D">
        <w:rPr>
          <w:color w:val="000000" w:themeColor="text1"/>
        </w:rPr>
        <w:t>to come from women who have resumed menstruation</w:t>
      </w:r>
      <w:r w:rsidR="00CF5B65">
        <w:rPr>
          <w:color w:val="000000" w:themeColor="text1"/>
        </w:rPr>
        <w:t>,</w:t>
      </w:r>
      <w:r w:rsidRPr="00C70E9D">
        <w:rPr>
          <w:color w:val="000000" w:themeColor="text1"/>
        </w:rPr>
        <w:t xml:space="preserve"> </w:t>
      </w:r>
      <w:r w:rsidR="00CF5B65">
        <w:rPr>
          <w:color w:val="000000" w:themeColor="text1"/>
        </w:rPr>
        <w:t>compared to</w:t>
      </w:r>
      <w:r w:rsidRPr="00C70E9D">
        <w:rPr>
          <w:color w:val="000000" w:themeColor="text1"/>
        </w:rPr>
        <w:t xml:space="preserve"> those </w:t>
      </w:r>
      <w:r w:rsidR="00CF5B65">
        <w:rPr>
          <w:color w:val="000000" w:themeColor="text1"/>
        </w:rPr>
        <w:t xml:space="preserve">women </w:t>
      </w:r>
      <w:r w:rsidRPr="00C70E9D">
        <w:rPr>
          <w:color w:val="000000" w:themeColor="text1"/>
        </w:rPr>
        <w:t>who have not</w:t>
      </w:r>
      <w:r>
        <w:rPr>
          <w:color w:val="000000" w:themeColor="text1"/>
        </w:rPr>
        <w:t>.</w:t>
      </w:r>
      <w:r w:rsidRPr="00C70E9D">
        <w:rPr>
          <w:color w:val="000000" w:themeColor="text1"/>
        </w:rPr>
        <w:t xml:space="preserve"> </w:t>
      </w:r>
      <w:r>
        <w:rPr>
          <w:color w:val="000000" w:themeColor="text1"/>
        </w:rPr>
        <w:t>T</w:t>
      </w:r>
      <w:r w:rsidR="00CF5B65">
        <w:rPr>
          <w:color w:val="000000" w:themeColor="text1"/>
        </w:rPr>
        <w:t>he LR-</w:t>
      </w:r>
      <w:r w:rsidRPr="00C70E9D">
        <w:rPr>
          <w:color w:val="000000" w:themeColor="text1"/>
        </w:rPr>
        <w:t xml:space="preserve"> point estimate indicates that a negative test result is </w:t>
      </w:r>
      <w:r w:rsidR="00CF5B65">
        <w:rPr>
          <w:color w:val="000000" w:themeColor="text1"/>
        </w:rPr>
        <w:t>three to five</w:t>
      </w:r>
      <w:r>
        <w:rPr>
          <w:color w:val="000000" w:themeColor="text1"/>
        </w:rPr>
        <w:t xml:space="preserve"> times more</w:t>
      </w:r>
      <w:r w:rsidRPr="00C70E9D">
        <w:rPr>
          <w:color w:val="000000" w:themeColor="text1"/>
        </w:rPr>
        <w:t xml:space="preserve"> likely to come from women who have not resumed menstruation than from those who have.</w:t>
      </w:r>
      <w:r>
        <w:rPr>
          <w:color w:val="000000" w:themeColor="text1"/>
        </w:rPr>
        <w:t xml:space="preserve"> </w:t>
      </w:r>
      <w:r w:rsidRPr="007C39A8">
        <w:rPr>
          <w:color w:val="000000" w:themeColor="text1"/>
        </w:rPr>
        <w:t>However, the 95%CIs for the LR</w:t>
      </w:r>
      <w:r w:rsidR="00CF5B65">
        <w:rPr>
          <w:color w:val="000000" w:themeColor="text1"/>
        </w:rPr>
        <w:t>-</w:t>
      </w:r>
      <w:r w:rsidRPr="007C39A8">
        <w:rPr>
          <w:color w:val="000000" w:themeColor="text1"/>
        </w:rPr>
        <w:t xml:space="preserve"> from </w:t>
      </w:r>
      <w:r>
        <w:rPr>
          <w:color w:val="000000" w:themeColor="text1"/>
        </w:rPr>
        <w:t xml:space="preserve">the </w:t>
      </w:r>
      <w:r w:rsidRPr="007C39A8">
        <w:rPr>
          <w:color w:val="000000" w:themeColor="text1"/>
        </w:rPr>
        <w:t>DSL ACTIVE® AMH/MIS ELISA indicate that a positive test result is just as likely to come from a woman with resumption of menses as from a woman without menses. Thus, the</w:t>
      </w:r>
      <w:r>
        <w:rPr>
          <w:color w:val="000000" w:themeColor="text1"/>
        </w:rPr>
        <w:t>se</w:t>
      </w:r>
      <w:r w:rsidRPr="007C39A8">
        <w:rPr>
          <w:color w:val="000000" w:themeColor="text1"/>
        </w:rPr>
        <w:t xml:space="preserve"> assay</w:t>
      </w:r>
      <w:r>
        <w:rPr>
          <w:color w:val="000000" w:themeColor="text1"/>
        </w:rPr>
        <w:t>s</w:t>
      </w:r>
      <w:r w:rsidRPr="007C39A8">
        <w:rPr>
          <w:color w:val="000000" w:themeColor="text1"/>
        </w:rPr>
        <w:t xml:space="preserve"> </w:t>
      </w:r>
      <w:r>
        <w:rPr>
          <w:color w:val="000000" w:themeColor="text1"/>
        </w:rPr>
        <w:t xml:space="preserve">may </w:t>
      </w:r>
      <w:r w:rsidRPr="007C39A8">
        <w:rPr>
          <w:color w:val="000000" w:themeColor="text1"/>
        </w:rPr>
        <w:t>provide no additional information on the likelihood of resuming and/or continuing menstruation</w:t>
      </w:r>
      <w:r>
        <w:rPr>
          <w:color w:val="000000" w:themeColor="text1"/>
        </w:rPr>
        <w:t xml:space="preserve"> after treatment</w:t>
      </w:r>
      <w:r w:rsidRPr="007C39A8">
        <w:rPr>
          <w:color w:val="000000" w:themeColor="text1"/>
        </w:rPr>
        <w:t xml:space="preserve">. The 95% CIs could not be derived for the </w:t>
      </w:r>
      <w:r w:rsidRPr="00CC6ABE">
        <w:rPr>
          <w:color w:val="000000" w:themeColor="text1"/>
        </w:rPr>
        <w:t>EIA AMH/MIS assay</w:t>
      </w:r>
      <w:r w:rsidRPr="007C39A8">
        <w:rPr>
          <w:color w:val="000000" w:themeColor="text1"/>
        </w:rPr>
        <w:t>.</w:t>
      </w:r>
    </w:p>
    <w:p w14:paraId="3B4E8D2C" w14:textId="20891A78" w:rsidR="00F70BE5" w:rsidRDefault="00F70BE5" w:rsidP="00F70BE5">
      <w:pPr>
        <w:jc w:val="both"/>
        <w:rPr>
          <w:color w:val="000000" w:themeColor="text1"/>
        </w:rPr>
      </w:pPr>
      <w:r>
        <w:rPr>
          <w:color w:val="000000" w:themeColor="text1"/>
        </w:rPr>
        <w:lastRenderedPageBreak/>
        <w:t>T</w:t>
      </w:r>
      <w:r w:rsidRPr="005B0D67">
        <w:rPr>
          <w:color w:val="000000" w:themeColor="text1"/>
        </w:rPr>
        <w:t xml:space="preserve">he </w:t>
      </w:r>
      <w:r w:rsidRPr="00CC6ABE">
        <w:rPr>
          <w:color w:val="000000" w:themeColor="text1"/>
        </w:rPr>
        <w:t xml:space="preserve">AMH Gen II ELISA </w:t>
      </w:r>
      <w:r>
        <w:rPr>
          <w:color w:val="000000" w:themeColor="text1"/>
        </w:rPr>
        <w:t xml:space="preserve">was more accurate. </w:t>
      </w:r>
      <w:r w:rsidR="00CF5B65">
        <w:rPr>
          <w:color w:val="000000" w:themeColor="text1"/>
        </w:rPr>
        <w:t>Among</w:t>
      </w:r>
      <w:r>
        <w:rPr>
          <w:color w:val="000000" w:themeColor="text1"/>
        </w:rPr>
        <w:t xml:space="preserve"> the women</w:t>
      </w:r>
      <w:r w:rsidRPr="00EB1416">
        <w:rPr>
          <w:color w:val="000000" w:themeColor="text1"/>
        </w:rPr>
        <w:t xml:space="preserve"> who have treatment associated with a low risk of ovarian failure</w:t>
      </w:r>
      <w:r>
        <w:rPr>
          <w:color w:val="000000" w:themeColor="text1"/>
        </w:rPr>
        <w:t>,</w:t>
      </w:r>
      <w:r w:rsidRPr="00EB1416">
        <w:rPr>
          <w:color w:val="000000" w:themeColor="text1"/>
        </w:rPr>
        <w:t xml:space="preserve"> </w:t>
      </w:r>
      <w:r w:rsidR="00CF5B65">
        <w:rPr>
          <w:color w:val="000000" w:themeColor="text1"/>
        </w:rPr>
        <w:t xml:space="preserve">the PPV indicates that 63 to </w:t>
      </w:r>
      <w:r>
        <w:rPr>
          <w:color w:val="000000" w:themeColor="text1"/>
        </w:rPr>
        <w:t xml:space="preserve">74% </w:t>
      </w:r>
      <w:r w:rsidRPr="005B0D67">
        <w:rPr>
          <w:color w:val="000000" w:themeColor="text1"/>
        </w:rPr>
        <w:t>with a positive test result</w:t>
      </w:r>
      <w:r>
        <w:rPr>
          <w:color w:val="000000" w:themeColor="text1"/>
        </w:rPr>
        <w:t xml:space="preserve"> would have</w:t>
      </w:r>
      <w:r w:rsidRPr="005B0D67">
        <w:rPr>
          <w:color w:val="000000" w:themeColor="text1"/>
        </w:rPr>
        <w:t xml:space="preserve"> resumption of menses</w:t>
      </w:r>
      <w:r w:rsidR="00CF5B65">
        <w:rPr>
          <w:color w:val="000000" w:themeColor="text1"/>
        </w:rPr>
        <w:t xml:space="preserve">. Conversely, 94 to </w:t>
      </w:r>
      <w:r>
        <w:rPr>
          <w:color w:val="000000" w:themeColor="text1"/>
        </w:rPr>
        <w:t>96</w:t>
      </w:r>
      <w:r w:rsidRPr="005B0D67">
        <w:rPr>
          <w:color w:val="000000" w:themeColor="text1"/>
        </w:rPr>
        <w:t xml:space="preserve">% of </w:t>
      </w:r>
      <w:r w:rsidRPr="00F55110">
        <w:rPr>
          <w:color w:val="000000" w:themeColor="text1"/>
        </w:rPr>
        <w:t xml:space="preserve">women having treatment with a high risk of ovarian failure </w:t>
      </w:r>
      <w:r>
        <w:rPr>
          <w:color w:val="000000" w:themeColor="text1"/>
        </w:rPr>
        <w:t>who have</w:t>
      </w:r>
      <w:r w:rsidRPr="005B0D67">
        <w:rPr>
          <w:color w:val="000000" w:themeColor="text1"/>
        </w:rPr>
        <w:t xml:space="preserve"> a positive test result </w:t>
      </w:r>
      <w:r>
        <w:rPr>
          <w:color w:val="000000" w:themeColor="text1"/>
        </w:rPr>
        <w:t>would have</w:t>
      </w:r>
      <w:r w:rsidRPr="005B0D67">
        <w:rPr>
          <w:color w:val="000000" w:themeColor="text1"/>
        </w:rPr>
        <w:t xml:space="preserve"> resumption of menses</w:t>
      </w:r>
      <w:r w:rsidR="006F03FF">
        <w:rPr>
          <w:color w:val="000000" w:themeColor="text1"/>
        </w:rPr>
        <w:t xml:space="preserve"> (</w:t>
      </w:r>
      <w:r w:rsidR="006F03FF">
        <w:rPr>
          <w:color w:val="000000" w:themeColor="text1"/>
        </w:rPr>
        <w:fldChar w:fldCharType="begin"/>
      </w:r>
      <w:r w:rsidR="006F03FF">
        <w:rPr>
          <w:color w:val="000000" w:themeColor="text1"/>
        </w:rPr>
        <w:instrText xml:space="preserve"> REF _Ref501612620 \h </w:instrText>
      </w:r>
      <w:r w:rsidR="006F03FF">
        <w:rPr>
          <w:color w:val="000000" w:themeColor="text1"/>
        </w:rPr>
      </w:r>
      <w:r w:rsidR="006F03FF">
        <w:rPr>
          <w:color w:val="000000" w:themeColor="text1"/>
        </w:rPr>
        <w:fldChar w:fldCharType="separate"/>
      </w:r>
      <w:r w:rsidR="00AC4BE5">
        <w:t xml:space="preserve">Figure </w:t>
      </w:r>
      <w:r w:rsidR="00AC4BE5">
        <w:rPr>
          <w:noProof/>
        </w:rPr>
        <w:t>6</w:t>
      </w:r>
      <w:r w:rsidR="006F03FF">
        <w:rPr>
          <w:color w:val="000000" w:themeColor="text1"/>
        </w:rPr>
        <w:fldChar w:fldCharType="end"/>
      </w:r>
      <w:r w:rsidR="006F03FF">
        <w:rPr>
          <w:color w:val="000000" w:themeColor="text1"/>
        </w:rPr>
        <w:t>)</w:t>
      </w:r>
      <w:r>
        <w:rPr>
          <w:color w:val="000000" w:themeColor="text1"/>
        </w:rPr>
        <w:t xml:space="preserve">. Therefore, the test is clinically useful at most prevalence rates. A negative test result provided useful information for all </w:t>
      </w:r>
      <w:r w:rsidRPr="00F55110">
        <w:rPr>
          <w:color w:val="000000" w:themeColor="text1"/>
        </w:rPr>
        <w:t>women who ha</w:t>
      </w:r>
      <w:r>
        <w:rPr>
          <w:color w:val="000000" w:themeColor="text1"/>
        </w:rPr>
        <w:t>d</w:t>
      </w:r>
      <w:r w:rsidRPr="00F55110">
        <w:rPr>
          <w:color w:val="000000" w:themeColor="text1"/>
        </w:rPr>
        <w:t xml:space="preserve"> treatment associated with a risk of ovarian failure</w:t>
      </w:r>
      <w:r w:rsidR="00CF5B65">
        <w:rPr>
          <w:color w:val="000000" w:themeColor="text1"/>
        </w:rPr>
        <w:t xml:space="preserve">. The NPV indicated that 81 to </w:t>
      </w:r>
      <w:r>
        <w:rPr>
          <w:color w:val="000000" w:themeColor="text1"/>
        </w:rPr>
        <w:t>99</w:t>
      </w:r>
      <w:r w:rsidRPr="005B0D67">
        <w:rPr>
          <w:color w:val="000000" w:themeColor="text1"/>
        </w:rPr>
        <w:t xml:space="preserve">% </w:t>
      </w:r>
      <w:r>
        <w:rPr>
          <w:color w:val="000000" w:themeColor="text1"/>
        </w:rPr>
        <w:t xml:space="preserve">of women </w:t>
      </w:r>
      <w:r w:rsidRPr="005B0D67">
        <w:rPr>
          <w:color w:val="000000" w:themeColor="text1"/>
        </w:rPr>
        <w:t xml:space="preserve">with a negative test result </w:t>
      </w:r>
      <w:r>
        <w:rPr>
          <w:color w:val="000000" w:themeColor="text1"/>
        </w:rPr>
        <w:t>would</w:t>
      </w:r>
      <w:r w:rsidRPr="005B0D67">
        <w:rPr>
          <w:color w:val="000000" w:themeColor="text1"/>
        </w:rPr>
        <w:t xml:space="preserve"> not </w:t>
      </w:r>
      <w:r w:rsidR="00CF5B65">
        <w:rPr>
          <w:color w:val="000000" w:themeColor="text1"/>
        </w:rPr>
        <w:t>resume menses</w:t>
      </w:r>
      <w:r w:rsidR="006F03FF">
        <w:rPr>
          <w:color w:val="000000" w:themeColor="text1"/>
        </w:rPr>
        <w:t xml:space="preserve"> (</w:t>
      </w:r>
      <w:r w:rsidR="006F03FF">
        <w:rPr>
          <w:color w:val="000000" w:themeColor="text1"/>
        </w:rPr>
        <w:fldChar w:fldCharType="begin"/>
      </w:r>
      <w:r w:rsidR="006F03FF">
        <w:rPr>
          <w:color w:val="000000" w:themeColor="text1"/>
        </w:rPr>
        <w:instrText xml:space="preserve"> REF _Ref496626527 \h </w:instrText>
      </w:r>
      <w:r w:rsidR="006F03FF">
        <w:rPr>
          <w:color w:val="000000" w:themeColor="text1"/>
        </w:rPr>
      </w:r>
      <w:r w:rsidR="006F03FF">
        <w:rPr>
          <w:color w:val="000000" w:themeColor="text1"/>
        </w:rPr>
        <w:fldChar w:fldCharType="separate"/>
      </w:r>
      <w:r w:rsidR="00AC4BE5">
        <w:t xml:space="preserve">Figure </w:t>
      </w:r>
      <w:r w:rsidR="00AC4BE5">
        <w:rPr>
          <w:noProof/>
        </w:rPr>
        <w:t>7</w:t>
      </w:r>
      <w:r w:rsidR="006F03FF">
        <w:rPr>
          <w:color w:val="000000" w:themeColor="text1"/>
        </w:rPr>
        <w:fldChar w:fldCharType="end"/>
      </w:r>
      <w:r w:rsidR="006F03FF">
        <w:rPr>
          <w:color w:val="000000" w:themeColor="text1"/>
        </w:rPr>
        <w:t>)</w:t>
      </w:r>
      <w:r w:rsidRPr="005B0D67">
        <w:rPr>
          <w:color w:val="000000" w:themeColor="text1"/>
        </w:rPr>
        <w:t>.</w:t>
      </w:r>
    </w:p>
    <w:p w14:paraId="4F8AB6E3" w14:textId="0D04DDF4" w:rsidR="00F70BE5" w:rsidRDefault="00CF5B65" w:rsidP="00F70BE5">
      <w:pPr>
        <w:jc w:val="both"/>
        <w:rPr>
          <w:color w:val="000000" w:themeColor="text1"/>
        </w:rPr>
      </w:pPr>
      <w:r>
        <w:rPr>
          <w:color w:val="000000" w:themeColor="text1"/>
        </w:rPr>
        <w:t>The LR+ and LR-</w:t>
      </w:r>
      <w:r w:rsidR="00F70BE5">
        <w:rPr>
          <w:color w:val="000000" w:themeColor="text1"/>
        </w:rPr>
        <w:t xml:space="preserve"> estimates and 95%CIs also indicate that </w:t>
      </w:r>
      <w:r w:rsidR="00F70BE5" w:rsidRPr="00026839">
        <w:rPr>
          <w:color w:val="000000" w:themeColor="text1"/>
        </w:rPr>
        <w:t xml:space="preserve">the </w:t>
      </w:r>
      <w:r w:rsidR="00F70BE5" w:rsidRPr="00CC6ABE">
        <w:rPr>
          <w:color w:val="000000" w:themeColor="text1"/>
        </w:rPr>
        <w:t xml:space="preserve">AMH Gen II ELISA </w:t>
      </w:r>
      <w:r>
        <w:rPr>
          <w:color w:val="000000" w:themeColor="text1"/>
        </w:rPr>
        <w:t>is more accurate than</w:t>
      </w:r>
      <w:r w:rsidR="00F70BE5">
        <w:rPr>
          <w:color w:val="000000" w:themeColor="text1"/>
        </w:rPr>
        <w:t xml:space="preserve"> the first generation</w:t>
      </w:r>
      <w:r w:rsidR="00F70BE5" w:rsidRPr="00026839">
        <w:rPr>
          <w:color w:val="000000" w:themeColor="text1"/>
        </w:rPr>
        <w:t xml:space="preserve"> assay</w:t>
      </w:r>
      <w:r w:rsidR="00F70BE5">
        <w:rPr>
          <w:color w:val="000000" w:themeColor="text1"/>
        </w:rPr>
        <w:t>, and provides some useful inform</w:t>
      </w:r>
      <w:r>
        <w:rPr>
          <w:color w:val="000000" w:themeColor="text1"/>
        </w:rPr>
        <w:t>ation. The LR+ point estimates and 95%CIs</w:t>
      </w:r>
      <w:r w:rsidR="00F70BE5">
        <w:rPr>
          <w:color w:val="000000" w:themeColor="text1"/>
        </w:rPr>
        <w:t xml:space="preserve"> indicate that a positive test result from the </w:t>
      </w:r>
      <w:r w:rsidR="000701EE">
        <w:rPr>
          <w:color w:val="000000" w:themeColor="text1"/>
        </w:rPr>
        <w:t>pico</w:t>
      </w:r>
      <w:r w:rsidR="00F70BE5" w:rsidRPr="00F85BC1">
        <w:rPr>
          <w:color w:val="000000" w:themeColor="text1"/>
        </w:rPr>
        <w:t>-AMH ELISA</w:t>
      </w:r>
      <w:r>
        <w:rPr>
          <w:color w:val="000000" w:themeColor="text1"/>
        </w:rPr>
        <w:t xml:space="preserve"> is 7-fold more likely, </w:t>
      </w:r>
      <w:r w:rsidR="00F70BE5">
        <w:rPr>
          <w:color w:val="000000" w:themeColor="text1"/>
        </w:rPr>
        <w:t>or at least as like</w:t>
      </w:r>
      <w:r>
        <w:rPr>
          <w:color w:val="000000" w:themeColor="text1"/>
        </w:rPr>
        <w:t>ly with 95% confidence,</w:t>
      </w:r>
      <w:r w:rsidR="00F70BE5">
        <w:rPr>
          <w:color w:val="000000" w:themeColor="text1"/>
        </w:rPr>
        <w:t xml:space="preserve"> to come from women who have resumed menstruation </w:t>
      </w:r>
      <w:r>
        <w:rPr>
          <w:color w:val="000000" w:themeColor="text1"/>
        </w:rPr>
        <w:t>compare to</w:t>
      </w:r>
      <w:r w:rsidR="00F70BE5">
        <w:rPr>
          <w:color w:val="000000" w:themeColor="text1"/>
        </w:rPr>
        <w:t xml:space="preserve"> those </w:t>
      </w:r>
      <w:r>
        <w:rPr>
          <w:color w:val="000000" w:themeColor="text1"/>
        </w:rPr>
        <w:t>who have not. Similarly, the LR-</w:t>
      </w:r>
      <w:r w:rsidR="00F70BE5">
        <w:rPr>
          <w:color w:val="000000" w:themeColor="text1"/>
        </w:rPr>
        <w:t xml:space="preserve"> indicates that a negative tes</w:t>
      </w:r>
      <w:r>
        <w:rPr>
          <w:color w:val="000000" w:themeColor="text1"/>
        </w:rPr>
        <w:t xml:space="preserve">t result is more than </w:t>
      </w:r>
      <w:r w:rsidR="00B023DE">
        <w:rPr>
          <w:color w:val="000000" w:themeColor="text1"/>
        </w:rPr>
        <w:t>ten</w:t>
      </w:r>
      <w:r>
        <w:rPr>
          <w:color w:val="000000" w:themeColor="text1"/>
        </w:rPr>
        <w:t xml:space="preserve"> times more likely, or </w:t>
      </w:r>
      <w:r w:rsidR="00F70BE5">
        <w:rPr>
          <w:color w:val="000000" w:themeColor="text1"/>
        </w:rPr>
        <w:t xml:space="preserve">at least </w:t>
      </w:r>
      <w:r>
        <w:rPr>
          <w:color w:val="000000" w:themeColor="text1"/>
        </w:rPr>
        <w:t>two times more likely with 95% confidence,</w:t>
      </w:r>
      <w:r w:rsidR="00F70BE5">
        <w:rPr>
          <w:color w:val="000000" w:themeColor="text1"/>
        </w:rPr>
        <w:t xml:space="preserve"> </w:t>
      </w:r>
      <w:r w:rsidR="00F70BE5" w:rsidRPr="00AB5C37">
        <w:rPr>
          <w:color w:val="000000" w:themeColor="text1"/>
        </w:rPr>
        <w:t xml:space="preserve">to </w:t>
      </w:r>
      <w:r>
        <w:rPr>
          <w:color w:val="000000" w:themeColor="text1"/>
        </w:rPr>
        <w:t xml:space="preserve">have </w:t>
      </w:r>
      <w:r w:rsidR="00F70BE5" w:rsidRPr="00AB5C37">
        <w:rPr>
          <w:color w:val="000000" w:themeColor="text1"/>
        </w:rPr>
        <w:t xml:space="preserve">come from women who have </w:t>
      </w:r>
      <w:r w:rsidR="00F70BE5">
        <w:rPr>
          <w:color w:val="000000" w:themeColor="text1"/>
        </w:rPr>
        <w:t xml:space="preserve">not </w:t>
      </w:r>
      <w:r w:rsidR="00F70BE5" w:rsidRPr="00AB5C37">
        <w:rPr>
          <w:color w:val="000000" w:themeColor="text1"/>
        </w:rPr>
        <w:t xml:space="preserve">resumed menstruation </w:t>
      </w:r>
      <w:r>
        <w:rPr>
          <w:color w:val="000000" w:themeColor="text1"/>
        </w:rPr>
        <w:t>compared to</w:t>
      </w:r>
      <w:r w:rsidR="00F70BE5" w:rsidRPr="00AB5C37">
        <w:rPr>
          <w:color w:val="000000" w:themeColor="text1"/>
        </w:rPr>
        <w:t xml:space="preserve"> those who have.</w:t>
      </w:r>
      <w:r>
        <w:rPr>
          <w:color w:val="000000" w:themeColor="text1"/>
        </w:rPr>
        <w:t xml:space="preserve"> Thus, the LR+ and LR-</w:t>
      </w:r>
      <w:r w:rsidR="00F70BE5">
        <w:rPr>
          <w:color w:val="000000" w:themeColor="text1"/>
        </w:rPr>
        <w:t xml:space="preserve"> indicate an increase in confidence that the </w:t>
      </w:r>
      <w:r w:rsidR="00F70BE5" w:rsidRPr="00AD00EB">
        <w:rPr>
          <w:color w:val="000000" w:themeColor="text1"/>
        </w:rPr>
        <w:t>AMH Gen II ELISA</w:t>
      </w:r>
      <w:r w:rsidR="00F70BE5" w:rsidRPr="004102C6">
        <w:rPr>
          <w:color w:val="000000" w:themeColor="text1"/>
        </w:rPr>
        <w:t xml:space="preserve"> </w:t>
      </w:r>
      <w:r w:rsidR="00F70BE5">
        <w:rPr>
          <w:color w:val="000000" w:themeColor="text1"/>
        </w:rPr>
        <w:t>test result is correct.</w:t>
      </w:r>
    </w:p>
    <w:p w14:paraId="1796FD81" w14:textId="5B8CEF29" w:rsidR="00F70BE5" w:rsidRDefault="005B3CFD" w:rsidP="00F70BE5">
      <w:pPr>
        <w:pStyle w:val="Heading4"/>
      </w:pPr>
      <w:r>
        <w:t>Clinical validity</w:t>
      </w:r>
      <w:r w:rsidR="00F70BE5">
        <w:t xml:space="preserve"> of AMH testing compared with a clinical reference standard when measured after gonadotoxic treatment</w:t>
      </w:r>
    </w:p>
    <w:p w14:paraId="17E860AA" w14:textId="019282BE" w:rsidR="007518CF" w:rsidRDefault="00F70BE5" w:rsidP="00F70BE5">
      <w:pPr>
        <w:jc w:val="both"/>
        <w:rPr>
          <w:color w:val="000000" w:themeColor="text1"/>
        </w:rPr>
      </w:pPr>
      <w:r w:rsidRPr="00FB0199">
        <w:rPr>
          <w:color w:val="000000" w:themeColor="text1"/>
        </w:rPr>
        <w:t xml:space="preserve">The study by Decanter et al. (2014) compared the sensitivity and specificity of </w:t>
      </w:r>
      <w:r w:rsidR="00CF5B65">
        <w:rPr>
          <w:color w:val="000000" w:themeColor="text1"/>
        </w:rPr>
        <w:t xml:space="preserve">the </w:t>
      </w:r>
      <w:r w:rsidRPr="00FB0199">
        <w:rPr>
          <w:color w:val="000000" w:themeColor="text1"/>
        </w:rPr>
        <w:t xml:space="preserve">EIA AMH/MIS assay and </w:t>
      </w:r>
      <w:r w:rsidR="000701EE">
        <w:rPr>
          <w:color w:val="000000" w:themeColor="text1"/>
        </w:rPr>
        <w:t>pico</w:t>
      </w:r>
      <w:r w:rsidR="00CF5B65">
        <w:rPr>
          <w:color w:val="000000" w:themeColor="text1"/>
        </w:rPr>
        <w:t>-AMH ELISA</w:t>
      </w:r>
      <w:r w:rsidRPr="00FB0199">
        <w:rPr>
          <w:color w:val="000000" w:themeColor="text1"/>
        </w:rPr>
        <w:t xml:space="preserve"> to detect ovarian reserve with the resumption of menses during the ovarian recovery period in 30 women with either early breast cancer or lymphoma, </w:t>
      </w:r>
      <w:r w:rsidR="00CF5B65">
        <w:rPr>
          <w:color w:val="000000" w:themeColor="text1"/>
        </w:rPr>
        <w:t xml:space="preserve">three to </w:t>
      </w:r>
      <w:r w:rsidRPr="00FB0199">
        <w:rPr>
          <w:color w:val="000000" w:themeColor="text1"/>
        </w:rPr>
        <w:t xml:space="preserve">24 months after the end of chemotherapy. The distribution of the serum samples was as follows: </w:t>
      </w:r>
      <w:r w:rsidR="00CF5B65">
        <w:rPr>
          <w:color w:val="000000" w:themeColor="text1"/>
        </w:rPr>
        <w:t>nine</w:t>
      </w:r>
      <w:r w:rsidRPr="00FB0199">
        <w:rPr>
          <w:color w:val="000000" w:themeColor="text1"/>
        </w:rPr>
        <w:t xml:space="preserve"> were </w:t>
      </w:r>
      <w:r w:rsidR="00CF5B65">
        <w:rPr>
          <w:color w:val="000000" w:themeColor="text1"/>
        </w:rPr>
        <w:t>taken</w:t>
      </w:r>
      <w:r w:rsidRPr="00FB0199">
        <w:rPr>
          <w:color w:val="000000" w:themeColor="text1"/>
        </w:rPr>
        <w:t xml:space="preserve"> </w:t>
      </w:r>
      <w:r w:rsidR="00CF5B65">
        <w:rPr>
          <w:color w:val="000000" w:themeColor="text1"/>
        </w:rPr>
        <w:t xml:space="preserve">three </w:t>
      </w:r>
      <w:r w:rsidRPr="00FB0199">
        <w:rPr>
          <w:color w:val="000000" w:themeColor="text1"/>
        </w:rPr>
        <w:t xml:space="preserve">months </w:t>
      </w:r>
      <w:r w:rsidR="00CF5B65">
        <w:rPr>
          <w:color w:val="000000" w:themeColor="text1"/>
        </w:rPr>
        <w:t xml:space="preserve">after chemotherapy, 13 at six months, 11 at nine months, 18 at 12 months, two at 18 </w:t>
      </w:r>
      <w:r w:rsidRPr="00FB0199">
        <w:rPr>
          <w:color w:val="000000" w:themeColor="text1"/>
        </w:rPr>
        <w:t>months,</w:t>
      </w:r>
      <w:r w:rsidR="00CF5B65">
        <w:rPr>
          <w:color w:val="000000" w:themeColor="text1"/>
        </w:rPr>
        <w:t xml:space="preserve"> and five at 24 </w:t>
      </w:r>
      <w:r w:rsidRPr="00FB0199">
        <w:rPr>
          <w:color w:val="000000" w:themeColor="text1"/>
        </w:rPr>
        <w:t xml:space="preserve">months. The study by Chai et al. (2014) also looked at the ability of the </w:t>
      </w:r>
      <w:r w:rsidR="000701EE">
        <w:rPr>
          <w:color w:val="000000" w:themeColor="text1"/>
        </w:rPr>
        <w:t>pico</w:t>
      </w:r>
      <w:r w:rsidRPr="00FB0199">
        <w:rPr>
          <w:color w:val="000000" w:themeColor="text1"/>
        </w:rPr>
        <w:t xml:space="preserve">-AMH ELISA to detect AMH in </w:t>
      </w:r>
      <w:r w:rsidR="00CF5B65">
        <w:rPr>
          <w:color w:val="000000" w:themeColor="text1"/>
        </w:rPr>
        <w:t xml:space="preserve">one-year post-chemotherapy serum of </w:t>
      </w:r>
      <w:r w:rsidRPr="00FB0199">
        <w:rPr>
          <w:color w:val="000000" w:themeColor="text1"/>
        </w:rPr>
        <w:t xml:space="preserve">42 women with early stage breast cancer who had or had not resumed menstruation </w:t>
      </w:r>
      <w:r w:rsidR="00CF5B65">
        <w:rPr>
          <w:color w:val="000000" w:themeColor="text1"/>
        </w:rPr>
        <w:t>three</w:t>
      </w:r>
      <w:r w:rsidRPr="00FB0199">
        <w:rPr>
          <w:color w:val="000000" w:themeColor="text1"/>
        </w:rPr>
        <w:t xml:space="preserve"> years after chemotherapy.</w:t>
      </w:r>
    </w:p>
    <w:p w14:paraId="1987CADB" w14:textId="4932C5EC" w:rsidR="007518CF" w:rsidRDefault="00F70BE5" w:rsidP="00F70BE5">
      <w:pPr>
        <w:jc w:val="both"/>
        <w:rPr>
          <w:color w:val="000000" w:themeColor="text1"/>
        </w:rPr>
      </w:pPr>
      <w:r w:rsidRPr="00FB0199">
        <w:rPr>
          <w:color w:val="000000" w:themeColor="text1"/>
        </w:rPr>
        <w:t xml:space="preserve">Su et al. (2011) used Poisson regression methods to model the optimum thresholds for serum levels of AMH using an older </w:t>
      </w:r>
      <w:r w:rsidR="000B0647">
        <w:rPr>
          <w:color w:val="000000" w:themeColor="text1"/>
        </w:rPr>
        <w:t>first generation</w:t>
      </w:r>
      <w:r w:rsidRPr="00FB0199">
        <w:rPr>
          <w:color w:val="000000" w:themeColor="text1"/>
        </w:rPr>
        <w:t xml:space="preserve"> AMH test, the DSL ACTIVE® AMH/MIS ELISA, which had a lower limit of detection for AMH of 25 pg/mL. </w:t>
      </w:r>
      <w:r w:rsidR="00F4539F">
        <w:rPr>
          <w:color w:val="000000" w:themeColor="text1"/>
        </w:rPr>
        <w:t>Using ROC curve analysis</w:t>
      </w:r>
      <w:r w:rsidR="00F4539F" w:rsidRPr="00F4539F">
        <w:rPr>
          <w:color w:val="000000" w:themeColor="text1"/>
        </w:rPr>
        <w:t xml:space="preserve"> </w:t>
      </w:r>
      <w:r w:rsidR="00F4539F">
        <w:rPr>
          <w:color w:val="000000" w:themeColor="text1"/>
        </w:rPr>
        <w:t>and</w:t>
      </w:r>
      <w:r w:rsidR="00F4539F" w:rsidRPr="00FB0199">
        <w:rPr>
          <w:color w:val="000000" w:themeColor="text1"/>
        </w:rPr>
        <w:t xml:space="preserve"> resumption of menses </w:t>
      </w:r>
      <w:r w:rsidR="00F4539F">
        <w:rPr>
          <w:color w:val="000000" w:themeColor="text1"/>
        </w:rPr>
        <w:t xml:space="preserve">at </w:t>
      </w:r>
      <w:r w:rsidR="00F4539F" w:rsidRPr="00FB0199">
        <w:rPr>
          <w:color w:val="000000" w:themeColor="text1"/>
        </w:rPr>
        <w:t xml:space="preserve">least </w:t>
      </w:r>
      <w:r w:rsidR="00F4539F">
        <w:rPr>
          <w:color w:val="000000" w:themeColor="text1"/>
        </w:rPr>
        <w:t>one</w:t>
      </w:r>
      <w:r w:rsidR="00F4539F" w:rsidRPr="00FB0199">
        <w:rPr>
          <w:color w:val="000000" w:themeColor="text1"/>
        </w:rPr>
        <w:t xml:space="preserve"> year post-treatment</w:t>
      </w:r>
      <w:r w:rsidR="00F4539F">
        <w:rPr>
          <w:color w:val="000000" w:themeColor="text1"/>
        </w:rPr>
        <w:t xml:space="preserve"> as the reference standard, t</w:t>
      </w:r>
      <w:r w:rsidRPr="00FB0199">
        <w:rPr>
          <w:color w:val="000000" w:themeColor="text1"/>
        </w:rPr>
        <w:t>he authors calculated the sensitivity and specificity of the AMH test to detect AMH in 56 late</w:t>
      </w:r>
      <w:r w:rsidR="00916047">
        <w:rPr>
          <w:color w:val="000000" w:themeColor="text1"/>
        </w:rPr>
        <w:t xml:space="preserve"> </w:t>
      </w:r>
      <w:r w:rsidRPr="00FB0199">
        <w:rPr>
          <w:color w:val="000000" w:themeColor="text1"/>
        </w:rPr>
        <w:t>reproductive</w:t>
      </w:r>
      <w:r w:rsidR="003036C4">
        <w:rPr>
          <w:color w:val="000000" w:themeColor="text1"/>
        </w:rPr>
        <w:t>-</w:t>
      </w:r>
      <w:r w:rsidRPr="00FB0199">
        <w:rPr>
          <w:color w:val="000000" w:themeColor="text1"/>
        </w:rPr>
        <w:t xml:space="preserve">aged breast cancer patients </w:t>
      </w:r>
      <w:r w:rsidR="00F4539F">
        <w:rPr>
          <w:color w:val="000000" w:themeColor="text1"/>
        </w:rPr>
        <w:t>to be 60% and 76%, respectively.</w:t>
      </w:r>
    </w:p>
    <w:p w14:paraId="40511C35" w14:textId="5AAFE0E4" w:rsidR="007518CF" w:rsidRDefault="00F70BE5" w:rsidP="00F70BE5">
      <w:pPr>
        <w:jc w:val="both"/>
        <w:rPr>
          <w:color w:val="000000" w:themeColor="text1"/>
        </w:rPr>
      </w:pPr>
      <w:r w:rsidRPr="00FB0199">
        <w:rPr>
          <w:color w:val="000000" w:themeColor="text1"/>
        </w:rPr>
        <w:t>The study by Jantke et al. (2012) investigated the ability of the AMH test to detect AMH in 86 women who had resumed menstruation compared with those who had not after receiving gonadotoxic treatment up to 14 years previously.</w:t>
      </w:r>
    </w:p>
    <w:p w14:paraId="4ADF1F20" w14:textId="47A610FE" w:rsidR="007518CF" w:rsidRDefault="00F70BE5" w:rsidP="00F70BE5">
      <w:pPr>
        <w:jc w:val="both"/>
        <w:rPr>
          <w:color w:val="000000" w:themeColor="text1"/>
        </w:rPr>
      </w:pPr>
      <w:r>
        <w:rPr>
          <w:color w:val="000000" w:themeColor="text1"/>
        </w:rPr>
        <w:lastRenderedPageBreak/>
        <w:t>The PPV and NPV were calculated for women undergoing gonadotoxic treatments with low</w:t>
      </w:r>
      <w:r w:rsidR="00916047">
        <w:rPr>
          <w:color w:val="000000" w:themeColor="text1"/>
        </w:rPr>
        <w:t xml:space="preserve"> </w:t>
      </w:r>
      <w:r>
        <w:rPr>
          <w:color w:val="000000" w:themeColor="text1"/>
        </w:rPr>
        <w:t>risk (20–30%), intermediate</w:t>
      </w:r>
      <w:r w:rsidR="00DE6DD5">
        <w:rPr>
          <w:color w:val="000000" w:themeColor="text1"/>
        </w:rPr>
        <w:t xml:space="preserve"> </w:t>
      </w:r>
      <w:r>
        <w:rPr>
          <w:color w:val="000000" w:themeColor="text1"/>
        </w:rPr>
        <w:t>risk (40–70%) and high</w:t>
      </w:r>
      <w:r w:rsidR="00DE6DD5">
        <w:rPr>
          <w:color w:val="000000" w:themeColor="text1"/>
        </w:rPr>
        <w:t xml:space="preserve"> </w:t>
      </w:r>
      <w:r>
        <w:rPr>
          <w:color w:val="000000" w:themeColor="text1"/>
        </w:rPr>
        <w:t>risk (70–80%) of ovarian failure</w:t>
      </w:r>
      <w:r w:rsidR="00FB0199">
        <w:rPr>
          <w:color w:val="000000" w:themeColor="text1"/>
        </w:rPr>
        <w:t>. T</w:t>
      </w:r>
      <w:r>
        <w:rPr>
          <w:color w:val="000000" w:themeColor="text1"/>
        </w:rPr>
        <w:t>he LR+ and LR</w:t>
      </w:r>
      <w:r w:rsidR="00A0412A">
        <w:rPr>
          <w:color w:val="000000" w:themeColor="text1"/>
        </w:rPr>
        <w:t>-</w:t>
      </w:r>
      <w:r>
        <w:rPr>
          <w:color w:val="000000" w:themeColor="text1"/>
        </w:rPr>
        <w:t xml:space="preserve"> are shown in </w:t>
      </w:r>
      <w:r>
        <w:rPr>
          <w:color w:val="000000" w:themeColor="text1"/>
        </w:rPr>
        <w:fldChar w:fldCharType="begin"/>
      </w:r>
      <w:r>
        <w:rPr>
          <w:color w:val="000000" w:themeColor="text1"/>
        </w:rPr>
        <w:instrText xml:space="preserve"> REF _Ref494962104 \h </w:instrText>
      </w:r>
      <w:r>
        <w:rPr>
          <w:color w:val="000000" w:themeColor="text1"/>
        </w:rPr>
      </w:r>
      <w:r>
        <w:rPr>
          <w:color w:val="000000" w:themeColor="text1"/>
        </w:rPr>
        <w:fldChar w:fldCharType="separate"/>
      </w:r>
      <w:r w:rsidR="00AC4BE5" w:rsidRPr="001F3408">
        <w:t xml:space="preserve">Table </w:t>
      </w:r>
      <w:r w:rsidR="00AC4BE5">
        <w:rPr>
          <w:noProof/>
        </w:rPr>
        <w:t>54</w:t>
      </w:r>
      <w:r>
        <w:rPr>
          <w:color w:val="000000" w:themeColor="text1"/>
        </w:rPr>
        <w:fldChar w:fldCharType="end"/>
      </w:r>
      <w:r>
        <w:rPr>
          <w:color w:val="000000" w:themeColor="text1"/>
        </w:rPr>
        <w:t>.</w:t>
      </w:r>
    </w:p>
    <w:p w14:paraId="66D4FFB7" w14:textId="02B3E830" w:rsidR="00F70BE5" w:rsidRPr="001F3408" w:rsidRDefault="00F70BE5" w:rsidP="00F70BE5">
      <w:pPr>
        <w:pStyle w:val="Caption"/>
        <w:keepNext/>
        <w:ind w:left="1134" w:hanging="1134"/>
        <w:jc w:val="both"/>
        <w:rPr>
          <w:rFonts w:cs="Arial"/>
          <w:snapToGrid w:val="0"/>
          <w:szCs w:val="16"/>
          <w:lang w:eastAsia="en-US"/>
        </w:rPr>
      </w:pPr>
      <w:bookmarkStart w:id="341" w:name="_Ref494962104"/>
      <w:bookmarkStart w:id="342" w:name="_Toc502833072"/>
      <w:r w:rsidRPr="001F3408">
        <w:t xml:space="preserve">Table </w:t>
      </w:r>
      <w:r w:rsidR="00AC4BE5">
        <w:fldChar w:fldCharType="begin"/>
      </w:r>
      <w:r w:rsidR="00AC4BE5">
        <w:instrText xml:space="preserve"> SEQ Table \* ARABIC </w:instrText>
      </w:r>
      <w:r w:rsidR="00AC4BE5">
        <w:fldChar w:fldCharType="separate"/>
      </w:r>
      <w:r w:rsidR="00AC4BE5">
        <w:rPr>
          <w:noProof/>
        </w:rPr>
        <w:t>54</w:t>
      </w:r>
      <w:r w:rsidR="00AC4BE5">
        <w:rPr>
          <w:noProof/>
        </w:rPr>
        <w:fldChar w:fldCharType="end"/>
      </w:r>
      <w:bookmarkEnd w:id="341"/>
      <w:r w:rsidRPr="001F3408">
        <w:tab/>
      </w:r>
      <w:r w:rsidR="005B3CFD">
        <w:t>Clinical validity</w:t>
      </w:r>
      <w:r w:rsidRPr="001F3408">
        <w:rPr>
          <w:rFonts w:cs="Arial"/>
          <w:snapToGrid w:val="0"/>
          <w:szCs w:val="16"/>
          <w:lang w:eastAsia="en-US"/>
        </w:rPr>
        <w:t xml:space="preserve"> </w:t>
      </w:r>
      <w:r>
        <w:rPr>
          <w:rFonts w:cs="Arial"/>
          <w:snapToGrid w:val="0"/>
          <w:szCs w:val="16"/>
          <w:lang w:eastAsia="en-US"/>
        </w:rPr>
        <w:t>of</w:t>
      </w:r>
      <w:r w:rsidRPr="001F3408">
        <w:rPr>
          <w:rFonts w:cs="Arial"/>
          <w:snapToGrid w:val="0"/>
          <w:szCs w:val="16"/>
          <w:lang w:eastAsia="en-US"/>
        </w:rPr>
        <w:t xml:space="preserve"> </w:t>
      </w:r>
      <w:r w:rsidRPr="00963144">
        <w:rPr>
          <w:rFonts w:cs="Arial"/>
          <w:snapToGrid w:val="0"/>
          <w:szCs w:val="16"/>
          <w:lang w:eastAsia="en-US"/>
        </w:rPr>
        <w:t xml:space="preserve">the </w:t>
      </w:r>
      <w:r>
        <w:rPr>
          <w:rFonts w:cs="Arial"/>
          <w:snapToGrid w:val="0"/>
          <w:szCs w:val="16"/>
          <w:lang w:eastAsia="en-US"/>
        </w:rPr>
        <w:t>AMH test</w:t>
      </w:r>
      <w:r w:rsidRPr="00963144">
        <w:rPr>
          <w:rFonts w:cs="Arial"/>
          <w:snapToGrid w:val="0"/>
          <w:szCs w:val="16"/>
          <w:lang w:eastAsia="en-US"/>
        </w:rPr>
        <w:t xml:space="preserve"> </w:t>
      </w:r>
      <w:r w:rsidRPr="001F3408">
        <w:rPr>
          <w:rFonts w:cs="Arial"/>
          <w:snapToGrid w:val="0"/>
          <w:szCs w:val="16"/>
          <w:lang w:eastAsia="en-US"/>
        </w:rPr>
        <w:t xml:space="preserve">against </w:t>
      </w:r>
      <w:r>
        <w:rPr>
          <w:rFonts w:cs="Arial"/>
          <w:snapToGrid w:val="0"/>
          <w:szCs w:val="16"/>
          <w:lang w:eastAsia="en-US"/>
        </w:rPr>
        <w:t>the clinical refe</w:t>
      </w:r>
      <w:r w:rsidRPr="001F3408">
        <w:rPr>
          <w:rFonts w:cs="Arial"/>
          <w:snapToGrid w:val="0"/>
          <w:szCs w:val="16"/>
          <w:lang w:eastAsia="en-US"/>
        </w:rPr>
        <w:t xml:space="preserve">rence standard </w:t>
      </w:r>
      <w:r>
        <w:rPr>
          <w:rFonts w:cs="Arial"/>
          <w:snapToGrid w:val="0"/>
          <w:szCs w:val="16"/>
          <w:lang w:eastAsia="en-US"/>
        </w:rPr>
        <w:t>of resumption of menses</w:t>
      </w:r>
      <w:bookmarkEnd w:id="342"/>
    </w:p>
    <w:tbl>
      <w:tblPr>
        <w:tblStyle w:val="TableGrid1"/>
        <w:tblW w:w="5013" w:type="pct"/>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991"/>
        <w:gridCol w:w="1088"/>
        <w:gridCol w:w="1438"/>
        <w:gridCol w:w="1427"/>
        <w:gridCol w:w="1447"/>
        <w:gridCol w:w="1875"/>
      </w:tblGrid>
      <w:tr w:rsidR="00F70BE5" w:rsidRPr="001F3408" w14:paraId="18B33D8F" w14:textId="77777777" w:rsidTr="006815D3">
        <w:trPr>
          <w:cnfStyle w:val="100000000000" w:firstRow="1" w:lastRow="0" w:firstColumn="0" w:lastColumn="0" w:oddVBand="0" w:evenVBand="0" w:oddHBand="0" w:evenHBand="0" w:firstRowFirstColumn="0" w:firstRowLastColumn="0" w:lastRowFirstColumn="0" w:lastRowLastColumn="0"/>
          <w:tblHeader/>
        </w:trPr>
        <w:tc>
          <w:tcPr>
            <w:tcW w:w="1082" w:type="pct"/>
          </w:tcPr>
          <w:p w14:paraId="14630E56" w14:textId="77777777" w:rsidR="00F70BE5" w:rsidRPr="0004250B" w:rsidRDefault="00F70BE5" w:rsidP="0004250B">
            <w:pPr>
              <w:pStyle w:val="TableText0"/>
              <w:rPr>
                <w:b/>
                <w:snapToGrid w:val="0"/>
              </w:rPr>
            </w:pPr>
            <w:r w:rsidRPr="0004250B">
              <w:rPr>
                <w:b/>
                <w:snapToGrid w:val="0"/>
              </w:rPr>
              <w:t>Study ID</w:t>
            </w:r>
          </w:p>
        </w:tc>
        <w:tc>
          <w:tcPr>
            <w:tcW w:w="550" w:type="pct"/>
          </w:tcPr>
          <w:p w14:paraId="3729C093" w14:textId="77777777" w:rsidR="00F70BE5" w:rsidRPr="0004250B" w:rsidRDefault="00F70BE5" w:rsidP="0004250B">
            <w:pPr>
              <w:pStyle w:val="TableText0"/>
              <w:rPr>
                <w:b/>
                <w:snapToGrid w:val="0"/>
              </w:rPr>
            </w:pPr>
            <w:r w:rsidRPr="0004250B">
              <w:rPr>
                <w:b/>
                <w:snapToGrid w:val="0"/>
              </w:rPr>
              <w:t>Result</w:t>
            </w:r>
          </w:p>
        </w:tc>
        <w:tc>
          <w:tcPr>
            <w:tcW w:w="783" w:type="pct"/>
          </w:tcPr>
          <w:p w14:paraId="57CD9E3E" w14:textId="77777777" w:rsidR="00F70BE5" w:rsidRPr="0004250B" w:rsidRDefault="00F70BE5" w:rsidP="0004250B">
            <w:pPr>
              <w:pStyle w:val="TableText0"/>
              <w:rPr>
                <w:b/>
                <w:snapToGrid w:val="0"/>
              </w:rPr>
            </w:pPr>
            <w:r w:rsidRPr="0004250B">
              <w:rPr>
                <w:b/>
                <w:snapToGrid w:val="0"/>
              </w:rPr>
              <w:t>EIA AMH/MIS assay [95%CI]</w:t>
            </w:r>
          </w:p>
        </w:tc>
        <w:tc>
          <w:tcPr>
            <w:tcW w:w="777" w:type="pct"/>
          </w:tcPr>
          <w:p w14:paraId="063C9E5F" w14:textId="77777777" w:rsidR="00F70BE5" w:rsidRPr="0004250B" w:rsidRDefault="00F70BE5" w:rsidP="0004250B">
            <w:pPr>
              <w:pStyle w:val="TableText0"/>
              <w:rPr>
                <w:b/>
                <w:snapToGrid w:val="0"/>
              </w:rPr>
            </w:pPr>
            <w:r w:rsidRPr="0004250B">
              <w:rPr>
                <w:b/>
                <w:snapToGrid w:val="0"/>
              </w:rPr>
              <w:t>DSL ACTIVE</w:t>
            </w:r>
            <w:r w:rsidRPr="0004250B">
              <w:rPr>
                <w:b/>
                <w:snapToGrid w:val="0"/>
                <w:vertAlign w:val="superscript"/>
              </w:rPr>
              <w:t>®</w:t>
            </w:r>
            <w:r w:rsidRPr="0004250B">
              <w:rPr>
                <w:b/>
                <w:snapToGrid w:val="0"/>
              </w:rPr>
              <w:t xml:space="preserve"> AMH/MIS ELISA</w:t>
            </w:r>
          </w:p>
        </w:tc>
        <w:tc>
          <w:tcPr>
            <w:tcW w:w="788" w:type="pct"/>
          </w:tcPr>
          <w:p w14:paraId="5E9460ED" w14:textId="77777777" w:rsidR="00F70BE5" w:rsidRPr="0004250B" w:rsidRDefault="00F70BE5" w:rsidP="0004250B">
            <w:pPr>
              <w:pStyle w:val="TableText0"/>
              <w:rPr>
                <w:b/>
                <w:snapToGrid w:val="0"/>
              </w:rPr>
            </w:pPr>
            <w:r w:rsidRPr="0004250B">
              <w:rPr>
                <w:b/>
                <w:snapToGrid w:val="0"/>
              </w:rPr>
              <w:t>Pico-AMH ELISA [95%CI]</w:t>
            </w:r>
          </w:p>
        </w:tc>
        <w:tc>
          <w:tcPr>
            <w:tcW w:w="1019" w:type="pct"/>
          </w:tcPr>
          <w:p w14:paraId="7D5749B2" w14:textId="77777777" w:rsidR="00F70BE5" w:rsidRPr="0004250B" w:rsidRDefault="00F70BE5" w:rsidP="0004250B">
            <w:pPr>
              <w:pStyle w:val="TableText0"/>
              <w:rPr>
                <w:b/>
                <w:snapToGrid w:val="0"/>
              </w:rPr>
            </w:pPr>
            <w:r w:rsidRPr="0004250B">
              <w:rPr>
                <w:b/>
                <w:snapToGrid w:val="0"/>
              </w:rPr>
              <w:t>AMH measured by diagnostic laboratory</w:t>
            </w:r>
          </w:p>
        </w:tc>
      </w:tr>
      <w:tr w:rsidR="00F70BE5" w:rsidRPr="00DE5D72" w14:paraId="4991ED60" w14:textId="77777777" w:rsidTr="006815D3">
        <w:tc>
          <w:tcPr>
            <w:tcW w:w="1082" w:type="pct"/>
          </w:tcPr>
          <w:p w14:paraId="2F4D4F39" w14:textId="77777777" w:rsidR="00F70BE5" w:rsidRPr="00DE5D72" w:rsidRDefault="00F70BE5" w:rsidP="00CB6357">
            <w:pPr>
              <w:pStyle w:val="TableText0"/>
              <w:rPr>
                <w:snapToGrid w:val="0"/>
              </w:rPr>
            </w:pPr>
            <w:r w:rsidRPr="00DE5D72">
              <w:rPr>
                <w:snapToGrid w:val="0"/>
              </w:rPr>
              <w:t>Decanter et al. (2014)</w:t>
            </w:r>
          </w:p>
          <w:p w14:paraId="43E500FE" w14:textId="77777777" w:rsidR="00F70BE5" w:rsidRPr="00DE5D72" w:rsidRDefault="00F70BE5" w:rsidP="00CB6357">
            <w:pPr>
              <w:pStyle w:val="TableText0"/>
              <w:rPr>
                <w:snapToGrid w:val="0"/>
              </w:rPr>
            </w:pPr>
            <w:r w:rsidRPr="00DE5D72">
              <w:rPr>
                <w:snapToGrid w:val="0"/>
              </w:rPr>
              <w:t>Undetectable AMH versus RS at time of AMH</w:t>
            </w:r>
          </w:p>
        </w:tc>
        <w:tc>
          <w:tcPr>
            <w:tcW w:w="550" w:type="pct"/>
          </w:tcPr>
          <w:p w14:paraId="4363EE75" w14:textId="77777777" w:rsidR="00F70BE5" w:rsidRPr="00DE5D72" w:rsidRDefault="00F70BE5" w:rsidP="00A0412A">
            <w:pPr>
              <w:pStyle w:val="TableText0"/>
              <w:ind w:left="16" w:right="117"/>
              <w:rPr>
                <w:snapToGrid w:val="0"/>
              </w:rPr>
            </w:pPr>
            <w:r w:rsidRPr="00DE5D72">
              <w:rPr>
                <w:snapToGrid w:val="0"/>
              </w:rPr>
              <w:t>Sensitivity</w:t>
            </w:r>
          </w:p>
          <w:p w14:paraId="6BBFE4B4" w14:textId="77777777" w:rsidR="00F70BE5" w:rsidRPr="00DE5D72" w:rsidRDefault="00F70BE5" w:rsidP="00A0412A">
            <w:pPr>
              <w:pStyle w:val="TableText0"/>
              <w:ind w:left="16" w:right="117"/>
              <w:rPr>
                <w:snapToGrid w:val="0"/>
              </w:rPr>
            </w:pPr>
            <w:r w:rsidRPr="00DE5D72">
              <w:rPr>
                <w:snapToGrid w:val="0"/>
              </w:rPr>
              <w:t>Specificity</w:t>
            </w:r>
          </w:p>
          <w:p w14:paraId="3BB5C44D" w14:textId="77777777" w:rsidR="00F70BE5" w:rsidRPr="00DE5D72" w:rsidRDefault="00F70BE5" w:rsidP="00A0412A">
            <w:pPr>
              <w:pStyle w:val="TableText0"/>
              <w:ind w:left="16" w:right="117"/>
              <w:rPr>
                <w:snapToGrid w:val="0"/>
              </w:rPr>
            </w:pPr>
            <w:r w:rsidRPr="00DE5D72">
              <w:rPr>
                <w:snapToGrid w:val="0"/>
              </w:rPr>
              <w:t>LR+</w:t>
            </w:r>
          </w:p>
          <w:p w14:paraId="4738A200" w14:textId="28C63C7D" w:rsidR="00F70BE5" w:rsidRPr="00DE5D72" w:rsidRDefault="00A0412A" w:rsidP="00A0412A">
            <w:pPr>
              <w:pStyle w:val="TableText0"/>
              <w:ind w:left="16" w:right="117"/>
              <w:rPr>
                <w:snapToGrid w:val="0"/>
              </w:rPr>
            </w:pPr>
            <w:r>
              <w:rPr>
                <w:snapToGrid w:val="0"/>
              </w:rPr>
              <w:t>LR-</w:t>
            </w:r>
          </w:p>
        </w:tc>
        <w:tc>
          <w:tcPr>
            <w:tcW w:w="783" w:type="pct"/>
          </w:tcPr>
          <w:p w14:paraId="62ABC6A5" w14:textId="77777777" w:rsidR="00F70BE5" w:rsidRPr="00DE5D72" w:rsidRDefault="00F70BE5" w:rsidP="00A0412A">
            <w:pPr>
              <w:pStyle w:val="TableText0"/>
              <w:ind w:left="16" w:right="117"/>
              <w:rPr>
                <w:snapToGrid w:val="0"/>
              </w:rPr>
            </w:pPr>
            <w:r w:rsidRPr="00DE5D72">
              <w:rPr>
                <w:snapToGrid w:val="0"/>
              </w:rPr>
              <w:t>11% [2, 28]</w:t>
            </w:r>
          </w:p>
          <w:p w14:paraId="72F09050" w14:textId="77777777" w:rsidR="00F70BE5" w:rsidRPr="00DE5D72" w:rsidRDefault="00F70BE5" w:rsidP="00A0412A">
            <w:pPr>
              <w:pStyle w:val="TableText0"/>
              <w:ind w:left="16" w:right="117"/>
              <w:rPr>
                <w:snapToGrid w:val="0"/>
              </w:rPr>
            </w:pPr>
            <w:r w:rsidRPr="00DE5D72">
              <w:rPr>
                <w:snapToGrid w:val="0"/>
              </w:rPr>
              <w:t>93% [78, 99]</w:t>
            </w:r>
          </w:p>
          <w:p w14:paraId="11DD4E3E" w14:textId="77777777" w:rsidR="00F70BE5" w:rsidRPr="00DE5D72" w:rsidRDefault="00F70BE5" w:rsidP="00A0412A">
            <w:pPr>
              <w:pStyle w:val="TableText0"/>
              <w:ind w:left="16" w:right="117"/>
              <w:rPr>
                <w:snapToGrid w:val="0"/>
              </w:rPr>
            </w:pPr>
            <w:r w:rsidRPr="00DE5D72">
              <w:rPr>
                <w:snapToGrid w:val="0"/>
              </w:rPr>
              <w:t>1.61 [0.29, 8.92]</w:t>
            </w:r>
          </w:p>
          <w:p w14:paraId="720F59B1" w14:textId="77777777" w:rsidR="00F70BE5" w:rsidRPr="00DE5D72" w:rsidRDefault="00F70BE5" w:rsidP="00A0412A">
            <w:pPr>
              <w:pStyle w:val="TableText0"/>
              <w:ind w:left="16" w:right="117"/>
              <w:rPr>
                <w:snapToGrid w:val="0"/>
              </w:rPr>
            </w:pPr>
            <w:r w:rsidRPr="00DE5D72">
              <w:rPr>
                <w:snapToGrid w:val="0"/>
              </w:rPr>
              <w:t>0.96 [0.82, 1.12]</w:t>
            </w:r>
          </w:p>
        </w:tc>
        <w:tc>
          <w:tcPr>
            <w:tcW w:w="777" w:type="pct"/>
          </w:tcPr>
          <w:p w14:paraId="51F0CBD8" w14:textId="77777777" w:rsidR="00F70BE5" w:rsidRPr="00DE5D72" w:rsidRDefault="00F70BE5" w:rsidP="00A0412A">
            <w:pPr>
              <w:pStyle w:val="TableText0"/>
              <w:ind w:right="117"/>
              <w:rPr>
                <w:snapToGrid w:val="0"/>
              </w:rPr>
            </w:pPr>
            <w:r w:rsidRPr="00DE5D72">
              <w:rPr>
                <w:snapToGrid w:val="0"/>
              </w:rPr>
              <w:t>NA</w:t>
            </w:r>
          </w:p>
        </w:tc>
        <w:tc>
          <w:tcPr>
            <w:tcW w:w="788" w:type="pct"/>
          </w:tcPr>
          <w:p w14:paraId="1DC8F0B7" w14:textId="77777777" w:rsidR="00F70BE5" w:rsidRPr="00DE5D72" w:rsidRDefault="00F70BE5" w:rsidP="00A0412A">
            <w:pPr>
              <w:pStyle w:val="TableText0"/>
              <w:ind w:left="16" w:right="117"/>
              <w:rPr>
                <w:snapToGrid w:val="0"/>
              </w:rPr>
            </w:pPr>
            <w:r w:rsidRPr="00DE5D72">
              <w:rPr>
                <w:snapToGrid w:val="0"/>
              </w:rPr>
              <w:t>71% [51, 67]</w:t>
            </w:r>
          </w:p>
          <w:p w14:paraId="40C76EC1" w14:textId="34AB9AAF" w:rsidR="00F70BE5" w:rsidRPr="00DE5D72" w:rsidRDefault="00A0412A" w:rsidP="00A0412A">
            <w:pPr>
              <w:pStyle w:val="TableText0"/>
              <w:ind w:left="16" w:right="117"/>
              <w:rPr>
                <w:snapToGrid w:val="0"/>
              </w:rPr>
            </w:pPr>
            <w:r>
              <w:rPr>
                <w:snapToGrid w:val="0"/>
              </w:rPr>
              <w:t>83% [65, 94]</w:t>
            </w:r>
          </w:p>
          <w:p w14:paraId="3DF0A686" w14:textId="77777777" w:rsidR="00F70BE5" w:rsidRPr="00DE5D72" w:rsidRDefault="00F70BE5" w:rsidP="00A0412A">
            <w:pPr>
              <w:pStyle w:val="TableText0"/>
              <w:ind w:left="16" w:right="117"/>
              <w:rPr>
                <w:snapToGrid w:val="0"/>
              </w:rPr>
            </w:pPr>
            <w:r w:rsidRPr="00DE5D72">
              <w:rPr>
                <w:snapToGrid w:val="0"/>
              </w:rPr>
              <w:t>4.29 [1.86, 9.87]</w:t>
            </w:r>
          </w:p>
          <w:p w14:paraId="5431364C" w14:textId="77777777" w:rsidR="00F70BE5" w:rsidRPr="00DE5D72" w:rsidRDefault="00F70BE5" w:rsidP="00A0412A">
            <w:pPr>
              <w:pStyle w:val="TableText0"/>
              <w:ind w:right="117"/>
              <w:rPr>
                <w:snapToGrid w:val="0"/>
              </w:rPr>
            </w:pPr>
            <w:r w:rsidRPr="00DE5D72">
              <w:rPr>
                <w:snapToGrid w:val="0"/>
              </w:rPr>
              <w:t>0.34 [0.19, 0.63]</w:t>
            </w:r>
          </w:p>
        </w:tc>
        <w:tc>
          <w:tcPr>
            <w:tcW w:w="1019" w:type="pct"/>
          </w:tcPr>
          <w:p w14:paraId="7EFCF6B8" w14:textId="77777777" w:rsidR="00F70BE5" w:rsidRPr="00DE5D72" w:rsidRDefault="00F70BE5" w:rsidP="00A0412A">
            <w:pPr>
              <w:pStyle w:val="TableText0"/>
              <w:ind w:right="117"/>
              <w:rPr>
                <w:snapToGrid w:val="0"/>
              </w:rPr>
            </w:pPr>
            <w:r w:rsidRPr="00DE5D72">
              <w:rPr>
                <w:snapToGrid w:val="0"/>
              </w:rPr>
              <w:t>NA</w:t>
            </w:r>
          </w:p>
        </w:tc>
      </w:tr>
      <w:tr w:rsidR="00F70BE5" w:rsidRPr="00DE5D72" w14:paraId="1C600A53" w14:textId="77777777" w:rsidTr="006815D3">
        <w:tc>
          <w:tcPr>
            <w:tcW w:w="1082" w:type="pct"/>
          </w:tcPr>
          <w:p w14:paraId="7E4C5184" w14:textId="77777777" w:rsidR="00F70BE5" w:rsidRPr="00DE5D72" w:rsidRDefault="00F70BE5" w:rsidP="00CB6357">
            <w:pPr>
              <w:pStyle w:val="TableText0"/>
              <w:rPr>
                <w:snapToGrid w:val="0"/>
              </w:rPr>
            </w:pPr>
            <w:r w:rsidRPr="00DE5D72">
              <w:rPr>
                <w:snapToGrid w:val="0"/>
              </w:rPr>
              <w:t>Chai et al (2014)</w:t>
            </w:r>
          </w:p>
          <w:p w14:paraId="50E02665" w14:textId="77777777" w:rsidR="00F70BE5" w:rsidRPr="00DE5D72" w:rsidRDefault="00F70BE5" w:rsidP="00CB6357">
            <w:pPr>
              <w:pStyle w:val="TableText0"/>
              <w:rPr>
                <w:snapToGrid w:val="0"/>
              </w:rPr>
            </w:pPr>
            <w:r w:rsidRPr="00DE5D72">
              <w:rPr>
                <w:snapToGrid w:val="0"/>
              </w:rPr>
              <w:t xml:space="preserve">Undetectable AMH at 1-year post-chemotherapy versus RS at 3-years </w:t>
            </w:r>
          </w:p>
        </w:tc>
        <w:tc>
          <w:tcPr>
            <w:tcW w:w="550" w:type="pct"/>
          </w:tcPr>
          <w:p w14:paraId="422DCAD5" w14:textId="77777777" w:rsidR="00F70BE5" w:rsidRPr="00DE5D72" w:rsidRDefault="00F70BE5" w:rsidP="00A0412A">
            <w:pPr>
              <w:pStyle w:val="TableText0"/>
              <w:ind w:left="16" w:right="117"/>
              <w:rPr>
                <w:snapToGrid w:val="0"/>
              </w:rPr>
            </w:pPr>
            <w:r w:rsidRPr="00DE5D72">
              <w:rPr>
                <w:snapToGrid w:val="0"/>
              </w:rPr>
              <w:t>Sensitivity</w:t>
            </w:r>
          </w:p>
          <w:p w14:paraId="71CB148F" w14:textId="77777777" w:rsidR="00F70BE5" w:rsidRPr="00DE5D72" w:rsidRDefault="00F70BE5" w:rsidP="00A0412A">
            <w:pPr>
              <w:pStyle w:val="TableText0"/>
              <w:ind w:left="16" w:right="117"/>
              <w:rPr>
                <w:snapToGrid w:val="0"/>
              </w:rPr>
            </w:pPr>
            <w:r w:rsidRPr="00DE5D72">
              <w:rPr>
                <w:snapToGrid w:val="0"/>
              </w:rPr>
              <w:t>Specificity</w:t>
            </w:r>
          </w:p>
          <w:p w14:paraId="16E0A138" w14:textId="77777777" w:rsidR="00F70BE5" w:rsidRPr="00DE5D72" w:rsidRDefault="00F70BE5" w:rsidP="00A0412A">
            <w:pPr>
              <w:pStyle w:val="TableText0"/>
              <w:ind w:left="16" w:right="117"/>
              <w:rPr>
                <w:snapToGrid w:val="0"/>
              </w:rPr>
            </w:pPr>
            <w:r w:rsidRPr="00DE5D72">
              <w:rPr>
                <w:snapToGrid w:val="0"/>
              </w:rPr>
              <w:t>LR+</w:t>
            </w:r>
          </w:p>
          <w:p w14:paraId="4295B124" w14:textId="1E823415" w:rsidR="00F70BE5" w:rsidRPr="00DE5D72" w:rsidRDefault="00A0412A" w:rsidP="00A0412A">
            <w:pPr>
              <w:pStyle w:val="TableText0"/>
              <w:ind w:left="16" w:right="117"/>
              <w:rPr>
                <w:snapToGrid w:val="0"/>
              </w:rPr>
            </w:pPr>
            <w:r>
              <w:rPr>
                <w:snapToGrid w:val="0"/>
              </w:rPr>
              <w:t>LR-</w:t>
            </w:r>
          </w:p>
        </w:tc>
        <w:tc>
          <w:tcPr>
            <w:tcW w:w="783" w:type="pct"/>
          </w:tcPr>
          <w:p w14:paraId="03B99D14" w14:textId="77777777" w:rsidR="00F70BE5" w:rsidRPr="00DE5D72" w:rsidRDefault="00F70BE5" w:rsidP="00A0412A">
            <w:pPr>
              <w:pStyle w:val="TableText0"/>
              <w:ind w:left="16" w:right="117"/>
              <w:rPr>
                <w:snapToGrid w:val="0"/>
              </w:rPr>
            </w:pPr>
            <w:r w:rsidRPr="00DE5D72">
              <w:rPr>
                <w:snapToGrid w:val="0"/>
              </w:rPr>
              <w:t>NA</w:t>
            </w:r>
          </w:p>
        </w:tc>
        <w:tc>
          <w:tcPr>
            <w:tcW w:w="777" w:type="pct"/>
          </w:tcPr>
          <w:p w14:paraId="02CBCA6E" w14:textId="77777777" w:rsidR="00F70BE5" w:rsidRPr="00DE5D72" w:rsidRDefault="00F70BE5" w:rsidP="00A0412A">
            <w:pPr>
              <w:pStyle w:val="TableText0"/>
              <w:ind w:right="117"/>
              <w:rPr>
                <w:snapToGrid w:val="0"/>
              </w:rPr>
            </w:pPr>
            <w:r w:rsidRPr="00DE5D72">
              <w:rPr>
                <w:snapToGrid w:val="0"/>
              </w:rPr>
              <w:t>NA</w:t>
            </w:r>
          </w:p>
        </w:tc>
        <w:tc>
          <w:tcPr>
            <w:tcW w:w="788" w:type="pct"/>
          </w:tcPr>
          <w:p w14:paraId="5F21A059" w14:textId="77777777" w:rsidR="00F70BE5" w:rsidRPr="00DE5D72" w:rsidRDefault="00F70BE5" w:rsidP="00A0412A">
            <w:pPr>
              <w:pStyle w:val="TableText0"/>
              <w:ind w:left="16" w:right="117"/>
              <w:rPr>
                <w:snapToGrid w:val="0"/>
              </w:rPr>
            </w:pPr>
            <w:r w:rsidRPr="00DE5D72">
              <w:rPr>
                <w:snapToGrid w:val="0"/>
              </w:rPr>
              <w:t>91% (59, 100]</w:t>
            </w:r>
          </w:p>
          <w:p w14:paraId="28114DA1" w14:textId="77777777" w:rsidR="00F70BE5" w:rsidRPr="00DE5D72" w:rsidRDefault="00F70BE5" w:rsidP="00A0412A">
            <w:pPr>
              <w:pStyle w:val="TableText0"/>
              <w:ind w:left="16" w:right="117"/>
              <w:rPr>
                <w:snapToGrid w:val="0"/>
              </w:rPr>
            </w:pPr>
            <w:r w:rsidRPr="00DE5D72">
              <w:rPr>
                <w:snapToGrid w:val="0"/>
              </w:rPr>
              <w:t>74% [55, 88]</w:t>
            </w:r>
          </w:p>
          <w:p w14:paraId="3ADBD50F" w14:textId="77777777" w:rsidR="00F70BE5" w:rsidRPr="00DE5D72" w:rsidRDefault="00F70BE5" w:rsidP="00A0412A">
            <w:pPr>
              <w:pStyle w:val="TableText0"/>
              <w:ind w:left="16" w:right="117"/>
              <w:rPr>
                <w:snapToGrid w:val="0"/>
              </w:rPr>
            </w:pPr>
            <w:r w:rsidRPr="00DE5D72">
              <w:rPr>
                <w:snapToGrid w:val="0"/>
              </w:rPr>
              <w:t>3.52 [1.88, 6.58]</w:t>
            </w:r>
          </w:p>
          <w:p w14:paraId="1E896370" w14:textId="77777777" w:rsidR="00F70BE5" w:rsidRPr="00DE5D72" w:rsidRDefault="00F70BE5" w:rsidP="00A0412A">
            <w:pPr>
              <w:pStyle w:val="TableText0"/>
              <w:ind w:right="117"/>
              <w:rPr>
                <w:snapToGrid w:val="0"/>
              </w:rPr>
            </w:pPr>
            <w:r w:rsidRPr="00DE5D72">
              <w:rPr>
                <w:snapToGrid w:val="0"/>
              </w:rPr>
              <w:t>0.12 [0.02, 0.8]</w:t>
            </w:r>
          </w:p>
        </w:tc>
        <w:tc>
          <w:tcPr>
            <w:tcW w:w="1019" w:type="pct"/>
          </w:tcPr>
          <w:p w14:paraId="17B88200" w14:textId="77777777" w:rsidR="00F70BE5" w:rsidRPr="00DE5D72" w:rsidRDefault="00F70BE5" w:rsidP="00A0412A">
            <w:pPr>
              <w:pStyle w:val="TableText0"/>
              <w:ind w:right="117"/>
              <w:rPr>
                <w:snapToGrid w:val="0"/>
              </w:rPr>
            </w:pPr>
            <w:r w:rsidRPr="00DE5D72">
              <w:rPr>
                <w:snapToGrid w:val="0"/>
              </w:rPr>
              <w:t>NA</w:t>
            </w:r>
          </w:p>
        </w:tc>
      </w:tr>
      <w:tr w:rsidR="00F70BE5" w:rsidRPr="00DE5D72" w14:paraId="27554DAC" w14:textId="77777777" w:rsidTr="006815D3">
        <w:tc>
          <w:tcPr>
            <w:tcW w:w="1082" w:type="pct"/>
          </w:tcPr>
          <w:p w14:paraId="2B78E134" w14:textId="77777777" w:rsidR="00F70BE5" w:rsidRPr="00DE5D72" w:rsidRDefault="00F70BE5" w:rsidP="00CB6357">
            <w:pPr>
              <w:pStyle w:val="TableText0"/>
              <w:rPr>
                <w:snapToGrid w:val="0"/>
              </w:rPr>
            </w:pPr>
            <w:r w:rsidRPr="00DE5D72">
              <w:rPr>
                <w:snapToGrid w:val="0"/>
              </w:rPr>
              <w:t>Jantke et al. (2012)</w:t>
            </w:r>
          </w:p>
          <w:p w14:paraId="57645391" w14:textId="77777777" w:rsidR="00F70BE5" w:rsidRPr="00DE5D72" w:rsidRDefault="00F70BE5" w:rsidP="00CB6357">
            <w:pPr>
              <w:pStyle w:val="TableText0"/>
              <w:rPr>
                <w:snapToGrid w:val="0"/>
              </w:rPr>
            </w:pPr>
            <w:r w:rsidRPr="00DE5D72">
              <w:rPr>
                <w:snapToGrid w:val="0"/>
              </w:rPr>
              <w:t>Undetectable AMH versus RS at time of AMH</w:t>
            </w:r>
          </w:p>
        </w:tc>
        <w:tc>
          <w:tcPr>
            <w:tcW w:w="550" w:type="pct"/>
          </w:tcPr>
          <w:p w14:paraId="3EE6CD0C" w14:textId="77777777" w:rsidR="00F70BE5" w:rsidRPr="00DE5D72" w:rsidRDefault="00F70BE5" w:rsidP="00A0412A">
            <w:pPr>
              <w:pStyle w:val="TableText0"/>
              <w:ind w:left="16" w:right="117"/>
              <w:rPr>
                <w:snapToGrid w:val="0"/>
              </w:rPr>
            </w:pPr>
            <w:r w:rsidRPr="00DE5D72">
              <w:rPr>
                <w:snapToGrid w:val="0"/>
              </w:rPr>
              <w:t>Sensitivity</w:t>
            </w:r>
          </w:p>
          <w:p w14:paraId="37552A5D" w14:textId="77777777" w:rsidR="00F70BE5" w:rsidRPr="00DE5D72" w:rsidRDefault="00F70BE5" w:rsidP="00A0412A">
            <w:pPr>
              <w:pStyle w:val="TableText0"/>
              <w:ind w:left="16" w:right="117"/>
              <w:rPr>
                <w:snapToGrid w:val="0"/>
              </w:rPr>
            </w:pPr>
            <w:r w:rsidRPr="00DE5D72">
              <w:rPr>
                <w:snapToGrid w:val="0"/>
              </w:rPr>
              <w:t>Specificity</w:t>
            </w:r>
          </w:p>
          <w:p w14:paraId="594705EE" w14:textId="77777777" w:rsidR="00F70BE5" w:rsidRPr="00DE5D72" w:rsidRDefault="00F70BE5" w:rsidP="00A0412A">
            <w:pPr>
              <w:pStyle w:val="TableText0"/>
              <w:ind w:left="16" w:right="117"/>
              <w:rPr>
                <w:snapToGrid w:val="0"/>
              </w:rPr>
            </w:pPr>
            <w:r w:rsidRPr="00DE5D72">
              <w:rPr>
                <w:snapToGrid w:val="0"/>
              </w:rPr>
              <w:t>LR+</w:t>
            </w:r>
          </w:p>
          <w:p w14:paraId="14BB54A1" w14:textId="6D942F4D" w:rsidR="00F70BE5" w:rsidRPr="00DE5D72" w:rsidRDefault="00A0412A" w:rsidP="00A0412A">
            <w:pPr>
              <w:pStyle w:val="TableText0"/>
              <w:ind w:left="16" w:right="117"/>
              <w:rPr>
                <w:snapToGrid w:val="0"/>
              </w:rPr>
            </w:pPr>
            <w:r>
              <w:rPr>
                <w:snapToGrid w:val="0"/>
              </w:rPr>
              <w:t>LR-</w:t>
            </w:r>
          </w:p>
        </w:tc>
        <w:tc>
          <w:tcPr>
            <w:tcW w:w="783" w:type="pct"/>
          </w:tcPr>
          <w:p w14:paraId="71AA5DCE" w14:textId="77777777" w:rsidR="00F70BE5" w:rsidRPr="00DE5D72" w:rsidRDefault="00F70BE5" w:rsidP="00A0412A">
            <w:pPr>
              <w:pStyle w:val="TableText0"/>
              <w:ind w:left="16" w:right="117"/>
              <w:rPr>
                <w:snapToGrid w:val="0"/>
              </w:rPr>
            </w:pPr>
            <w:r w:rsidRPr="00DE5D72">
              <w:rPr>
                <w:snapToGrid w:val="0"/>
              </w:rPr>
              <w:t>NA</w:t>
            </w:r>
          </w:p>
        </w:tc>
        <w:tc>
          <w:tcPr>
            <w:tcW w:w="777" w:type="pct"/>
          </w:tcPr>
          <w:p w14:paraId="2FDDA651" w14:textId="77777777" w:rsidR="00F70BE5" w:rsidRPr="00DE5D72" w:rsidRDefault="00F70BE5" w:rsidP="00A0412A">
            <w:pPr>
              <w:pStyle w:val="TableText0"/>
              <w:ind w:right="117"/>
              <w:rPr>
                <w:snapToGrid w:val="0"/>
              </w:rPr>
            </w:pPr>
            <w:r w:rsidRPr="00DE5D72">
              <w:rPr>
                <w:snapToGrid w:val="0"/>
              </w:rPr>
              <w:t>NA</w:t>
            </w:r>
          </w:p>
        </w:tc>
        <w:tc>
          <w:tcPr>
            <w:tcW w:w="788" w:type="pct"/>
          </w:tcPr>
          <w:p w14:paraId="65423C47" w14:textId="77777777" w:rsidR="00F70BE5" w:rsidRPr="00DE5D72" w:rsidRDefault="00F70BE5" w:rsidP="00A0412A">
            <w:pPr>
              <w:pStyle w:val="TableText0"/>
              <w:ind w:right="117"/>
              <w:rPr>
                <w:snapToGrid w:val="0"/>
              </w:rPr>
            </w:pPr>
            <w:r w:rsidRPr="00DE5D72">
              <w:rPr>
                <w:snapToGrid w:val="0"/>
              </w:rPr>
              <w:t>NA</w:t>
            </w:r>
          </w:p>
        </w:tc>
        <w:tc>
          <w:tcPr>
            <w:tcW w:w="1019" w:type="pct"/>
          </w:tcPr>
          <w:p w14:paraId="390F5B3E" w14:textId="77777777" w:rsidR="00F70BE5" w:rsidRPr="00DE5D72" w:rsidRDefault="00F70BE5" w:rsidP="00A0412A">
            <w:pPr>
              <w:pStyle w:val="TableText0"/>
              <w:ind w:right="117"/>
              <w:rPr>
                <w:snapToGrid w:val="0"/>
              </w:rPr>
            </w:pPr>
            <w:r w:rsidRPr="00DE5D72">
              <w:rPr>
                <w:snapToGrid w:val="0"/>
              </w:rPr>
              <w:t>86% [65, 97]</w:t>
            </w:r>
          </w:p>
          <w:p w14:paraId="1D2C1F22" w14:textId="77777777" w:rsidR="00F70BE5" w:rsidRPr="00DE5D72" w:rsidRDefault="00F70BE5" w:rsidP="00A0412A">
            <w:pPr>
              <w:pStyle w:val="TableText0"/>
              <w:ind w:right="117"/>
              <w:rPr>
                <w:snapToGrid w:val="0"/>
              </w:rPr>
            </w:pPr>
            <w:r w:rsidRPr="00DE5D72">
              <w:rPr>
                <w:snapToGrid w:val="0"/>
              </w:rPr>
              <w:t>100% [48, 100]</w:t>
            </w:r>
          </w:p>
          <w:p w14:paraId="40B32B60" w14:textId="77777777" w:rsidR="00F70BE5" w:rsidRPr="00DE5D72" w:rsidRDefault="00F70BE5" w:rsidP="00A0412A">
            <w:pPr>
              <w:pStyle w:val="TableText0"/>
              <w:ind w:right="117"/>
              <w:rPr>
                <w:snapToGrid w:val="0"/>
              </w:rPr>
            </w:pPr>
            <w:r w:rsidRPr="00DE5D72">
              <w:rPr>
                <w:snapToGrid w:val="0"/>
              </w:rPr>
              <w:t>infinity</w:t>
            </w:r>
          </w:p>
          <w:p w14:paraId="3493DB6A" w14:textId="77777777" w:rsidR="00F70BE5" w:rsidRPr="00DE5D72" w:rsidRDefault="00F70BE5" w:rsidP="00A0412A">
            <w:pPr>
              <w:pStyle w:val="TableText0"/>
              <w:ind w:right="117"/>
              <w:rPr>
                <w:snapToGrid w:val="0"/>
              </w:rPr>
            </w:pPr>
            <w:r w:rsidRPr="00DE5D72">
              <w:rPr>
                <w:snapToGrid w:val="0"/>
              </w:rPr>
              <w:t>0.14 [0.05, 0.39]</w:t>
            </w:r>
          </w:p>
        </w:tc>
      </w:tr>
      <w:tr w:rsidR="00F70BE5" w:rsidRPr="001F3408" w14:paraId="2C19CA68" w14:textId="77777777" w:rsidTr="006815D3">
        <w:tc>
          <w:tcPr>
            <w:tcW w:w="1082" w:type="pct"/>
          </w:tcPr>
          <w:p w14:paraId="0E918300" w14:textId="77777777" w:rsidR="00F70BE5" w:rsidRPr="00DE5D72" w:rsidRDefault="00F70BE5" w:rsidP="00CB6357">
            <w:pPr>
              <w:pStyle w:val="TableText0"/>
              <w:rPr>
                <w:snapToGrid w:val="0"/>
              </w:rPr>
            </w:pPr>
            <w:r w:rsidRPr="00DE5D72">
              <w:rPr>
                <w:snapToGrid w:val="0"/>
              </w:rPr>
              <w:t>Su et al. (2011)</w:t>
            </w:r>
          </w:p>
          <w:p w14:paraId="7F5B3D5C" w14:textId="77777777" w:rsidR="00F70BE5" w:rsidRPr="00DE5D72" w:rsidRDefault="00F70BE5" w:rsidP="00CB6357">
            <w:pPr>
              <w:pStyle w:val="TableText0"/>
              <w:rPr>
                <w:snapToGrid w:val="0"/>
              </w:rPr>
            </w:pPr>
            <w:r w:rsidRPr="00DE5D72">
              <w:rPr>
                <w:snapToGrid w:val="0"/>
              </w:rPr>
              <w:t>Undetectable AMH versus RS at time of AMH</w:t>
            </w:r>
          </w:p>
        </w:tc>
        <w:tc>
          <w:tcPr>
            <w:tcW w:w="550" w:type="pct"/>
          </w:tcPr>
          <w:p w14:paraId="6A4DF29F" w14:textId="77777777" w:rsidR="00F70BE5" w:rsidRPr="00DE5D72" w:rsidRDefault="00F70BE5" w:rsidP="00A0412A">
            <w:pPr>
              <w:pStyle w:val="TableText0"/>
              <w:ind w:left="16" w:right="117"/>
              <w:rPr>
                <w:snapToGrid w:val="0"/>
              </w:rPr>
            </w:pPr>
            <w:r w:rsidRPr="00DE5D72">
              <w:rPr>
                <w:snapToGrid w:val="0"/>
              </w:rPr>
              <w:t>Sensitivity</w:t>
            </w:r>
          </w:p>
          <w:p w14:paraId="4B61B5DF" w14:textId="77777777" w:rsidR="00F70BE5" w:rsidRPr="00DE5D72" w:rsidRDefault="00F70BE5" w:rsidP="00A0412A">
            <w:pPr>
              <w:pStyle w:val="TableText0"/>
              <w:ind w:left="16" w:right="117"/>
              <w:rPr>
                <w:snapToGrid w:val="0"/>
              </w:rPr>
            </w:pPr>
            <w:r w:rsidRPr="00DE5D72">
              <w:rPr>
                <w:snapToGrid w:val="0"/>
              </w:rPr>
              <w:t>Specificity</w:t>
            </w:r>
          </w:p>
          <w:p w14:paraId="7E8B0C5E" w14:textId="77777777" w:rsidR="00F70BE5" w:rsidRPr="00DE5D72" w:rsidRDefault="00F70BE5" w:rsidP="00A0412A">
            <w:pPr>
              <w:pStyle w:val="TableText0"/>
              <w:ind w:left="16" w:right="117"/>
              <w:rPr>
                <w:snapToGrid w:val="0"/>
              </w:rPr>
            </w:pPr>
            <w:r w:rsidRPr="00DE5D72">
              <w:rPr>
                <w:snapToGrid w:val="0"/>
              </w:rPr>
              <w:t>LR+</w:t>
            </w:r>
          </w:p>
          <w:p w14:paraId="3766629E" w14:textId="6181EF84" w:rsidR="00F70BE5" w:rsidRPr="00DE5D72" w:rsidRDefault="00A0412A" w:rsidP="00A0412A">
            <w:pPr>
              <w:pStyle w:val="TableText0"/>
              <w:ind w:left="16" w:right="117"/>
              <w:rPr>
                <w:snapToGrid w:val="0"/>
              </w:rPr>
            </w:pPr>
            <w:r>
              <w:rPr>
                <w:snapToGrid w:val="0"/>
              </w:rPr>
              <w:t>LR-</w:t>
            </w:r>
          </w:p>
        </w:tc>
        <w:tc>
          <w:tcPr>
            <w:tcW w:w="783" w:type="pct"/>
          </w:tcPr>
          <w:p w14:paraId="6DE21399" w14:textId="77777777" w:rsidR="00F70BE5" w:rsidRPr="00DE5D72" w:rsidRDefault="00F70BE5" w:rsidP="00A0412A">
            <w:pPr>
              <w:pStyle w:val="TableText0"/>
              <w:ind w:left="16" w:right="117"/>
              <w:rPr>
                <w:snapToGrid w:val="0"/>
              </w:rPr>
            </w:pPr>
            <w:r w:rsidRPr="00DE5D72">
              <w:rPr>
                <w:snapToGrid w:val="0"/>
              </w:rPr>
              <w:t>NA</w:t>
            </w:r>
          </w:p>
        </w:tc>
        <w:tc>
          <w:tcPr>
            <w:tcW w:w="777" w:type="pct"/>
          </w:tcPr>
          <w:p w14:paraId="1516CA5F" w14:textId="77777777" w:rsidR="00F70BE5" w:rsidRPr="00DE5D72" w:rsidRDefault="00F70BE5" w:rsidP="00A0412A">
            <w:pPr>
              <w:pStyle w:val="TableText0"/>
              <w:ind w:right="117"/>
              <w:rPr>
                <w:snapToGrid w:val="0"/>
              </w:rPr>
            </w:pPr>
            <w:r w:rsidRPr="00DE5D72">
              <w:rPr>
                <w:snapToGrid w:val="0"/>
              </w:rPr>
              <w:t>60%</w:t>
            </w:r>
          </w:p>
          <w:p w14:paraId="265E66AB" w14:textId="77777777" w:rsidR="00F70BE5" w:rsidRPr="00DE5D72" w:rsidRDefault="00F70BE5" w:rsidP="00A0412A">
            <w:pPr>
              <w:pStyle w:val="TableText0"/>
              <w:ind w:right="117"/>
              <w:rPr>
                <w:snapToGrid w:val="0"/>
              </w:rPr>
            </w:pPr>
            <w:r w:rsidRPr="00DE5D72">
              <w:rPr>
                <w:snapToGrid w:val="0"/>
              </w:rPr>
              <w:t>76%</w:t>
            </w:r>
          </w:p>
          <w:p w14:paraId="0E9584E4" w14:textId="77777777" w:rsidR="00F70BE5" w:rsidRPr="00DE5D72" w:rsidRDefault="00F70BE5" w:rsidP="00A0412A">
            <w:pPr>
              <w:pStyle w:val="TableText0"/>
              <w:ind w:right="117"/>
              <w:rPr>
                <w:snapToGrid w:val="0"/>
              </w:rPr>
            </w:pPr>
            <w:r w:rsidRPr="00DE5D72">
              <w:rPr>
                <w:snapToGrid w:val="0"/>
              </w:rPr>
              <w:t>2.50</w:t>
            </w:r>
          </w:p>
          <w:p w14:paraId="1917DF58" w14:textId="77777777" w:rsidR="00F70BE5" w:rsidRPr="00DE5D72" w:rsidRDefault="00F70BE5" w:rsidP="00A0412A">
            <w:pPr>
              <w:pStyle w:val="TableText0"/>
              <w:ind w:right="117"/>
              <w:rPr>
                <w:snapToGrid w:val="0"/>
              </w:rPr>
            </w:pPr>
            <w:r w:rsidRPr="00DE5D72">
              <w:rPr>
                <w:snapToGrid w:val="0"/>
              </w:rPr>
              <w:t>0.53</w:t>
            </w:r>
          </w:p>
        </w:tc>
        <w:tc>
          <w:tcPr>
            <w:tcW w:w="788" w:type="pct"/>
          </w:tcPr>
          <w:p w14:paraId="43DFF581" w14:textId="77777777" w:rsidR="00F70BE5" w:rsidRPr="00DE5D72" w:rsidRDefault="00F70BE5" w:rsidP="00A0412A">
            <w:pPr>
              <w:pStyle w:val="TableText0"/>
              <w:ind w:right="117"/>
              <w:rPr>
                <w:snapToGrid w:val="0"/>
              </w:rPr>
            </w:pPr>
            <w:r w:rsidRPr="00DE5D72">
              <w:rPr>
                <w:snapToGrid w:val="0"/>
              </w:rPr>
              <w:t>NA</w:t>
            </w:r>
          </w:p>
        </w:tc>
        <w:tc>
          <w:tcPr>
            <w:tcW w:w="1019" w:type="pct"/>
          </w:tcPr>
          <w:p w14:paraId="01DA3B18" w14:textId="77777777" w:rsidR="00F70BE5" w:rsidRDefault="00F70BE5" w:rsidP="00A0412A">
            <w:pPr>
              <w:pStyle w:val="TableText0"/>
              <w:ind w:right="117"/>
              <w:rPr>
                <w:snapToGrid w:val="0"/>
              </w:rPr>
            </w:pPr>
            <w:r w:rsidRPr="00DE5D72">
              <w:rPr>
                <w:snapToGrid w:val="0"/>
              </w:rPr>
              <w:t>NA</w:t>
            </w:r>
          </w:p>
        </w:tc>
      </w:tr>
    </w:tbl>
    <w:p w14:paraId="7476C495" w14:textId="3BE76139" w:rsidR="00F70BE5" w:rsidRDefault="00F70BE5" w:rsidP="003929ED">
      <w:pPr>
        <w:pStyle w:val="Tablenotes0"/>
        <w:spacing w:after="240"/>
      </w:pPr>
      <w:r w:rsidRPr="00F85BC1">
        <w:t>AMH = anti-Müllerian hormone; CI = confidence interval; EIA = en</w:t>
      </w:r>
      <w:r w:rsidR="003F6C90">
        <w:t>zyme i</w:t>
      </w:r>
      <w:r w:rsidRPr="00F85BC1">
        <w:t xml:space="preserve">mmunoassay; </w:t>
      </w:r>
      <w:r>
        <w:t xml:space="preserve">LR+ = positive likelihood ratio; </w:t>
      </w:r>
      <w:r w:rsidR="00A0412A">
        <w:t>LR-</w:t>
      </w:r>
      <w:r>
        <w:t xml:space="preserve"> = negative likelihood ratio; NA = not applicable; </w:t>
      </w:r>
      <w:r w:rsidRPr="00F85BC1">
        <w:t>MIS = Mü</w:t>
      </w:r>
      <w:r w:rsidR="005070FC">
        <w:t>llerian-inhibiting</w:t>
      </w:r>
      <w:r w:rsidRPr="00F85BC1">
        <w:t xml:space="preserve"> substance</w:t>
      </w:r>
      <w:r>
        <w:t>; RS = reference standard</w:t>
      </w:r>
    </w:p>
    <w:p w14:paraId="126CF6A6" w14:textId="01BC9594" w:rsidR="00D50709" w:rsidRDefault="00D50709" w:rsidP="00D50709">
      <w:pPr>
        <w:jc w:val="both"/>
        <w:rPr>
          <w:color w:val="000000" w:themeColor="text1"/>
        </w:rPr>
      </w:pPr>
      <w:r>
        <w:rPr>
          <w:color w:val="000000" w:themeColor="text1"/>
        </w:rPr>
        <w:t>Women who have treatment associated with a low risk (</w:t>
      </w:r>
      <w:r w:rsidRPr="00F61043">
        <w:rPr>
          <w:color w:val="000000" w:themeColor="text1"/>
        </w:rPr>
        <w:t>20</w:t>
      </w:r>
      <w:r>
        <w:rPr>
          <w:color w:val="000000" w:themeColor="text1"/>
        </w:rPr>
        <w:t>–30</w:t>
      </w:r>
      <w:r w:rsidRPr="00F61043">
        <w:rPr>
          <w:color w:val="000000" w:themeColor="text1"/>
        </w:rPr>
        <w:t>%</w:t>
      </w:r>
      <w:r>
        <w:rPr>
          <w:color w:val="000000" w:themeColor="text1"/>
        </w:rPr>
        <w:t xml:space="preserve">) of ovarian failure, tested using the first generation </w:t>
      </w:r>
      <w:r w:rsidRPr="006F4954">
        <w:rPr>
          <w:color w:val="000000" w:themeColor="text1"/>
        </w:rPr>
        <w:t xml:space="preserve">DSL ACTIVE® AMH/MIS ELISA </w:t>
      </w:r>
      <w:r>
        <w:rPr>
          <w:color w:val="000000" w:themeColor="text1"/>
        </w:rPr>
        <w:t xml:space="preserve">or EIA AMH/MIS assays, have a PPV of 0.28 to 0.52, indicating that only 28 to 52% of the women </w:t>
      </w:r>
      <w:r w:rsidRPr="00F61043">
        <w:rPr>
          <w:color w:val="000000" w:themeColor="text1"/>
        </w:rPr>
        <w:t xml:space="preserve">with a positive test </w:t>
      </w:r>
      <w:r>
        <w:rPr>
          <w:color w:val="000000" w:themeColor="text1"/>
        </w:rPr>
        <w:t>result</w:t>
      </w:r>
      <w:r w:rsidRPr="00F61043">
        <w:rPr>
          <w:color w:val="000000" w:themeColor="text1"/>
        </w:rPr>
        <w:t xml:space="preserve"> </w:t>
      </w:r>
      <w:r>
        <w:rPr>
          <w:color w:val="000000" w:themeColor="text1"/>
        </w:rPr>
        <w:t xml:space="preserve">would </w:t>
      </w:r>
      <w:r w:rsidRPr="00F61043">
        <w:rPr>
          <w:color w:val="000000" w:themeColor="text1"/>
        </w:rPr>
        <w:t>actually ha</w:t>
      </w:r>
      <w:r>
        <w:rPr>
          <w:color w:val="000000" w:themeColor="text1"/>
        </w:rPr>
        <w:t>ve</w:t>
      </w:r>
      <w:r w:rsidRPr="00F61043">
        <w:rPr>
          <w:color w:val="000000" w:themeColor="text1"/>
        </w:rPr>
        <w:t xml:space="preserve"> </w:t>
      </w:r>
      <w:r>
        <w:rPr>
          <w:color w:val="000000" w:themeColor="text1"/>
        </w:rPr>
        <w:t>resumption of menses (</w:t>
      </w:r>
      <w:r>
        <w:rPr>
          <w:color w:val="000000" w:themeColor="text1"/>
        </w:rPr>
        <w:fldChar w:fldCharType="begin"/>
      </w:r>
      <w:r>
        <w:rPr>
          <w:color w:val="000000" w:themeColor="text1"/>
        </w:rPr>
        <w:instrText xml:space="preserve"> REF _Ref496624795 \h </w:instrText>
      </w:r>
      <w:r>
        <w:rPr>
          <w:color w:val="000000" w:themeColor="text1"/>
        </w:rPr>
      </w:r>
      <w:r>
        <w:rPr>
          <w:color w:val="000000" w:themeColor="text1"/>
        </w:rPr>
        <w:fldChar w:fldCharType="separate"/>
      </w:r>
      <w:r w:rsidR="00AC4BE5">
        <w:t xml:space="preserve">Figure </w:t>
      </w:r>
      <w:r w:rsidR="00AC4BE5">
        <w:rPr>
          <w:noProof/>
        </w:rPr>
        <w:t>8</w:t>
      </w:r>
      <w:r>
        <w:rPr>
          <w:color w:val="000000" w:themeColor="text1"/>
        </w:rPr>
        <w:fldChar w:fldCharType="end"/>
      </w:r>
      <w:r>
        <w:rPr>
          <w:color w:val="000000" w:themeColor="text1"/>
        </w:rPr>
        <w:t xml:space="preserve">). This is no better than chance. Conversely, of the women having treatment with a high risk (70–80%) of ovarian failure, 79 to 91% </w:t>
      </w:r>
      <w:r w:rsidRPr="005B0D67">
        <w:rPr>
          <w:color w:val="000000" w:themeColor="text1"/>
        </w:rPr>
        <w:t xml:space="preserve">with a positive </w:t>
      </w:r>
      <w:r w:rsidRPr="00B80A7B">
        <w:rPr>
          <w:color w:val="000000" w:themeColor="text1"/>
        </w:rPr>
        <w:t xml:space="preserve">EIA AMH/MIS assay </w:t>
      </w:r>
      <w:r w:rsidRPr="005B0D67">
        <w:rPr>
          <w:color w:val="000000" w:themeColor="text1"/>
        </w:rPr>
        <w:t xml:space="preserve">result </w:t>
      </w:r>
      <w:r>
        <w:rPr>
          <w:color w:val="000000" w:themeColor="text1"/>
        </w:rPr>
        <w:t>would have</w:t>
      </w:r>
      <w:r w:rsidRPr="005B0D67">
        <w:rPr>
          <w:color w:val="000000" w:themeColor="text1"/>
        </w:rPr>
        <w:t xml:space="preserve"> resumption of menses</w:t>
      </w:r>
      <w:r>
        <w:rPr>
          <w:color w:val="000000" w:themeColor="text1"/>
        </w:rPr>
        <w:t>. Thus, a positive test result only offers useful information for women having high-risk treatment, with at least 79% of those women receiving a positive result resuming menses, being true positives.</w:t>
      </w:r>
    </w:p>
    <w:p w14:paraId="65F4D94D" w14:textId="658CE0F7" w:rsidR="00D50709" w:rsidRPr="00D50709" w:rsidRDefault="00D50709" w:rsidP="00D50709">
      <w:pPr>
        <w:jc w:val="both"/>
        <w:rPr>
          <w:color w:val="000000" w:themeColor="text1"/>
        </w:rPr>
      </w:pPr>
      <w:r>
        <w:rPr>
          <w:color w:val="000000" w:themeColor="text1"/>
        </w:rPr>
        <w:t xml:space="preserve">On the other hand, a negative test result only offers useful information to women having low-risk treatment, where the NPV indicated that 71 to 88% of women with </w:t>
      </w:r>
      <w:r w:rsidRPr="005B0D67">
        <w:rPr>
          <w:color w:val="000000" w:themeColor="text1"/>
        </w:rPr>
        <w:t xml:space="preserve">a negative test </w:t>
      </w:r>
      <w:r>
        <w:rPr>
          <w:color w:val="000000" w:themeColor="text1"/>
        </w:rPr>
        <w:t>result</w:t>
      </w:r>
      <w:r w:rsidRPr="005B0D67">
        <w:rPr>
          <w:color w:val="000000" w:themeColor="text1"/>
        </w:rPr>
        <w:t xml:space="preserve"> </w:t>
      </w:r>
      <w:r>
        <w:rPr>
          <w:color w:val="000000" w:themeColor="text1"/>
        </w:rPr>
        <w:t>would</w:t>
      </w:r>
      <w:r w:rsidRPr="005B0D67">
        <w:rPr>
          <w:color w:val="000000" w:themeColor="text1"/>
        </w:rPr>
        <w:t xml:space="preserve"> not</w:t>
      </w:r>
      <w:r>
        <w:rPr>
          <w:color w:val="000000" w:themeColor="text1"/>
        </w:rPr>
        <w:t xml:space="preserve"> have resumption of menses (</w:t>
      </w:r>
      <w:r>
        <w:rPr>
          <w:color w:val="000000" w:themeColor="text1"/>
        </w:rPr>
        <w:fldChar w:fldCharType="begin"/>
      </w:r>
      <w:r>
        <w:rPr>
          <w:color w:val="000000" w:themeColor="text1"/>
        </w:rPr>
        <w:instrText xml:space="preserve"> REF _Ref495061257 \h </w:instrText>
      </w:r>
      <w:r>
        <w:rPr>
          <w:color w:val="000000" w:themeColor="text1"/>
        </w:rPr>
      </w:r>
      <w:r>
        <w:rPr>
          <w:color w:val="000000" w:themeColor="text1"/>
        </w:rPr>
        <w:fldChar w:fldCharType="separate"/>
      </w:r>
      <w:r w:rsidR="00AC4BE5">
        <w:t xml:space="preserve">Figure </w:t>
      </w:r>
      <w:r w:rsidR="00AC4BE5">
        <w:rPr>
          <w:noProof/>
        </w:rPr>
        <w:t>9</w:t>
      </w:r>
      <w:r>
        <w:rPr>
          <w:color w:val="000000" w:themeColor="text1"/>
        </w:rPr>
        <w:fldChar w:fldCharType="end"/>
      </w:r>
      <w:r>
        <w:rPr>
          <w:color w:val="000000" w:themeColor="text1"/>
        </w:rPr>
        <w:t xml:space="preserve">). Among </w:t>
      </w:r>
      <w:r w:rsidRPr="00A61433">
        <w:rPr>
          <w:color w:val="000000" w:themeColor="text1"/>
        </w:rPr>
        <w:t>wom</w:t>
      </w:r>
      <w:r>
        <w:rPr>
          <w:color w:val="000000" w:themeColor="text1"/>
        </w:rPr>
        <w:t xml:space="preserve">en having treatment with a high </w:t>
      </w:r>
      <w:r w:rsidRPr="00A61433">
        <w:rPr>
          <w:color w:val="000000" w:themeColor="text1"/>
        </w:rPr>
        <w:t>risk of ovarian failure, 2</w:t>
      </w:r>
      <w:r>
        <w:rPr>
          <w:color w:val="000000" w:themeColor="text1"/>
        </w:rPr>
        <w:t>1 to 45</w:t>
      </w:r>
      <w:r w:rsidRPr="00A61433">
        <w:rPr>
          <w:color w:val="000000" w:themeColor="text1"/>
        </w:rPr>
        <w:t>% with a negative test result would not</w:t>
      </w:r>
      <w:r>
        <w:rPr>
          <w:color w:val="000000" w:themeColor="text1"/>
        </w:rPr>
        <w:t xml:space="preserve"> have resumption of menses. This is no better than chance and is not clinically useful.</w:t>
      </w:r>
    </w:p>
    <w:p w14:paraId="0B607FF1" w14:textId="77777777" w:rsidR="00F70BE5" w:rsidRDefault="00F70BE5" w:rsidP="00F70BE5">
      <w:pPr>
        <w:spacing w:after="0" w:line="240" w:lineRule="auto"/>
        <w:rPr>
          <w:color w:val="000000" w:themeColor="text1"/>
        </w:rPr>
      </w:pPr>
      <w:r>
        <w:rPr>
          <w:noProof/>
          <w:color w:val="000000" w:themeColor="text1"/>
        </w:rPr>
        <w:lastRenderedPageBreak/>
        <w:drawing>
          <wp:inline distT="0" distB="0" distL="0" distR="0" wp14:anchorId="4762EC4F" wp14:editId="1D1D9BA4">
            <wp:extent cx="5727700" cy="3278901"/>
            <wp:effectExtent l="0" t="0" r="6350" b="0"/>
            <wp:docPr id="2" name="Picture 2" descr="PPV values with increasing prevalence of treatment-induced ovarian failure from 20% to 80% (AMH measured post-treatment)" title="PPV values with increasing prevalence of treatment-induced ovarian failure from 20% to 80% (AMH measured post-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881" cy="3289881"/>
                    </a:xfrm>
                    <a:prstGeom prst="rect">
                      <a:avLst/>
                    </a:prstGeom>
                    <a:noFill/>
                  </pic:spPr>
                </pic:pic>
              </a:graphicData>
            </a:graphic>
          </wp:inline>
        </w:drawing>
      </w:r>
    </w:p>
    <w:p w14:paraId="1019051D" w14:textId="6C7A844A" w:rsidR="00F70BE5" w:rsidRDefault="00F70BE5" w:rsidP="006D275B">
      <w:pPr>
        <w:pStyle w:val="TableHeading"/>
        <w:ind w:left="993" w:hanging="993"/>
        <w:rPr>
          <w:color w:val="000000" w:themeColor="text1"/>
        </w:rPr>
      </w:pPr>
      <w:bookmarkStart w:id="343" w:name="_Ref496624795"/>
      <w:bookmarkStart w:id="344" w:name="_Toc502833122"/>
      <w:r>
        <w:t xml:space="preserve">Figure </w:t>
      </w:r>
      <w:r w:rsidR="00AC4BE5">
        <w:fldChar w:fldCharType="begin"/>
      </w:r>
      <w:r w:rsidR="00AC4BE5">
        <w:instrText xml:space="preserve"> SEQ Figure \* ARABIC </w:instrText>
      </w:r>
      <w:r w:rsidR="00AC4BE5">
        <w:fldChar w:fldCharType="separate"/>
      </w:r>
      <w:r w:rsidR="00AC4BE5">
        <w:rPr>
          <w:noProof/>
        </w:rPr>
        <w:t>8</w:t>
      </w:r>
      <w:r w:rsidR="00AC4BE5">
        <w:rPr>
          <w:noProof/>
        </w:rPr>
        <w:fldChar w:fldCharType="end"/>
      </w:r>
      <w:bookmarkEnd w:id="343"/>
      <w:r>
        <w:tab/>
        <w:t>PPV values with increasing prevalence of treatment-induced ovarian failure from 20% to 80%</w:t>
      </w:r>
      <w:r w:rsidR="00FB0199">
        <w:t xml:space="preserve"> (AMH measured post-treatment)</w:t>
      </w:r>
      <w:bookmarkEnd w:id="344"/>
    </w:p>
    <w:p w14:paraId="2AE5E4BB" w14:textId="041E2EFF" w:rsidR="00F70BE5" w:rsidRDefault="00F70BE5" w:rsidP="003929ED">
      <w:pPr>
        <w:pStyle w:val="Tablenotes0"/>
        <w:spacing w:after="240"/>
      </w:pPr>
      <w:r w:rsidRPr="00FB0199">
        <w:t xml:space="preserve">EIA = PPV for EIA AMH/MIS assay from Decanter et al. (2014); Pico = PPV for </w:t>
      </w:r>
      <w:r w:rsidR="000701EE">
        <w:t>pico</w:t>
      </w:r>
      <w:r w:rsidRPr="00FB0199">
        <w:t xml:space="preserve">-AMH ELISA from Decanter et al. (2014); Chai = PPV for </w:t>
      </w:r>
      <w:r w:rsidR="000701EE">
        <w:t>pico</w:t>
      </w:r>
      <w:r w:rsidRPr="00FB0199">
        <w:t>-AMH ELISA from Chai et al. (2014)</w:t>
      </w:r>
    </w:p>
    <w:p w14:paraId="5084A071" w14:textId="77777777" w:rsidR="00F70BE5" w:rsidRDefault="00F70BE5" w:rsidP="00F70BE5">
      <w:pPr>
        <w:spacing w:after="0" w:line="240" w:lineRule="auto"/>
        <w:rPr>
          <w:color w:val="000000" w:themeColor="text1"/>
        </w:rPr>
      </w:pPr>
      <w:r>
        <w:rPr>
          <w:noProof/>
          <w:color w:val="000000" w:themeColor="text1"/>
        </w:rPr>
        <w:drawing>
          <wp:inline distT="0" distB="0" distL="0" distR="0" wp14:anchorId="480965D2" wp14:editId="1DFE8E98">
            <wp:extent cx="5729580" cy="3390900"/>
            <wp:effectExtent l="0" t="0" r="5080" b="0"/>
            <wp:docPr id="11" name="Picture 11" descr="NPV values with increasing prevalence of treatment-induced ovarian failure from 20% to 80% (AMH measured post-treatment)" title="NPV values with increasing prevalence of treatment-induced ovarian failure from 20% to 80% (AMH measured post-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5881" cy="3394629"/>
                    </a:xfrm>
                    <a:prstGeom prst="rect">
                      <a:avLst/>
                    </a:prstGeom>
                    <a:noFill/>
                  </pic:spPr>
                </pic:pic>
              </a:graphicData>
            </a:graphic>
          </wp:inline>
        </w:drawing>
      </w:r>
    </w:p>
    <w:p w14:paraId="0B0BE5F9" w14:textId="6AFAD161" w:rsidR="00F70BE5" w:rsidRDefault="00F70BE5" w:rsidP="006D275B">
      <w:pPr>
        <w:pStyle w:val="TableHeading"/>
        <w:ind w:left="993" w:hanging="993"/>
        <w:rPr>
          <w:color w:val="000000" w:themeColor="text1"/>
        </w:rPr>
      </w:pPr>
      <w:bookmarkStart w:id="345" w:name="_Ref495061257"/>
      <w:bookmarkStart w:id="346" w:name="_Toc502833123"/>
      <w:r>
        <w:t xml:space="preserve">Figure </w:t>
      </w:r>
      <w:r w:rsidR="00AC4BE5">
        <w:fldChar w:fldCharType="begin"/>
      </w:r>
      <w:r w:rsidR="00AC4BE5">
        <w:instrText xml:space="preserve"> SEQ Figure \* ARABIC </w:instrText>
      </w:r>
      <w:r w:rsidR="00AC4BE5">
        <w:fldChar w:fldCharType="separate"/>
      </w:r>
      <w:r w:rsidR="00AC4BE5">
        <w:rPr>
          <w:noProof/>
        </w:rPr>
        <w:t>9</w:t>
      </w:r>
      <w:r w:rsidR="00AC4BE5">
        <w:rPr>
          <w:noProof/>
        </w:rPr>
        <w:fldChar w:fldCharType="end"/>
      </w:r>
      <w:bookmarkEnd w:id="345"/>
      <w:r>
        <w:tab/>
        <w:t>NPV values with increasing prevalence of treatment-induced ovarian failure from 20% to 80%</w:t>
      </w:r>
      <w:r w:rsidR="00FB0199">
        <w:t xml:space="preserve"> (AMH measured post-treatment)</w:t>
      </w:r>
      <w:bookmarkEnd w:id="346"/>
    </w:p>
    <w:p w14:paraId="6282298B" w14:textId="566E0DE6" w:rsidR="00F70BE5" w:rsidRDefault="00F70BE5" w:rsidP="003929ED">
      <w:pPr>
        <w:pStyle w:val="Tablenotes0"/>
        <w:spacing w:after="240"/>
      </w:pPr>
      <w:r w:rsidRPr="00FB0199">
        <w:t xml:space="preserve">EIA = NPV for EIA AMH/MIS assay from Decanter et al. (2014); Pico = NPV for </w:t>
      </w:r>
      <w:r w:rsidR="000701EE">
        <w:t>pico</w:t>
      </w:r>
      <w:r w:rsidRPr="00FB0199">
        <w:t xml:space="preserve">-AMH ELISA from Decanter et al. (2014); Chai = NPV for </w:t>
      </w:r>
      <w:r w:rsidR="000701EE">
        <w:t>pico</w:t>
      </w:r>
      <w:r w:rsidRPr="00FB0199">
        <w:t>-AMH ELISA from Chai et al. (2014); Jantke = NPV for AMH measured in a diagnostic laboratory from Jantke et al. (2012)</w:t>
      </w:r>
    </w:p>
    <w:p w14:paraId="5BC05D72" w14:textId="52379BC3" w:rsidR="00F70BE5" w:rsidRDefault="00F70BE5" w:rsidP="00F70BE5">
      <w:pPr>
        <w:jc w:val="both"/>
        <w:rPr>
          <w:color w:val="000000" w:themeColor="text1"/>
        </w:rPr>
      </w:pPr>
      <w:r>
        <w:rPr>
          <w:color w:val="000000" w:themeColor="text1"/>
        </w:rPr>
        <w:t xml:space="preserve">The point estimates for the LR+ and </w:t>
      </w:r>
      <w:r w:rsidR="00A0412A">
        <w:rPr>
          <w:color w:val="000000" w:themeColor="text1"/>
        </w:rPr>
        <w:t>LR-</w:t>
      </w:r>
      <w:r>
        <w:rPr>
          <w:color w:val="000000" w:themeColor="text1"/>
        </w:rPr>
        <w:t xml:space="preserve"> calculated for the </w:t>
      </w:r>
      <w:r w:rsidRPr="008962B4">
        <w:rPr>
          <w:color w:val="000000" w:themeColor="text1"/>
        </w:rPr>
        <w:t xml:space="preserve">DSL ACTIVE® AMH/MIS ELISA </w:t>
      </w:r>
      <w:r>
        <w:rPr>
          <w:color w:val="000000" w:themeColor="text1"/>
        </w:rPr>
        <w:t xml:space="preserve">and </w:t>
      </w:r>
      <w:r w:rsidRPr="003C6662">
        <w:rPr>
          <w:color w:val="000000" w:themeColor="text1"/>
        </w:rPr>
        <w:t>EIA AMH/MIS assay</w:t>
      </w:r>
      <w:r w:rsidR="003929ED">
        <w:rPr>
          <w:color w:val="000000" w:themeColor="text1"/>
        </w:rPr>
        <w:t>s</w:t>
      </w:r>
      <w:r>
        <w:rPr>
          <w:color w:val="000000" w:themeColor="text1"/>
        </w:rPr>
        <w:t xml:space="preserve"> confirm the conclusions </w:t>
      </w:r>
      <w:r w:rsidR="003929ED">
        <w:rPr>
          <w:color w:val="000000" w:themeColor="text1"/>
        </w:rPr>
        <w:t>based on</w:t>
      </w:r>
      <w:r>
        <w:rPr>
          <w:color w:val="000000" w:themeColor="text1"/>
        </w:rPr>
        <w:t xml:space="preserve"> the PPV and NPV values. However, the 95%CIs for the LR+ from </w:t>
      </w:r>
      <w:r w:rsidRPr="008962B4">
        <w:rPr>
          <w:color w:val="000000" w:themeColor="text1"/>
        </w:rPr>
        <w:t>EIA AMH/MIS assay</w:t>
      </w:r>
      <w:r>
        <w:rPr>
          <w:color w:val="000000" w:themeColor="text1"/>
        </w:rPr>
        <w:t xml:space="preserve"> indicate that a positive test result is just as likely to come from </w:t>
      </w:r>
      <w:r>
        <w:rPr>
          <w:color w:val="000000" w:themeColor="text1"/>
        </w:rPr>
        <w:lastRenderedPageBreak/>
        <w:t xml:space="preserve">a woman </w:t>
      </w:r>
      <w:r w:rsidR="00D32AF0">
        <w:rPr>
          <w:color w:val="000000" w:themeColor="text1"/>
        </w:rPr>
        <w:t>who has resumed</w:t>
      </w:r>
      <w:r w:rsidRPr="00F20473">
        <w:rPr>
          <w:color w:val="000000" w:themeColor="text1"/>
        </w:rPr>
        <w:t xml:space="preserve"> m</w:t>
      </w:r>
      <w:r>
        <w:rPr>
          <w:color w:val="000000" w:themeColor="text1"/>
        </w:rPr>
        <w:t>e</w:t>
      </w:r>
      <w:r w:rsidRPr="00F20473">
        <w:rPr>
          <w:color w:val="000000" w:themeColor="text1"/>
        </w:rPr>
        <w:t>nses</w:t>
      </w:r>
      <w:r w:rsidR="00D32AF0">
        <w:rPr>
          <w:color w:val="000000" w:themeColor="text1"/>
        </w:rPr>
        <w:t xml:space="preserve"> as</w:t>
      </w:r>
      <w:r>
        <w:rPr>
          <w:color w:val="000000" w:themeColor="text1"/>
        </w:rPr>
        <w:t xml:space="preserve"> a woman without menses. Likewise, a negative test result </w:t>
      </w:r>
      <w:r w:rsidR="00D32AF0">
        <w:rPr>
          <w:color w:val="000000" w:themeColor="text1"/>
        </w:rPr>
        <w:t>is</w:t>
      </w:r>
      <w:r>
        <w:rPr>
          <w:color w:val="000000" w:themeColor="text1"/>
        </w:rPr>
        <w:t xml:space="preserve"> equally likely to come from a woman </w:t>
      </w:r>
      <w:r w:rsidR="00D32AF0">
        <w:rPr>
          <w:color w:val="000000" w:themeColor="text1"/>
        </w:rPr>
        <w:t>who has resumed</w:t>
      </w:r>
      <w:r w:rsidRPr="00F20473">
        <w:rPr>
          <w:color w:val="000000" w:themeColor="text1"/>
        </w:rPr>
        <w:t xml:space="preserve"> menses as a woman without menses</w:t>
      </w:r>
      <w:r>
        <w:rPr>
          <w:color w:val="000000" w:themeColor="text1"/>
        </w:rPr>
        <w:t xml:space="preserve">. Thus, </w:t>
      </w:r>
      <w:r w:rsidRPr="00F20473">
        <w:rPr>
          <w:color w:val="000000" w:themeColor="text1"/>
        </w:rPr>
        <w:t xml:space="preserve">the EIA AMH/MIS assay </w:t>
      </w:r>
      <w:r>
        <w:rPr>
          <w:color w:val="000000" w:themeColor="text1"/>
        </w:rPr>
        <w:t xml:space="preserve">provides no additional information </w:t>
      </w:r>
      <w:r w:rsidR="00D32AF0">
        <w:rPr>
          <w:color w:val="000000" w:themeColor="text1"/>
        </w:rPr>
        <w:t>about</w:t>
      </w:r>
      <w:r>
        <w:rPr>
          <w:color w:val="000000" w:themeColor="text1"/>
        </w:rPr>
        <w:t xml:space="preserve"> ovarian reserve of these women</w:t>
      </w:r>
      <w:r w:rsidR="00D32AF0">
        <w:rPr>
          <w:color w:val="000000" w:themeColor="text1"/>
        </w:rPr>
        <w:t xml:space="preserve">, nor the likelihood of future </w:t>
      </w:r>
      <w:r>
        <w:rPr>
          <w:color w:val="000000" w:themeColor="text1"/>
        </w:rPr>
        <w:t>menstruation</w:t>
      </w:r>
      <w:r w:rsidR="00D32AF0">
        <w:rPr>
          <w:color w:val="000000" w:themeColor="text1"/>
        </w:rPr>
        <w:t xml:space="preserve"> status</w:t>
      </w:r>
      <w:r>
        <w:rPr>
          <w:color w:val="000000" w:themeColor="text1"/>
        </w:rPr>
        <w:t xml:space="preserve">. The 95% CIs could not be derived for the </w:t>
      </w:r>
      <w:r w:rsidRPr="008962B4">
        <w:rPr>
          <w:color w:val="000000" w:themeColor="text1"/>
        </w:rPr>
        <w:t>DSL ACTIVE® AMH/MIS ELISA</w:t>
      </w:r>
      <w:r>
        <w:rPr>
          <w:color w:val="000000" w:themeColor="text1"/>
        </w:rPr>
        <w:t xml:space="preserve">. The LR+ point estimate </w:t>
      </w:r>
      <w:r w:rsidRPr="008962B4">
        <w:rPr>
          <w:color w:val="000000" w:themeColor="text1"/>
        </w:rPr>
        <w:t>indicate</w:t>
      </w:r>
      <w:r w:rsidR="006E443C">
        <w:rPr>
          <w:color w:val="000000" w:themeColor="text1"/>
        </w:rPr>
        <w:t>s</w:t>
      </w:r>
      <w:r w:rsidRPr="008962B4">
        <w:rPr>
          <w:color w:val="000000" w:themeColor="text1"/>
        </w:rPr>
        <w:t xml:space="preserve"> that a positive test result is </w:t>
      </w:r>
      <w:r w:rsidR="006E443C">
        <w:rPr>
          <w:color w:val="000000" w:themeColor="text1"/>
        </w:rPr>
        <w:t xml:space="preserve">2.5 </w:t>
      </w:r>
      <w:r w:rsidRPr="008962B4">
        <w:rPr>
          <w:color w:val="000000" w:themeColor="text1"/>
        </w:rPr>
        <w:t>times more likely to come from women who have resumed menstruatio</w:t>
      </w:r>
      <w:r w:rsidR="006E443C">
        <w:rPr>
          <w:color w:val="000000" w:themeColor="text1"/>
        </w:rPr>
        <w:t>n than from those who have not, whereas t</w:t>
      </w:r>
      <w:r w:rsidRPr="008962B4">
        <w:rPr>
          <w:color w:val="000000" w:themeColor="text1"/>
        </w:rPr>
        <w:t xml:space="preserve">he </w:t>
      </w:r>
      <w:r w:rsidR="00A0412A">
        <w:rPr>
          <w:color w:val="000000" w:themeColor="text1"/>
        </w:rPr>
        <w:t>LR-</w:t>
      </w:r>
      <w:r w:rsidRPr="008962B4">
        <w:rPr>
          <w:color w:val="000000" w:themeColor="text1"/>
        </w:rPr>
        <w:t xml:space="preserve"> point estimate indicates that a negative test result is </w:t>
      </w:r>
      <w:r>
        <w:rPr>
          <w:color w:val="000000" w:themeColor="text1"/>
        </w:rPr>
        <w:t xml:space="preserve">approximately twice as </w:t>
      </w:r>
      <w:r w:rsidRPr="008962B4">
        <w:rPr>
          <w:color w:val="000000" w:themeColor="text1"/>
        </w:rPr>
        <w:t xml:space="preserve">likely to come from women who have not resumed menstruation </w:t>
      </w:r>
      <w:r w:rsidR="006E443C">
        <w:rPr>
          <w:color w:val="000000" w:themeColor="text1"/>
        </w:rPr>
        <w:t>versus those who have</w:t>
      </w:r>
      <w:r>
        <w:rPr>
          <w:color w:val="000000" w:themeColor="text1"/>
        </w:rPr>
        <w:t>.</w:t>
      </w:r>
    </w:p>
    <w:p w14:paraId="7DCDCEBA" w14:textId="483C999F" w:rsidR="00F70BE5" w:rsidRDefault="00F70BE5" w:rsidP="00F70BE5">
      <w:pPr>
        <w:jc w:val="both"/>
        <w:rPr>
          <w:color w:val="000000" w:themeColor="text1"/>
        </w:rPr>
      </w:pPr>
      <w:r>
        <w:rPr>
          <w:color w:val="000000" w:themeColor="text1"/>
        </w:rPr>
        <w:t>T</w:t>
      </w:r>
      <w:r w:rsidRPr="005B0D67">
        <w:rPr>
          <w:color w:val="000000" w:themeColor="text1"/>
        </w:rPr>
        <w:t xml:space="preserve">he </w:t>
      </w:r>
      <w:r w:rsidR="000701EE">
        <w:rPr>
          <w:color w:val="000000" w:themeColor="text1"/>
        </w:rPr>
        <w:t>pico</w:t>
      </w:r>
      <w:r w:rsidRPr="005B0D67">
        <w:rPr>
          <w:color w:val="000000" w:themeColor="text1"/>
        </w:rPr>
        <w:t>-AMH ELISA</w:t>
      </w:r>
      <w:r>
        <w:rPr>
          <w:color w:val="000000" w:themeColor="text1"/>
        </w:rPr>
        <w:t xml:space="preserve"> test was more accurate. </w:t>
      </w:r>
      <w:r w:rsidR="006E443C">
        <w:rPr>
          <w:color w:val="000000" w:themeColor="text1"/>
        </w:rPr>
        <w:t xml:space="preserve">Among </w:t>
      </w:r>
      <w:r>
        <w:rPr>
          <w:color w:val="000000" w:themeColor="text1"/>
        </w:rPr>
        <w:t>the women</w:t>
      </w:r>
      <w:r w:rsidRPr="00EB1416">
        <w:rPr>
          <w:color w:val="000000" w:themeColor="text1"/>
        </w:rPr>
        <w:t xml:space="preserve"> who have treatment associated with a low risk of ovarian failure</w:t>
      </w:r>
      <w:r>
        <w:rPr>
          <w:color w:val="000000" w:themeColor="text1"/>
        </w:rPr>
        <w:t>,</w:t>
      </w:r>
      <w:r w:rsidRPr="00EB1416">
        <w:rPr>
          <w:color w:val="000000" w:themeColor="text1"/>
        </w:rPr>
        <w:t xml:space="preserve"> </w:t>
      </w:r>
      <w:r w:rsidR="00A63017">
        <w:rPr>
          <w:color w:val="000000" w:themeColor="text1"/>
        </w:rPr>
        <w:t xml:space="preserve">the PPV indicates that 47 to </w:t>
      </w:r>
      <w:r>
        <w:rPr>
          <w:color w:val="000000" w:themeColor="text1"/>
        </w:rPr>
        <w:t xml:space="preserve">64% </w:t>
      </w:r>
      <w:r w:rsidRPr="005B0D67">
        <w:rPr>
          <w:color w:val="000000" w:themeColor="text1"/>
        </w:rPr>
        <w:t>with a positive test result</w:t>
      </w:r>
      <w:r>
        <w:rPr>
          <w:color w:val="000000" w:themeColor="text1"/>
        </w:rPr>
        <w:t xml:space="preserve"> would have</w:t>
      </w:r>
      <w:r w:rsidRPr="005B0D67">
        <w:rPr>
          <w:color w:val="000000" w:themeColor="text1"/>
        </w:rPr>
        <w:t xml:space="preserve"> resumption of menses</w:t>
      </w:r>
      <w:r w:rsidR="006E443C">
        <w:rPr>
          <w:color w:val="000000" w:themeColor="text1"/>
        </w:rPr>
        <w:t>;</w:t>
      </w:r>
      <w:r>
        <w:rPr>
          <w:color w:val="000000" w:themeColor="text1"/>
        </w:rPr>
        <w:t xml:space="preserve"> however, this is only slightly bet</w:t>
      </w:r>
      <w:r w:rsidR="006E443C">
        <w:rPr>
          <w:color w:val="000000" w:themeColor="text1"/>
        </w:rPr>
        <w:t xml:space="preserve">ter than chance. Conversely, 89 to </w:t>
      </w:r>
      <w:r>
        <w:rPr>
          <w:color w:val="000000" w:themeColor="text1"/>
        </w:rPr>
        <w:t>94</w:t>
      </w:r>
      <w:r w:rsidRPr="005B0D67">
        <w:rPr>
          <w:color w:val="000000" w:themeColor="text1"/>
        </w:rPr>
        <w:t xml:space="preserve">% of </w:t>
      </w:r>
      <w:r w:rsidRPr="00F55110">
        <w:rPr>
          <w:color w:val="000000" w:themeColor="text1"/>
        </w:rPr>
        <w:t xml:space="preserve">women having treatment with a high risk of ovarian failure </w:t>
      </w:r>
      <w:r>
        <w:rPr>
          <w:color w:val="000000" w:themeColor="text1"/>
        </w:rPr>
        <w:t>who have</w:t>
      </w:r>
      <w:r w:rsidRPr="005B0D67">
        <w:rPr>
          <w:color w:val="000000" w:themeColor="text1"/>
        </w:rPr>
        <w:t xml:space="preserve"> a positive test result </w:t>
      </w:r>
      <w:r>
        <w:rPr>
          <w:color w:val="000000" w:themeColor="text1"/>
        </w:rPr>
        <w:t>would have</w:t>
      </w:r>
      <w:r w:rsidRPr="005B0D67">
        <w:rPr>
          <w:color w:val="000000" w:themeColor="text1"/>
        </w:rPr>
        <w:t xml:space="preserve"> resumption of menses</w:t>
      </w:r>
      <w:r>
        <w:rPr>
          <w:color w:val="000000" w:themeColor="text1"/>
        </w:rPr>
        <w:t>. Therefore, the test is only clinically useful at higher prevalence rates</w:t>
      </w:r>
      <w:r w:rsidR="004A083C">
        <w:rPr>
          <w:color w:val="000000" w:themeColor="text1"/>
        </w:rPr>
        <w:t xml:space="preserve"> (</w:t>
      </w:r>
      <w:r w:rsidR="004A083C">
        <w:rPr>
          <w:color w:val="000000" w:themeColor="text1"/>
        </w:rPr>
        <w:fldChar w:fldCharType="begin"/>
      </w:r>
      <w:r w:rsidR="004A083C">
        <w:rPr>
          <w:color w:val="000000" w:themeColor="text1"/>
        </w:rPr>
        <w:instrText xml:space="preserve"> REF _Ref496624795 \h </w:instrText>
      </w:r>
      <w:r w:rsidR="004A083C">
        <w:rPr>
          <w:color w:val="000000" w:themeColor="text1"/>
        </w:rPr>
      </w:r>
      <w:r w:rsidR="004A083C">
        <w:rPr>
          <w:color w:val="000000" w:themeColor="text1"/>
        </w:rPr>
        <w:fldChar w:fldCharType="separate"/>
      </w:r>
      <w:r w:rsidR="00AC4BE5">
        <w:t xml:space="preserve">Figure </w:t>
      </w:r>
      <w:r w:rsidR="00AC4BE5">
        <w:rPr>
          <w:noProof/>
        </w:rPr>
        <w:t>8</w:t>
      </w:r>
      <w:r w:rsidR="004A083C">
        <w:rPr>
          <w:color w:val="000000" w:themeColor="text1"/>
        </w:rPr>
        <w:fldChar w:fldCharType="end"/>
      </w:r>
      <w:r w:rsidR="004A083C">
        <w:rPr>
          <w:color w:val="000000" w:themeColor="text1"/>
        </w:rPr>
        <w:t>)</w:t>
      </w:r>
      <w:r>
        <w:rPr>
          <w:color w:val="000000" w:themeColor="text1"/>
        </w:rPr>
        <w:t>.</w:t>
      </w:r>
    </w:p>
    <w:p w14:paraId="5B80C07C" w14:textId="66C5BA58" w:rsidR="00F70BE5" w:rsidRPr="00FB0199" w:rsidRDefault="00F70BE5" w:rsidP="00F70BE5">
      <w:pPr>
        <w:jc w:val="both"/>
        <w:rPr>
          <w:color w:val="000000" w:themeColor="text1"/>
        </w:rPr>
      </w:pPr>
      <w:r w:rsidRPr="00FB0199">
        <w:rPr>
          <w:color w:val="000000" w:themeColor="text1"/>
        </w:rPr>
        <w:t xml:space="preserve">A negative test result provided useful information for women who had treatment associated with a low risk of ovarian failure, </w:t>
      </w:r>
      <w:r w:rsidR="006E443C">
        <w:rPr>
          <w:color w:val="000000" w:themeColor="text1"/>
        </w:rPr>
        <w:t xml:space="preserve">where the NPV indicated that 87 to </w:t>
      </w:r>
      <w:r w:rsidRPr="00FB0199">
        <w:rPr>
          <w:color w:val="000000" w:themeColor="text1"/>
        </w:rPr>
        <w:t xml:space="preserve">97% with a negative test result would not </w:t>
      </w:r>
      <w:r w:rsidR="006E443C">
        <w:rPr>
          <w:color w:val="000000" w:themeColor="text1"/>
        </w:rPr>
        <w:t>resume</w:t>
      </w:r>
      <w:r w:rsidRPr="00FB0199">
        <w:rPr>
          <w:color w:val="000000" w:themeColor="text1"/>
        </w:rPr>
        <w:t xml:space="preserve"> menses</w:t>
      </w:r>
      <w:r w:rsidR="004A083C">
        <w:rPr>
          <w:color w:val="000000" w:themeColor="text1"/>
        </w:rPr>
        <w:t xml:space="preserve"> (</w:t>
      </w:r>
      <w:r w:rsidR="004A083C">
        <w:rPr>
          <w:color w:val="000000" w:themeColor="text1"/>
        </w:rPr>
        <w:fldChar w:fldCharType="begin"/>
      </w:r>
      <w:r w:rsidR="004A083C">
        <w:rPr>
          <w:color w:val="000000" w:themeColor="text1"/>
        </w:rPr>
        <w:instrText xml:space="preserve"> REF _Ref495061257 \h </w:instrText>
      </w:r>
      <w:r w:rsidR="004A083C">
        <w:rPr>
          <w:color w:val="000000" w:themeColor="text1"/>
        </w:rPr>
      </w:r>
      <w:r w:rsidR="004A083C">
        <w:rPr>
          <w:color w:val="000000" w:themeColor="text1"/>
        </w:rPr>
        <w:fldChar w:fldCharType="separate"/>
      </w:r>
      <w:r w:rsidR="00AC4BE5">
        <w:t xml:space="preserve">Figure </w:t>
      </w:r>
      <w:r w:rsidR="00AC4BE5">
        <w:rPr>
          <w:noProof/>
        </w:rPr>
        <w:t>9</w:t>
      </w:r>
      <w:r w:rsidR="004A083C">
        <w:rPr>
          <w:color w:val="000000" w:themeColor="text1"/>
        </w:rPr>
        <w:fldChar w:fldCharType="end"/>
      </w:r>
      <w:r w:rsidR="004A083C">
        <w:rPr>
          <w:color w:val="000000" w:themeColor="text1"/>
        </w:rPr>
        <w:t>)</w:t>
      </w:r>
      <w:r w:rsidRPr="00FB0199">
        <w:rPr>
          <w:color w:val="000000" w:themeColor="text1"/>
        </w:rPr>
        <w:t>. However, the clinical value of a negative test result for women having treatment with a high risk of ovarian failure differed b</w:t>
      </w:r>
      <w:r w:rsidR="006E443C">
        <w:rPr>
          <w:color w:val="000000" w:themeColor="text1"/>
        </w:rPr>
        <w:t xml:space="preserve">etween the two studies, with 42 to </w:t>
      </w:r>
      <w:r w:rsidRPr="00FB0199">
        <w:rPr>
          <w:color w:val="000000" w:themeColor="text1"/>
        </w:rPr>
        <w:t xml:space="preserve">55% of patients not resuming their menses in the study by Decanter et al. (2014) </w:t>
      </w:r>
      <w:r w:rsidR="006E443C" w:rsidRPr="00FB0199">
        <w:rPr>
          <w:color w:val="000000" w:themeColor="text1"/>
        </w:rPr>
        <w:t>(equal to chance)</w:t>
      </w:r>
      <w:r w:rsidR="006E443C">
        <w:rPr>
          <w:color w:val="000000" w:themeColor="text1"/>
        </w:rPr>
        <w:t xml:space="preserve"> and 67 to </w:t>
      </w:r>
      <w:r w:rsidRPr="00FB0199">
        <w:rPr>
          <w:color w:val="000000" w:themeColor="text1"/>
        </w:rPr>
        <w:t>78% not resuming their menses in the study by Chai et al. (2014).</w:t>
      </w:r>
    </w:p>
    <w:p w14:paraId="75654C41" w14:textId="7F8803E0" w:rsidR="00F70BE5" w:rsidRPr="00FB0199" w:rsidRDefault="00F70BE5" w:rsidP="00F70BE5">
      <w:pPr>
        <w:jc w:val="both"/>
        <w:rPr>
          <w:color w:val="000000" w:themeColor="text1"/>
        </w:rPr>
      </w:pPr>
      <w:r w:rsidRPr="00FB0199">
        <w:rPr>
          <w:color w:val="000000" w:themeColor="text1"/>
        </w:rPr>
        <w:t xml:space="preserve">The LR+ and </w:t>
      </w:r>
      <w:r w:rsidR="00A0412A">
        <w:rPr>
          <w:color w:val="000000" w:themeColor="text1"/>
        </w:rPr>
        <w:t>LR-</w:t>
      </w:r>
      <w:r w:rsidRPr="00FB0199">
        <w:rPr>
          <w:color w:val="000000" w:themeColor="text1"/>
        </w:rPr>
        <w:t xml:space="preserve"> estimates and 95%CIs also indicate that the </w:t>
      </w:r>
      <w:r w:rsidR="000701EE">
        <w:rPr>
          <w:color w:val="000000" w:themeColor="text1"/>
        </w:rPr>
        <w:t>pico</w:t>
      </w:r>
      <w:r w:rsidR="006E443C">
        <w:rPr>
          <w:color w:val="000000" w:themeColor="text1"/>
        </w:rPr>
        <w:t>-AMH ELISA is more accurate than</w:t>
      </w:r>
      <w:r w:rsidRPr="00FB0199">
        <w:rPr>
          <w:color w:val="000000" w:themeColor="text1"/>
        </w:rPr>
        <w:t xml:space="preserve"> the EIA AMH/MIS assay, and provides some useful inform</w:t>
      </w:r>
      <w:r w:rsidR="006E443C">
        <w:rPr>
          <w:color w:val="000000" w:themeColor="text1"/>
        </w:rPr>
        <w:t>ation. The LR+ point estimates and 95%CIs</w:t>
      </w:r>
      <w:r w:rsidRPr="00FB0199">
        <w:rPr>
          <w:color w:val="000000" w:themeColor="text1"/>
        </w:rPr>
        <w:t xml:space="preserve"> indicate that a positive test result from the </w:t>
      </w:r>
      <w:r w:rsidR="000701EE">
        <w:rPr>
          <w:color w:val="000000" w:themeColor="text1"/>
        </w:rPr>
        <w:t>pico</w:t>
      </w:r>
      <w:r w:rsidRPr="00FB0199">
        <w:rPr>
          <w:color w:val="000000" w:themeColor="text1"/>
        </w:rPr>
        <w:t>-AMH ELISA</w:t>
      </w:r>
      <w:r w:rsidR="006E443C">
        <w:rPr>
          <w:color w:val="000000" w:themeColor="text1"/>
        </w:rPr>
        <w:t xml:space="preserve"> is four times</w:t>
      </w:r>
      <w:r w:rsidRPr="00FB0199">
        <w:rPr>
          <w:color w:val="000000" w:themeColor="text1"/>
        </w:rPr>
        <w:t xml:space="preserve"> more likely to come from women who have resumed menstruation than from those who have not</w:t>
      </w:r>
      <w:r w:rsidR="006E443C">
        <w:rPr>
          <w:color w:val="000000" w:themeColor="text1"/>
        </w:rPr>
        <w:t xml:space="preserve">, or at least </w:t>
      </w:r>
      <w:r w:rsidR="00B023DE">
        <w:rPr>
          <w:color w:val="000000" w:themeColor="text1"/>
        </w:rPr>
        <w:t>two</w:t>
      </w:r>
      <w:r w:rsidR="006E443C">
        <w:rPr>
          <w:color w:val="000000" w:themeColor="text1"/>
        </w:rPr>
        <w:t xml:space="preserve"> </w:t>
      </w:r>
      <w:r w:rsidR="006E443C" w:rsidRPr="00FB0199">
        <w:rPr>
          <w:color w:val="000000" w:themeColor="text1"/>
        </w:rPr>
        <w:t xml:space="preserve">times </w:t>
      </w:r>
      <w:r w:rsidR="006E443C">
        <w:rPr>
          <w:color w:val="000000" w:themeColor="text1"/>
        </w:rPr>
        <w:t>as likely with 95% confidence</w:t>
      </w:r>
      <w:r w:rsidRPr="00FB0199">
        <w:rPr>
          <w:color w:val="000000" w:themeColor="text1"/>
        </w:rPr>
        <w:t xml:space="preserve">. Similarly, the </w:t>
      </w:r>
      <w:r w:rsidR="00A0412A">
        <w:rPr>
          <w:color w:val="000000" w:themeColor="text1"/>
        </w:rPr>
        <w:t>LR-</w:t>
      </w:r>
      <w:r w:rsidRPr="00FB0199">
        <w:rPr>
          <w:color w:val="000000" w:themeColor="text1"/>
        </w:rPr>
        <w:t xml:space="preserve"> indicates that a </w:t>
      </w:r>
      <w:r w:rsidR="006E443C">
        <w:rPr>
          <w:color w:val="000000" w:themeColor="text1"/>
        </w:rPr>
        <w:t xml:space="preserve">negative test result is about three to 10 times, or </w:t>
      </w:r>
      <w:r w:rsidRPr="00FB0199">
        <w:rPr>
          <w:color w:val="000000" w:themeColor="text1"/>
        </w:rPr>
        <w:t>1.2-t</w:t>
      </w:r>
      <w:r w:rsidR="006E443C">
        <w:rPr>
          <w:color w:val="000000" w:themeColor="text1"/>
        </w:rPr>
        <w:t>imes with 95% confidence,</w:t>
      </w:r>
      <w:r w:rsidRPr="00FB0199">
        <w:rPr>
          <w:color w:val="000000" w:themeColor="text1"/>
        </w:rPr>
        <w:t xml:space="preserve"> more likely to come from women who have not resumed menstruation than from those who have. Thus, the LR+ and </w:t>
      </w:r>
      <w:r w:rsidR="00A0412A">
        <w:rPr>
          <w:color w:val="000000" w:themeColor="text1"/>
        </w:rPr>
        <w:t>LR-</w:t>
      </w:r>
      <w:r w:rsidRPr="00FB0199">
        <w:rPr>
          <w:color w:val="000000" w:themeColor="text1"/>
        </w:rPr>
        <w:t xml:space="preserve"> indicate a small increase in confidence that the </w:t>
      </w:r>
      <w:r w:rsidR="000701EE">
        <w:rPr>
          <w:color w:val="000000" w:themeColor="text1"/>
        </w:rPr>
        <w:t>pico</w:t>
      </w:r>
      <w:r w:rsidRPr="00FB0199">
        <w:rPr>
          <w:color w:val="000000" w:themeColor="text1"/>
        </w:rPr>
        <w:t>-AMH ELISA test result is correct.</w:t>
      </w:r>
    </w:p>
    <w:p w14:paraId="184953E8" w14:textId="5FD514A4" w:rsidR="007518CF" w:rsidRDefault="00F70BE5" w:rsidP="00F70BE5">
      <w:pPr>
        <w:jc w:val="both"/>
        <w:rPr>
          <w:color w:val="000000" w:themeColor="text1"/>
        </w:rPr>
      </w:pPr>
      <w:r w:rsidRPr="00FB0199">
        <w:rPr>
          <w:color w:val="000000" w:themeColor="text1"/>
        </w:rPr>
        <w:t>In the study by Jantke et al. (2012), which used a diagnostic laboratory to measure AMH levels, the specificity of the AMH test compared to resumption of menstruation as the reference standard was 100%. Therefore, there were no false</w:t>
      </w:r>
      <w:r w:rsidR="00772EDC">
        <w:rPr>
          <w:color w:val="000000" w:themeColor="text1"/>
        </w:rPr>
        <w:t>-</w:t>
      </w:r>
      <w:r w:rsidRPr="00FB0199">
        <w:rPr>
          <w:color w:val="000000" w:themeColor="text1"/>
        </w:rPr>
        <w:t xml:space="preserve">positive patients and the PPV was 100% for all prevalence values and was not plotted. The NPV values were very similar to those for the </w:t>
      </w:r>
      <w:r w:rsidR="000701EE">
        <w:rPr>
          <w:color w:val="000000" w:themeColor="text1"/>
        </w:rPr>
        <w:t>pico</w:t>
      </w:r>
      <w:r w:rsidR="007C36B4">
        <w:rPr>
          <w:color w:val="000000" w:themeColor="text1"/>
        </w:rPr>
        <w:t>-</w:t>
      </w:r>
      <w:r w:rsidRPr="00FB0199">
        <w:rPr>
          <w:color w:val="000000" w:themeColor="text1"/>
        </w:rPr>
        <w:t xml:space="preserve">AMH test used in the study by Chai et al. (2014). The </w:t>
      </w:r>
      <w:r w:rsidR="00A0412A">
        <w:rPr>
          <w:color w:val="000000" w:themeColor="text1"/>
        </w:rPr>
        <w:t>LR-</w:t>
      </w:r>
      <w:r w:rsidRPr="00FB0199">
        <w:rPr>
          <w:color w:val="000000" w:themeColor="text1"/>
        </w:rPr>
        <w:t xml:space="preserve"> indicates that a </w:t>
      </w:r>
      <w:r w:rsidR="007C36B4">
        <w:rPr>
          <w:color w:val="000000" w:themeColor="text1"/>
        </w:rPr>
        <w:t>negative test result is about seven</w:t>
      </w:r>
      <w:r w:rsidR="0065798E">
        <w:rPr>
          <w:color w:val="000000" w:themeColor="text1"/>
        </w:rPr>
        <w:t xml:space="preserve"> times</w:t>
      </w:r>
      <w:r w:rsidR="007C36B4">
        <w:rPr>
          <w:color w:val="000000" w:themeColor="text1"/>
        </w:rPr>
        <w:t xml:space="preserve"> </w:t>
      </w:r>
      <w:r w:rsidRPr="00F82FA1">
        <w:rPr>
          <w:color w:val="000000" w:themeColor="text1"/>
        </w:rPr>
        <w:t>more likely to come from women who have not resumed menstruation than from those who have</w:t>
      </w:r>
      <w:r w:rsidR="007C36B4">
        <w:rPr>
          <w:color w:val="000000" w:themeColor="text1"/>
        </w:rPr>
        <w:t xml:space="preserve">, or at least </w:t>
      </w:r>
      <w:r w:rsidR="007C36B4" w:rsidRPr="00F82FA1">
        <w:rPr>
          <w:color w:val="000000" w:themeColor="text1"/>
        </w:rPr>
        <w:t>2</w:t>
      </w:r>
      <w:r w:rsidR="007C36B4">
        <w:rPr>
          <w:color w:val="000000" w:themeColor="text1"/>
        </w:rPr>
        <w:t xml:space="preserve">.5-times more likely </w:t>
      </w:r>
      <w:r w:rsidR="007C36B4" w:rsidRPr="00F82FA1">
        <w:rPr>
          <w:color w:val="000000" w:themeColor="text1"/>
        </w:rPr>
        <w:t>with 9</w:t>
      </w:r>
      <w:r w:rsidR="007C36B4">
        <w:rPr>
          <w:color w:val="000000" w:themeColor="text1"/>
        </w:rPr>
        <w:t>5% confidence</w:t>
      </w:r>
      <w:r w:rsidRPr="00F82FA1">
        <w:rPr>
          <w:color w:val="000000" w:themeColor="text1"/>
        </w:rPr>
        <w:t xml:space="preserve">. Thus, </w:t>
      </w:r>
      <w:r w:rsidR="00A0412A">
        <w:rPr>
          <w:color w:val="000000" w:themeColor="text1"/>
        </w:rPr>
        <w:t>LR-</w:t>
      </w:r>
      <w:r w:rsidRPr="00F82FA1">
        <w:rPr>
          <w:color w:val="000000" w:themeColor="text1"/>
        </w:rPr>
        <w:t xml:space="preserve"> indicate</w:t>
      </w:r>
      <w:r w:rsidR="007C36B4">
        <w:rPr>
          <w:color w:val="000000" w:themeColor="text1"/>
        </w:rPr>
        <w:t>s</w:t>
      </w:r>
      <w:r w:rsidRPr="00F82FA1">
        <w:rPr>
          <w:color w:val="000000" w:themeColor="text1"/>
        </w:rPr>
        <w:t xml:space="preserve"> a</w:t>
      </w:r>
      <w:r>
        <w:rPr>
          <w:color w:val="000000" w:themeColor="text1"/>
        </w:rPr>
        <w:t>n</w:t>
      </w:r>
      <w:r w:rsidRPr="00F82FA1">
        <w:rPr>
          <w:color w:val="000000" w:themeColor="text1"/>
        </w:rPr>
        <w:t xml:space="preserve"> increase in confidence that the </w:t>
      </w:r>
      <w:r>
        <w:rPr>
          <w:color w:val="000000" w:themeColor="text1"/>
        </w:rPr>
        <w:t>diagnostic AMH</w:t>
      </w:r>
      <w:r w:rsidRPr="00F82FA1">
        <w:rPr>
          <w:color w:val="000000" w:themeColor="text1"/>
        </w:rPr>
        <w:t xml:space="preserve"> test result is correct.</w:t>
      </w:r>
    </w:p>
    <w:p w14:paraId="7C131964" w14:textId="0AC08F62" w:rsidR="00F70BE5" w:rsidRDefault="00F70BE5" w:rsidP="00F70BE5">
      <w:pPr>
        <w:pStyle w:val="Heading4"/>
      </w:pPr>
      <w:r>
        <w:lastRenderedPageBreak/>
        <w:t>ROC analysis</w:t>
      </w:r>
      <w:r w:rsidRPr="00A93D91">
        <w:t xml:space="preserve"> </w:t>
      </w:r>
      <w:r>
        <w:t xml:space="preserve">of the </w:t>
      </w:r>
      <w:r w:rsidRPr="00A93D91">
        <w:t>ability of the various hormones to discriminate between women with and without menses</w:t>
      </w:r>
      <w:r>
        <w:t>, after gonadotoxic treatment</w:t>
      </w:r>
    </w:p>
    <w:p w14:paraId="03C20D43" w14:textId="140FF637" w:rsidR="00F70BE5" w:rsidRDefault="00F70BE5" w:rsidP="00F70BE5">
      <w:pPr>
        <w:jc w:val="both"/>
        <w:rPr>
          <w:color w:val="000000" w:themeColor="text1"/>
        </w:rPr>
      </w:pPr>
      <w:r w:rsidRPr="00FB0199">
        <w:rPr>
          <w:color w:val="000000" w:themeColor="text1"/>
        </w:rPr>
        <w:t xml:space="preserve">Su et al. (2011) calculated the </w:t>
      </w:r>
      <w:r w:rsidR="005B3CFD">
        <w:rPr>
          <w:color w:val="000000" w:themeColor="text1"/>
        </w:rPr>
        <w:t>clinical validity</w:t>
      </w:r>
      <w:r w:rsidRPr="00FB0199">
        <w:rPr>
          <w:color w:val="000000" w:themeColor="text1"/>
        </w:rPr>
        <w:t xml:space="preserve"> of the AFC, AMH, FSH and inhibin B tests </w:t>
      </w:r>
      <w:r w:rsidR="003843C4">
        <w:rPr>
          <w:color w:val="000000" w:themeColor="text1"/>
        </w:rPr>
        <w:t>to distinguish between</w:t>
      </w:r>
      <w:r w:rsidRPr="00FB0199">
        <w:rPr>
          <w:color w:val="000000" w:themeColor="text1"/>
        </w:rPr>
        <w:t xml:space="preserve"> late</w:t>
      </w:r>
      <w:r w:rsidR="00916047">
        <w:rPr>
          <w:color w:val="000000" w:themeColor="text1"/>
        </w:rPr>
        <w:t xml:space="preserve"> </w:t>
      </w:r>
      <w:r w:rsidRPr="00FB0199">
        <w:rPr>
          <w:color w:val="000000" w:themeColor="text1"/>
        </w:rPr>
        <w:t>reproductive</w:t>
      </w:r>
      <w:r w:rsidR="003036C4">
        <w:rPr>
          <w:color w:val="000000" w:themeColor="text1"/>
        </w:rPr>
        <w:t>-</w:t>
      </w:r>
      <w:r w:rsidRPr="00FB0199">
        <w:rPr>
          <w:color w:val="000000" w:themeColor="text1"/>
        </w:rPr>
        <w:t>aged women with and without CRA using the threshold values</w:t>
      </w:r>
      <w:r>
        <w:rPr>
          <w:color w:val="000000" w:themeColor="text1"/>
        </w:rPr>
        <w:t xml:space="preserve"> determined by ROC curve analysis (</w:t>
      </w:r>
      <w:r>
        <w:rPr>
          <w:color w:val="000000" w:themeColor="text1"/>
        </w:rPr>
        <w:fldChar w:fldCharType="begin"/>
      </w:r>
      <w:r>
        <w:rPr>
          <w:color w:val="000000" w:themeColor="text1"/>
        </w:rPr>
        <w:instrText xml:space="preserve"> REF _Ref494962037 \h </w:instrText>
      </w:r>
      <w:r>
        <w:rPr>
          <w:color w:val="000000" w:themeColor="text1"/>
        </w:rPr>
      </w:r>
      <w:r>
        <w:rPr>
          <w:color w:val="000000" w:themeColor="text1"/>
        </w:rPr>
        <w:fldChar w:fldCharType="separate"/>
      </w:r>
      <w:r w:rsidR="00AC4BE5">
        <w:t xml:space="preserve">Table </w:t>
      </w:r>
      <w:r w:rsidR="00AC4BE5">
        <w:rPr>
          <w:noProof/>
        </w:rPr>
        <w:t>55</w:t>
      </w:r>
      <w:r>
        <w:rPr>
          <w:color w:val="000000" w:themeColor="text1"/>
        </w:rPr>
        <w:fldChar w:fldCharType="end"/>
      </w:r>
      <w:r>
        <w:rPr>
          <w:color w:val="000000" w:themeColor="text1"/>
        </w:rPr>
        <w:t xml:space="preserve">). The AMH test used was </w:t>
      </w:r>
      <w:r w:rsidR="003843C4">
        <w:rPr>
          <w:color w:val="000000" w:themeColor="text1"/>
        </w:rPr>
        <w:t>the</w:t>
      </w:r>
      <w:r>
        <w:rPr>
          <w:color w:val="000000" w:themeColor="text1"/>
        </w:rPr>
        <w:t xml:space="preserve"> </w:t>
      </w:r>
      <w:r w:rsidR="000B0647">
        <w:rPr>
          <w:color w:val="000000" w:themeColor="text1"/>
        </w:rPr>
        <w:t>first generation</w:t>
      </w:r>
      <w:r>
        <w:rPr>
          <w:color w:val="000000" w:themeColor="text1"/>
        </w:rPr>
        <w:t xml:space="preserve"> </w:t>
      </w:r>
      <w:r w:rsidRPr="00AC59D8">
        <w:rPr>
          <w:color w:val="000000" w:themeColor="text1"/>
        </w:rPr>
        <w:t>DSL ACTIVE® AMH/MIS ELISA</w:t>
      </w:r>
      <w:r w:rsidR="003843C4">
        <w:rPr>
          <w:color w:val="000000" w:themeColor="text1"/>
        </w:rPr>
        <w:t xml:space="preserve"> test</w:t>
      </w:r>
      <w:r>
        <w:rPr>
          <w:color w:val="000000" w:themeColor="text1"/>
        </w:rPr>
        <w:t>.</w:t>
      </w:r>
    </w:p>
    <w:p w14:paraId="46838799" w14:textId="2E84FFBB" w:rsidR="00F70BE5" w:rsidRDefault="00F70BE5" w:rsidP="00F70BE5">
      <w:pPr>
        <w:jc w:val="both"/>
        <w:rPr>
          <w:color w:val="000000" w:themeColor="text1"/>
        </w:rPr>
      </w:pPr>
      <w:r>
        <w:rPr>
          <w:color w:val="000000" w:themeColor="text1"/>
        </w:rPr>
        <w:t>When the PPV and NPV were compared at th</w:t>
      </w:r>
      <w:r w:rsidR="003843C4">
        <w:rPr>
          <w:color w:val="000000" w:themeColor="text1"/>
        </w:rPr>
        <w:t>e study prevalence rate of CRA, approximately 60%,</w:t>
      </w:r>
      <w:r>
        <w:rPr>
          <w:color w:val="000000" w:themeColor="text1"/>
        </w:rPr>
        <w:t xml:space="preserve"> AFC outperformed the AMH, FSH and inhibin B tests (</w:t>
      </w:r>
      <w:r>
        <w:rPr>
          <w:color w:val="000000" w:themeColor="text1"/>
        </w:rPr>
        <w:fldChar w:fldCharType="begin"/>
      </w:r>
      <w:r>
        <w:rPr>
          <w:color w:val="000000" w:themeColor="text1"/>
        </w:rPr>
        <w:instrText xml:space="preserve"> REF _Ref494962037 \h </w:instrText>
      </w:r>
      <w:r>
        <w:rPr>
          <w:color w:val="000000" w:themeColor="text1"/>
        </w:rPr>
      </w:r>
      <w:r>
        <w:rPr>
          <w:color w:val="000000" w:themeColor="text1"/>
        </w:rPr>
        <w:fldChar w:fldCharType="separate"/>
      </w:r>
      <w:r w:rsidR="00AC4BE5">
        <w:t xml:space="preserve">Table </w:t>
      </w:r>
      <w:r w:rsidR="00AC4BE5">
        <w:rPr>
          <w:noProof/>
        </w:rPr>
        <w:t>55</w:t>
      </w:r>
      <w:r>
        <w:rPr>
          <w:color w:val="000000" w:themeColor="text1"/>
        </w:rPr>
        <w:fldChar w:fldCharType="end"/>
      </w:r>
      <w:r>
        <w:rPr>
          <w:color w:val="000000" w:themeColor="text1"/>
        </w:rPr>
        <w:t>).</w:t>
      </w:r>
      <w:r w:rsidR="003843C4">
        <w:rPr>
          <w:color w:val="000000" w:themeColor="text1"/>
        </w:rPr>
        <w:t xml:space="preserve"> The PPV values indicated that nine</w:t>
      </w:r>
      <w:r>
        <w:rPr>
          <w:color w:val="000000" w:themeColor="text1"/>
        </w:rPr>
        <w:t xml:space="preserve"> out of </w:t>
      </w:r>
      <w:r w:rsidR="00B023DE">
        <w:rPr>
          <w:color w:val="000000" w:themeColor="text1"/>
        </w:rPr>
        <w:t>ten</w:t>
      </w:r>
      <w:r>
        <w:rPr>
          <w:color w:val="000000" w:themeColor="text1"/>
        </w:rPr>
        <w:t xml:space="preserve"> women who tested positive using AFC </w:t>
      </w:r>
      <w:r w:rsidR="003843C4">
        <w:rPr>
          <w:color w:val="000000" w:themeColor="text1"/>
        </w:rPr>
        <w:t>actually had CRA compared with eight</w:t>
      </w:r>
      <w:r>
        <w:rPr>
          <w:color w:val="000000" w:themeColor="text1"/>
        </w:rPr>
        <w:t xml:space="preserve"> out of </w:t>
      </w:r>
      <w:r w:rsidR="00B023DE">
        <w:rPr>
          <w:color w:val="000000" w:themeColor="text1"/>
        </w:rPr>
        <w:t>ten</w:t>
      </w:r>
      <w:r>
        <w:rPr>
          <w:color w:val="000000" w:themeColor="text1"/>
        </w:rPr>
        <w:t xml:space="preserve"> for AMH, FSH and inhibin B. The NPV values showed that </w:t>
      </w:r>
      <w:r w:rsidR="003843C4">
        <w:rPr>
          <w:color w:val="000000" w:themeColor="text1"/>
        </w:rPr>
        <w:t>seven</w:t>
      </w:r>
      <w:r>
        <w:rPr>
          <w:color w:val="000000" w:themeColor="text1"/>
        </w:rPr>
        <w:t xml:space="preserve"> out of </w:t>
      </w:r>
      <w:r w:rsidR="00B023DE">
        <w:rPr>
          <w:color w:val="000000" w:themeColor="text1"/>
        </w:rPr>
        <w:t>ten</w:t>
      </w:r>
      <w:r>
        <w:rPr>
          <w:color w:val="000000" w:themeColor="text1"/>
        </w:rPr>
        <w:t xml:space="preserve"> women predicted to have menses according to the AFC result actually d</w:t>
      </w:r>
      <w:r w:rsidR="003843C4">
        <w:rPr>
          <w:color w:val="000000" w:themeColor="text1"/>
        </w:rPr>
        <w:t xml:space="preserve">id not have CRA, compared with six out of </w:t>
      </w:r>
      <w:r w:rsidR="00B023DE">
        <w:rPr>
          <w:color w:val="000000" w:themeColor="text1"/>
        </w:rPr>
        <w:t>ten</w:t>
      </w:r>
      <w:r w:rsidR="003843C4">
        <w:rPr>
          <w:color w:val="000000" w:themeColor="text1"/>
        </w:rPr>
        <w:t xml:space="preserve"> for AMH and FSH and four</w:t>
      </w:r>
      <w:r>
        <w:rPr>
          <w:color w:val="000000" w:themeColor="text1"/>
        </w:rPr>
        <w:t xml:space="preserve"> out of </w:t>
      </w:r>
      <w:r w:rsidR="00B023DE">
        <w:rPr>
          <w:color w:val="000000" w:themeColor="text1"/>
        </w:rPr>
        <w:t>ten</w:t>
      </w:r>
      <w:r>
        <w:rPr>
          <w:color w:val="000000" w:themeColor="text1"/>
        </w:rPr>
        <w:t xml:space="preserve"> for inhibin B.</w:t>
      </w:r>
    </w:p>
    <w:p w14:paraId="3EF5E4A1" w14:textId="444C813B" w:rsidR="00F70BE5" w:rsidRDefault="00F70BE5" w:rsidP="00F70BE5">
      <w:pPr>
        <w:pStyle w:val="TableHeading"/>
      </w:pPr>
      <w:bookmarkStart w:id="347" w:name="_Ref494962037"/>
      <w:bookmarkStart w:id="348" w:name="_Toc502833073"/>
      <w:r>
        <w:t xml:space="preserve">Table </w:t>
      </w:r>
      <w:r w:rsidR="00AC4BE5">
        <w:fldChar w:fldCharType="begin"/>
      </w:r>
      <w:r w:rsidR="00AC4BE5">
        <w:instrText xml:space="preserve"> SEQ Table \* ARABIC </w:instrText>
      </w:r>
      <w:r w:rsidR="00AC4BE5">
        <w:fldChar w:fldCharType="separate"/>
      </w:r>
      <w:r w:rsidR="00AC4BE5">
        <w:rPr>
          <w:noProof/>
        </w:rPr>
        <w:t>55</w:t>
      </w:r>
      <w:r w:rsidR="00AC4BE5">
        <w:rPr>
          <w:noProof/>
        </w:rPr>
        <w:fldChar w:fldCharType="end"/>
      </w:r>
      <w:bookmarkEnd w:id="347"/>
      <w:r>
        <w:tab/>
      </w:r>
      <w:r w:rsidR="005B3CFD">
        <w:t>Clinical validity</w:t>
      </w:r>
      <w:r>
        <w:t xml:space="preserve"> of ovarian reserve markers using thresholds determines by ROC curve analysis</w:t>
      </w:r>
      <w:bookmarkEnd w:id="348"/>
    </w:p>
    <w:tbl>
      <w:tblPr>
        <w:tblStyle w:val="TableGrid8"/>
        <w:tblW w:w="0" w:type="auto"/>
        <w:tblLook w:val="04A0" w:firstRow="1" w:lastRow="0" w:firstColumn="1" w:lastColumn="0" w:noHBand="0" w:noVBand="1"/>
        <w:tblCaption w:val="Clinical validity of ovarian reserve markers using thresholds determines by ROC curve analysis"/>
        <w:tblDescription w:val="Clinical validity of ovarian reserve markers using thresholds determines by ROC curve analysis"/>
      </w:tblPr>
      <w:tblGrid>
        <w:gridCol w:w="1413"/>
        <w:gridCol w:w="2207"/>
        <w:gridCol w:w="1796"/>
        <w:gridCol w:w="1796"/>
        <w:gridCol w:w="1804"/>
      </w:tblGrid>
      <w:tr w:rsidR="00F70BE5" w:rsidRPr="00DA1767" w14:paraId="439ABA53" w14:textId="77777777" w:rsidTr="00C22CC2">
        <w:trPr>
          <w:tblHeader/>
        </w:trPr>
        <w:tc>
          <w:tcPr>
            <w:tcW w:w="1413" w:type="dxa"/>
          </w:tcPr>
          <w:p w14:paraId="7A50CB7A" w14:textId="30054736" w:rsidR="00F70BE5" w:rsidRPr="0004250B" w:rsidRDefault="0004250B" w:rsidP="0004250B">
            <w:pPr>
              <w:pStyle w:val="TableText0"/>
              <w:rPr>
                <w:b/>
              </w:rPr>
            </w:pPr>
            <w:r>
              <w:rPr>
                <w:b/>
              </w:rPr>
              <w:t> </w:t>
            </w:r>
          </w:p>
        </w:tc>
        <w:tc>
          <w:tcPr>
            <w:tcW w:w="2207" w:type="dxa"/>
          </w:tcPr>
          <w:p w14:paraId="089B031B" w14:textId="4325FAC1" w:rsidR="00F70BE5" w:rsidRPr="0004250B" w:rsidRDefault="00F70BE5" w:rsidP="0004250B">
            <w:pPr>
              <w:pStyle w:val="TableText0"/>
              <w:rPr>
                <w:b/>
              </w:rPr>
            </w:pPr>
            <w:r w:rsidRPr="0004250B">
              <w:rPr>
                <w:b/>
              </w:rPr>
              <w:t xml:space="preserve">AFC (total 2–10 mm) </w:t>
            </w:r>
            <w:r w:rsidR="003B42B2" w:rsidRPr="0004250B">
              <w:rPr>
                <w:b/>
              </w:rPr>
              <w:t>&lt;</w:t>
            </w:r>
            <w:r w:rsidRPr="0004250B">
              <w:rPr>
                <w:b/>
              </w:rPr>
              <w:t>1</w:t>
            </w:r>
          </w:p>
        </w:tc>
        <w:tc>
          <w:tcPr>
            <w:tcW w:w="1796" w:type="dxa"/>
          </w:tcPr>
          <w:p w14:paraId="3DD2D8FB" w14:textId="2B3D58F5" w:rsidR="00F70BE5" w:rsidRPr="0004250B" w:rsidRDefault="00F70BE5" w:rsidP="0004250B">
            <w:pPr>
              <w:pStyle w:val="TableText0"/>
              <w:rPr>
                <w:b/>
              </w:rPr>
            </w:pPr>
            <w:r w:rsidRPr="0004250B">
              <w:rPr>
                <w:b/>
              </w:rPr>
              <w:t xml:space="preserve">AMH </w:t>
            </w:r>
            <w:r w:rsidR="003B42B2" w:rsidRPr="0004250B">
              <w:rPr>
                <w:b/>
              </w:rPr>
              <w:t>≤</w:t>
            </w:r>
            <w:r w:rsidRPr="0004250B">
              <w:rPr>
                <w:b/>
              </w:rPr>
              <w:t>25 pg/mL</w:t>
            </w:r>
          </w:p>
        </w:tc>
        <w:tc>
          <w:tcPr>
            <w:tcW w:w="1796" w:type="dxa"/>
          </w:tcPr>
          <w:p w14:paraId="5CDAFB89" w14:textId="31990C6A" w:rsidR="00F70BE5" w:rsidRPr="0004250B" w:rsidRDefault="00F70BE5" w:rsidP="0004250B">
            <w:pPr>
              <w:pStyle w:val="TableText0"/>
              <w:rPr>
                <w:b/>
              </w:rPr>
            </w:pPr>
            <w:r w:rsidRPr="0004250B">
              <w:rPr>
                <w:b/>
              </w:rPr>
              <w:t xml:space="preserve">FSH </w:t>
            </w:r>
            <w:r w:rsidR="003B42B2" w:rsidRPr="0004250B">
              <w:rPr>
                <w:b/>
              </w:rPr>
              <w:t>≥</w:t>
            </w:r>
            <w:r w:rsidRPr="0004250B">
              <w:rPr>
                <w:b/>
              </w:rPr>
              <w:t>40IU/L</w:t>
            </w:r>
          </w:p>
        </w:tc>
        <w:tc>
          <w:tcPr>
            <w:tcW w:w="1804" w:type="dxa"/>
          </w:tcPr>
          <w:p w14:paraId="57F09541" w14:textId="777594CD" w:rsidR="00F70BE5" w:rsidRPr="0004250B" w:rsidRDefault="00F70BE5" w:rsidP="0004250B">
            <w:pPr>
              <w:pStyle w:val="TableText0"/>
              <w:rPr>
                <w:b/>
              </w:rPr>
            </w:pPr>
            <w:r w:rsidRPr="0004250B">
              <w:rPr>
                <w:b/>
              </w:rPr>
              <w:t xml:space="preserve">Inhibin B </w:t>
            </w:r>
            <w:r w:rsidR="003B42B2" w:rsidRPr="0004250B">
              <w:rPr>
                <w:b/>
              </w:rPr>
              <w:t>≤</w:t>
            </w:r>
            <w:r w:rsidRPr="0004250B">
              <w:rPr>
                <w:b/>
              </w:rPr>
              <w:t>5pg/</w:t>
            </w:r>
            <w:r w:rsidR="00023800" w:rsidRPr="0004250B">
              <w:rPr>
                <w:b/>
              </w:rPr>
              <w:t>mL</w:t>
            </w:r>
          </w:p>
        </w:tc>
      </w:tr>
      <w:tr w:rsidR="00F70BE5" w:rsidRPr="00DA1767" w14:paraId="45180F6F" w14:textId="77777777" w:rsidTr="00CB6357">
        <w:tc>
          <w:tcPr>
            <w:tcW w:w="1413" w:type="dxa"/>
          </w:tcPr>
          <w:p w14:paraId="21EAE895" w14:textId="77777777" w:rsidR="00F70BE5" w:rsidRPr="00DA1767" w:rsidRDefault="00F70BE5" w:rsidP="0004250B">
            <w:pPr>
              <w:pStyle w:val="Tabletext1"/>
            </w:pPr>
            <w:r w:rsidRPr="00DA1767">
              <w:t>PPV</w:t>
            </w:r>
          </w:p>
        </w:tc>
        <w:tc>
          <w:tcPr>
            <w:tcW w:w="2207" w:type="dxa"/>
          </w:tcPr>
          <w:p w14:paraId="4BE95B38" w14:textId="77777777" w:rsidR="00F70BE5" w:rsidRPr="00DA1767" w:rsidRDefault="00F70BE5" w:rsidP="0004250B">
            <w:pPr>
              <w:pStyle w:val="Tabletext1"/>
            </w:pPr>
            <w:r w:rsidRPr="00DA1767">
              <w:t>90%</w:t>
            </w:r>
          </w:p>
        </w:tc>
        <w:tc>
          <w:tcPr>
            <w:tcW w:w="1796" w:type="dxa"/>
          </w:tcPr>
          <w:p w14:paraId="525D4AEF" w14:textId="77777777" w:rsidR="00F70BE5" w:rsidRPr="00DA1767" w:rsidRDefault="00F70BE5" w:rsidP="0004250B">
            <w:pPr>
              <w:pStyle w:val="Tabletext1"/>
            </w:pPr>
            <w:r w:rsidRPr="00DA1767">
              <w:t>79%</w:t>
            </w:r>
          </w:p>
        </w:tc>
        <w:tc>
          <w:tcPr>
            <w:tcW w:w="1796" w:type="dxa"/>
          </w:tcPr>
          <w:p w14:paraId="601099A0" w14:textId="77777777" w:rsidR="00F70BE5" w:rsidRPr="00DA1767" w:rsidRDefault="00F70BE5" w:rsidP="0004250B">
            <w:pPr>
              <w:pStyle w:val="Tabletext1"/>
            </w:pPr>
            <w:r w:rsidRPr="00DA1767">
              <w:t>81%</w:t>
            </w:r>
          </w:p>
        </w:tc>
        <w:tc>
          <w:tcPr>
            <w:tcW w:w="1804" w:type="dxa"/>
          </w:tcPr>
          <w:p w14:paraId="77E2710E" w14:textId="77777777" w:rsidR="00F70BE5" w:rsidRPr="00DA1767" w:rsidRDefault="00F70BE5" w:rsidP="0004250B">
            <w:pPr>
              <w:pStyle w:val="Tabletext1"/>
            </w:pPr>
            <w:r w:rsidRPr="00DA1767">
              <w:t>76%</w:t>
            </w:r>
          </w:p>
        </w:tc>
      </w:tr>
      <w:tr w:rsidR="00F70BE5" w:rsidRPr="00DA1767" w14:paraId="53D0932D" w14:textId="77777777" w:rsidTr="00CB6357">
        <w:tc>
          <w:tcPr>
            <w:tcW w:w="1413" w:type="dxa"/>
          </w:tcPr>
          <w:p w14:paraId="4714FE26" w14:textId="77777777" w:rsidR="00F70BE5" w:rsidRPr="00DA1767" w:rsidRDefault="00F70BE5" w:rsidP="0004250B">
            <w:pPr>
              <w:pStyle w:val="Tabletext1"/>
            </w:pPr>
            <w:r w:rsidRPr="00DA1767">
              <w:t>NPV</w:t>
            </w:r>
          </w:p>
        </w:tc>
        <w:tc>
          <w:tcPr>
            <w:tcW w:w="2207" w:type="dxa"/>
          </w:tcPr>
          <w:p w14:paraId="0B66D611" w14:textId="77777777" w:rsidR="00F70BE5" w:rsidRPr="00DA1767" w:rsidRDefault="00F70BE5" w:rsidP="0004250B">
            <w:pPr>
              <w:pStyle w:val="Tabletext1"/>
            </w:pPr>
            <w:r w:rsidRPr="00DA1767">
              <w:t>73%</w:t>
            </w:r>
          </w:p>
        </w:tc>
        <w:tc>
          <w:tcPr>
            <w:tcW w:w="1796" w:type="dxa"/>
          </w:tcPr>
          <w:p w14:paraId="032F10FD" w14:textId="77777777" w:rsidR="00F70BE5" w:rsidRPr="00DA1767" w:rsidRDefault="00F70BE5" w:rsidP="0004250B">
            <w:pPr>
              <w:pStyle w:val="Tabletext1"/>
            </w:pPr>
            <w:r w:rsidRPr="00DA1767">
              <w:t>56%</w:t>
            </w:r>
          </w:p>
        </w:tc>
        <w:tc>
          <w:tcPr>
            <w:tcW w:w="1796" w:type="dxa"/>
          </w:tcPr>
          <w:p w14:paraId="3FAB5FF9" w14:textId="77777777" w:rsidR="00F70BE5" w:rsidRPr="00DA1767" w:rsidRDefault="00F70BE5" w:rsidP="0004250B">
            <w:pPr>
              <w:pStyle w:val="Tabletext1"/>
            </w:pPr>
            <w:r w:rsidRPr="00DA1767">
              <w:t>59%</w:t>
            </w:r>
          </w:p>
        </w:tc>
        <w:tc>
          <w:tcPr>
            <w:tcW w:w="1804" w:type="dxa"/>
          </w:tcPr>
          <w:p w14:paraId="2C8DB7CA" w14:textId="77777777" w:rsidR="00F70BE5" w:rsidRPr="00DA1767" w:rsidRDefault="00F70BE5" w:rsidP="0004250B">
            <w:pPr>
              <w:pStyle w:val="Tabletext1"/>
            </w:pPr>
            <w:r w:rsidRPr="00DA1767">
              <w:t>41%</w:t>
            </w:r>
          </w:p>
        </w:tc>
      </w:tr>
    </w:tbl>
    <w:p w14:paraId="03AB1A8A" w14:textId="33885AB2" w:rsidR="00F70BE5" w:rsidRDefault="00F70BE5" w:rsidP="000B2748">
      <w:pPr>
        <w:pStyle w:val="Tablenotes0"/>
        <w:spacing w:after="0"/>
      </w:pPr>
      <w:r>
        <w:t xml:space="preserve">AFC = antral follicle count; </w:t>
      </w:r>
      <w:r w:rsidRPr="00A66569">
        <w:t>AMH = anti-Müllerian hormone; FSH = follicle</w:t>
      </w:r>
      <w:r w:rsidR="00DE6DD5">
        <w:t>-</w:t>
      </w:r>
      <w:r w:rsidRPr="00A66569">
        <w:t>stimulating hormone;</w:t>
      </w:r>
      <w:r>
        <w:t xml:space="preserve"> NPV = negative predictive value; PPV = positive predictive value; </w:t>
      </w:r>
      <w:r w:rsidRPr="00A66569">
        <w:t>ROC = receiver operator characteristic</w:t>
      </w:r>
    </w:p>
    <w:p w14:paraId="2AD53ABD" w14:textId="0D85EFF8" w:rsidR="007638EB" w:rsidRPr="003843C4" w:rsidRDefault="00F70BE5" w:rsidP="000B2748">
      <w:pPr>
        <w:pStyle w:val="Tablenotes0"/>
        <w:spacing w:after="0"/>
      </w:pPr>
      <w:r w:rsidRPr="00FB0199">
        <w:t>Source: Su et al. (2011)</w:t>
      </w:r>
    </w:p>
    <w:p w14:paraId="077C72BA" w14:textId="5B18D311" w:rsidR="00A00B06" w:rsidRDefault="00A12062" w:rsidP="00190673">
      <w:pPr>
        <w:pStyle w:val="Heading1"/>
        <w:ind w:left="1134" w:hanging="1134"/>
      </w:pPr>
      <w:bookmarkStart w:id="349" w:name="_Toc502832957"/>
      <w:r w:rsidRPr="006D32D8">
        <w:lastRenderedPageBreak/>
        <w:t>B</w:t>
      </w:r>
      <w:r w:rsidR="00190673">
        <w:t>5</w:t>
      </w:r>
      <w:r w:rsidR="00190673">
        <w:tab/>
      </w:r>
      <w:r w:rsidR="00370A78" w:rsidRPr="006D32D8">
        <w:t>Clinical utility</w:t>
      </w:r>
      <w:bookmarkEnd w:id="349"/>
    </w:p>
    <w:p w14:paraId="6F69E8AB" w14:textId="57342BAD" w:rsidR="00874681" w:rsidRDefault="00C13FEB" w:rsidP="004463FF">
      <w:pPr>
        <w:jc w:val="both"/>
      </w:pPr>
      <w:r w:rsidRPr="002F0DD8">
        <w:t>Clinical utility refers to how likely the test is to significantly impact on patient management and health outcomes.</w:t>
      </w:r>
    </w:p>
    <w:p w14:paraId="621D3B53" w14:textId="3B7DE889" w:rsidR="007518CF" w:rsidRDefault="0078247C" w:rsidP="0078247C">
      <w:pPr>
        <w:jc w:val="both"/>
      </w:pPr>
      <w:r>
        <w:t>No evidence of the impact of AMH on change in clinical management was identif</w:t>
      </w:r>
      <w:r w:rsidR="00B46E77">
        <w:t xml:space="preserve">ied in the eligible population, i.e. </w:t>
      </w:r>
      <w:r>
        <w:t>women u</w:t>
      </w:r>
      <w:r w:rsidR="00B46E77">
        <w:t>ndergoing gonadotoxic treatment</w:t>
      </w:r>
      <w:r>
        <w:t xml:space="preserve">. </w:t>
      </w:r>
      <w:r w:rsidR="004463FF">
        <w:t>Because t</w:t>
      </w:r>
      <w:r w:rsidR="00685D4F">
        <w:t>he test has only been part of clinical practice for a coup</w:t>
      </w:r>
      <w:r w:rsidR="004463FF">
        <w:t>le of years and evidence on clinical utility of the test in women undergoing gonadotoxic treatment</w:t>
      </w:r>
      <w:r w:rsidR="00685D4F">
        <w:t xml:space="preserve"> </w:t>
      </w:r>
      <w:r w:rsidR="00B46E77">
        <w:t>is not yet available</w:t>
      </w:r>
      <w:r w:rsidR="004463FF">
        <w:t>, it was decided t</w:t>
      </w:r>
      <w:r w:rsidR="00685D4F">
        <w:t xml:space="preserve">o estimate the potential </w:t>
      </w:r>
      <w:r w:rsidR="00B46E77">
        <w:t xml:space="preserve">of AMH testing to </w:t>
      </w:r>
      <w:r w:rsidR="00685D4F">
        <w:t>change</w:t>
      </w:r>
      <w:r w:rsidR="004463FF">
        <w:t xml:space="preserve"> </w:t>
      </w:r>
      <w:r w:rsidR="00685D4F">
        <w:t>clinical management</w:t>
      </w:r>
      <w:r w:rsidR="004463FF">
        <w:t xml:space="preserve"> by looking at a broader population. To do this,</w:t>
      </w:r>
      <w:r>
        <w:t xml:space="preserve"> a</w:t>
      </w:r>
      <w:r w:rsidR="006305A8">
        <w:t xml:space="preserve"> non-systematic</w:t>
      </w:r>
      <w:r>
        <w:t xml:space="preserve"> search was </w:t>
      </w:r>
      <w:r w:rsidR="006305A8">
        <w:t>conducted</w:t>
      </w:r>
      <w:r>
        <w:t xml:space="preserve"> </w:t>
      </w:r>
      <w:r w:rsidR="00B46E77">
        <w:t>in a broad population, i.e.</w:t>
      </w:r>
      <w:r w:rsidR="006305A8">
        <w:t xml:space="preserve"> </w:t>
      </w:r>
      <w:r w:rsidR="00685D4F">
        <w:t xml:space="preserve">healthy </w:t>
      </w:r>
      <w:r w:rsidR="006305A8">
        <w:t>women undergoing IVF treatment</w:t>
      </w:r>
      <w:r w:rsidR="00B46E77">
        <w:t>,</w:t>
      </w:r>
      <w:r w:rsidR="006305A8">
        <w:t xml:space="preserve"> to identify a possible change in patient management or decision</w:t>
      </w:r>
      <w:r w:rsidR="00DF36E4">
        <w:t>-</w:t>
      </w:r>
      <w:r w:rsidR="006305A8">
        <w:t>making influenced by AMH testing</w:t>
      </w:r>
      <w:r w:rsidR="006D32D8">
        <w:t xml:space="preserve"> (therapeutic efficacy)</w:t>
      </w:r>
      <w:r>
        <w:t>.</w:t>
      </w:r>
    </w:p>
    <w:p w14:paraId="72D8B32D" w14:textId="6F059CFF" w:rsidR="00C13FEB" w:rsidRDefault="00822811" w:rsidP="00822811">
      <w:pPr>
        <w:pStyle w:val="Heading2"/>
        <w:ind w:left="993" w:hanging="993"/>
      </w:pPr>
      <w:bookmarkStart w:id="350" w:name="_Toc502832958"/>
      <w:r>
        <w:t>B5.1</w:t>
      </w:r>
      <w:r>
        <w:tab/>
      </w:r>
      <w:r w:rsidR="00C13FEB">
        <w:t xml:space="preserve">Impact </w:t>
      </w:r>
      <w:r w:rsidR="006D32D8">
        <w:t xml:space="preserve">of AMH testing </w:t>
      </w:r>
      <w:r w:rsidR="00C13FEB">
        <w:t>on clinical management (</w:t>
      </w:r>
      <w:r w:rsidR="00DC5CE5">
        <w:t>t</w:t>
      </w:r>
      <w:r w:rsidR="00C13FEB">
        <w:t>herapeutic efficacy)</w:t>
      </w:r>
      <w:bookmarkEnd w:id="350"/>
    </w:p>
    <w:p w14:paraId="7E5EAC4C" w14:textId="6CA5C89D" w:rsidR="009F6293" w:rsidRPr="00183E4D" w:rsidRDefault="009F6293" w:rsidP="00D366DE">
      <w:pPr>
        <w:pStyle w:val="Heading2"/>
        <w:numPr>
          <w:ilvl w:val="1"/>
          <w:numId w:val="12"/>
        </w:numPr>
      </w:pPr>
      <w:bookmarkStart w:id="351" w:name="_Toc502832959"/>
      <w:r w:rsidRPr="00183E4D">
        <w:t xml:space="preserve">Risk of </w:t>
      </w:r>
      <w:r w:rsidR="00DC5CE5">
        <w:t>b</w:t>
      </w:r>
      <w:r w:rsidRPr="00183E4D">
        <w:t xml:space="preserve">ias </w:t>
      </w:r>
      <w:r w:rsidR="00DC5CE5">
        <w:t>a</w:t>
      </w:r>
      <w:r w:rsidRPr="00183E4D">
        <w:t>ssessment</w:t>
      </w:r>
      <w:bookmarkEnd w:id="351"/>
    </w:p>
    <w:p w14:paraId="7FD066DE" w14:textId="5CFA1C7E" w:rsidR="00745BA1" w:rsidRDefault="00745BA1" w:rsidP="00745BA1">
      <w:r>
        <w:t xml:space="preserve">As no evidence was identified on clinical utility in the eligible patient population, risk of bias was not assessed </w:t>
      </w:r>
      <w:r w:rsidR="009A05A4">
        <w:t>for clinical utility</w:t>
      </w:r>
      <w:r>
        <w:t>.</w:t>
      </w:r>
    </w:p>
    <w:p w14:paraId="14AC185C" w14:textId="3667C4F7" w:rsidR="009F6293" w:rsidRPr="00183E4D" w:rsidRDefault="009F6293" w:rsidP="00D366DE">
      <w:pPr>
        <w:pStyle w:val="Heading2"/>
        <w:numPr>
          <w:ilvl w:val="1"/>
          <w:numId w:val="12"/>
        </w:numPr>
      </w:pPr>
      <w:bookmarkStart w:id="352" w:name="_Toc502832960"/>
      <w:r w:rsidRPr="00183E4D">
        <w:t xml:space="preserve">Characteristics of the </w:t>
      </w:r>
      <w:r w:rsidR="00DC5CE5">
        <w:t>e</w:t>
      </w:r>
      <w:r w:rsidRPr="00183E4D">
        <w:t xml:space="preserve">vidence </w:t>
      </w:r>
      <w:r w:rsidR="00DC5CE5">
        <w:t>b</w:t>
      </w:r>
      <w:r w:rsidRPr="00183E4D">
        <w:t>ase</w:t>
      </w:r>
      <w:bookmarkEnd w:id="352"/>
    </w:p>
    <w:p w14:paraId="4BB8CF81" w14:textId="19782A40" w:rsidR="007518CF" w:rsidRDefault="003A20F3" w:rsidP="00B12324">
      <w:pPr>
        <w:jc w:val="both"/>
      </w:pPr>
      <w:r>
        <w:t xml:space="preserve">The evidence presented in this section of the report did not match the proposed MBS populations. </w:t>
      </w:r>
      <w:r w:rsidR="006305A8">
        <w:t xml:space="preserve">A non-systematic search was </w:t>
      </w:r>
      <w:r w:rsidR="00B46E77">
        <w:t>performed</w:t>
      </w:r>
      <w:r w:rsidR="006305A8">
        <w:t xml:space="preserve"> for existing s</w:t>
      </w:r>
      <w:r w:rsidR="00B46E77">
        <w:t>ystematic reviews, high</w:t>
      </w:r>
      <w:r w:rsidR="00DE6DD5">
        <w:t>-</w:t>
      </w:r>
      <w:r w:rsidR="00B46E77">
        <w:t>quality, recently published</w:t>
      </w:r>
      <w:r w:rsidR="006305A8">
        <w:t xml:space="preserve"> studies and international guidel</w:t>
      </w:r>
      <w:r w:rsidR="00B46E77">
        <w:t xml:space="preserve">ines in a broader population of </w:t>
      </w:r>
      <w:r w:rsidR="00147B85">
        <w:t xml:space="preserve">women undergoing IVF treatment </w:t>
      </w:r>
      <w:r w:rsidR="006305A8">
        <w:t>to identify a possible change in patient management or decision</w:t>
      </w:r>
      <w:r w:rsidR="00DF36E4">
        <w:t>-</w:t>
      </w:r>
      <w:r w:rsidR="006305A8">
        <w:t>making influenced by AMH testing</w:t>
      </w:r>
      <w:r w:rsidR="00F45C23">
        <w:t xml:space="preserve"> and associated health outcomes</w:t>
      </w:r>
      <w:r w:rsidR="006305A8">
        <w:t>.</w:t>
      </w:r>
    </w:p>
    <w:p w14:paraId="13ED38CE" w14:textId="11A50D9B" w:rsidR="007518CF" w:rsidRDefault="006305A8" w:rsidP="00B12324">
      <w:pPr>
        <w:jc w:val="both"/>
      </w:pPr>
      <w:r>
        <w:t>Two recent</w:t>
      </w:r>
      <w:r w:rsidR="00B12324">
        <w:t>ly published</w:t>
      </w:r>
      <w:r>
        <w:t xml:space="preserve"> randomised controlled trials (RCTs)</w:t>
      </w:r>
      <w:r w:rsidR="00B12324">
        <w:t xml:space="preserve"> and two retrospective studies</w:t>
      </w:r>
      <w:r>
        <w:t xml:space="preserve"> were identified </w:t>
      </w:r>
      <w:r w:rsidR="00B12324">
        <w:t>on whether AMH results change ovarian hyperstimulation protocols</w:t>
      </w:r>
      <w:r w:rsidR="006D32D8">
        <w:t xml:space="preserve"> </w:t>
      </w:r>
      <w:r w:rsidR="00147B85">
        <w:t>in the IVF population</w:t>
      </w:r>
      <w:r w:rsidR="00B12324">
        <w:t xml:space="preserve">. </w:t>
      </w:r>
      <w:r w:rsidR="00147B85">
        <w:t>These studies were included to help determine</w:t>
      </w:r>
      <w:r w:rsidR="00B12324">
        <w:t xml:space="preserve"> whether AMH impacts the startin</w:t>
      </w:r>
      <w:r w:rsidR="00147B85">
        <w:t>g dose of</w:t>
      </w:r>
      <w:r w:rsidR="00B023DE">
        <w:t xml:space="preserve"> gonadotrophins in IVF or intracyt</w:t>
      </w:r>
      <w:r w:rsidR="00C52B6E">
        <w:t>oplasmic sperm injection (</w:t>
      </w:r>
      <w:r w:rsidR="00B12324">
        <w:t>ICSI</w:t>
      </w:r>
      <w:r w:rsidR="00C52B6E">
        <w:t>)</w:t>
      </w:r>
      <w:r w:rsidR="00B12324">
        <w:t xml:space="preserve"> cycles (</w:t>
      </w:r>
      <w:r w:rsidR="00147B85">
        <w:t xml:space="preserve">i.e. </w:t>
      </w:r>
      <w:r w:rsidR="00B12324">
        <w:t>therapeutic efficacy) and whether this leads to better health outcomes (</w:t>
      </w:r>
      <w:r w:rsidR="00147B85">
        <w:t xml:space="preserve">i.e. </w:t>
      </w:r>
      <w:r w:rsidR="00B12324">
        <w:t>th</w:t>
      </w:r>
      <w:r w:rsidR="006D32D8">
        <w:t>erapeutic effectiveness</w:t>
      </w:r>
      <w:r w:rsidR="00B12324">
        <w:t>).</w:t>
      </w:r>
    </w:p>
    <w:p w14:paraId="7BD730D4" w14:textId="395700B5" w:rsidR="009F6293" w:rsidRPr="00183E4D" w:rsidRDefault="009F6293" w:rsidP="00D366DE">
      <w:pPr>
        <w:pStyle w:val="Heading2"/>
        <w:numPr>
          <w:ilvl w:val="1"/>
          <w:numId w:val="12"/>
        </w:numPr>
      </w:pPr>
      <w:bookmarkStart w:id="353" w:name="_Toc502832961"/>
      <w:r w:rsidRPr="00183E4D">
        <w:t xml:space="preserve">Outcome </w:t>
      </w:r>
      <w:r w:rsidR="00DC5CE5">
        <w:t>m</w:t>
      </w:r>
      <w:r w:rsidRPr="00183E4D">
        <w:t xml:space="preserve">easures and </w:t>
      </w:r>
      <w:r w:rsidR="00DC5CE5">
        <w:t>a</w:t>
      </w:r>
      <w:r w:rsidRPr="00183E4D">
        <w:t>nalysis</w:t>
      </w:r>
      <w:bookmarkEnd w:id="353"/>
    </w:p>
    <w:p w14:paraId="51776BF8" w14:textId="48BE1139" w:rsidR="007518CF" w:rsidRDefault="00812BEA" w:rsidP="005C3289">
      <w:r>
        <w:t>E</w:t>
      </w:r>
      <w:r w:rsidR="005C3289">
        <w:t xml:space="preserve">vidence </w:t>
      </w:r>
      <w:r>
        <w:t>for</w:t>
      </w:r>
      <w:r w:rsidR="005C3289">
        <w:t xml:space="preserve"> the impact of AMH on clinical management was reported </w:t>
      </w:r>
      <w:r w:rsidR="00862039">
        <w:t xml:space="preserve">primarily </w:t>
      </w:r>
      <w:r>
        <w:t>as</w:t>
      </w:r>
      <w:r w:rsidR="00862039">
        <w:t xml:space="preserve"> </w:t>
      </w:r>
      <w:r>
        <w:t>dosage change to</w:t>
      </w:r>
      <w:r w:rsidR="00862039">
        <w:t xml:space="preserve"> the controlled ovarian hyperstimulation protocol, influenced by AMH levels.</w:t>
      </w:r>
    </w:p>
    <w:p w14:paraId="41F2C27F" w14:textId="00ECCF6D" w:rsidR="009F6293" w:rsidRPr="00183E4D" w:rsidRDefault="009F6293" w:rsidP="00D366DE">
      <w:pPr>
        <w:pStyle w:val="Heading2"/>
        <w:numPr>
          <w:ilvl w:val="1"/>
          <w:numId w:val="12"/>
        </w:numPr>
      </w:pPr>
      <w:bookmarkStart w:id="354" w:name="_Toc502832962"/>
      <w:r w:rsidRPr="00183E4D">
        <w:lastRenderedPageBreak/>
        <w:t xml:space="preserve">Results of the </w:t>
      </w:r>
      <w:r w:rsidR="00DC5CE5">
        <w:t>s</w:t>
      </w:r>
      <w:r w:rsidRPr="00183E4D">
        <w:t xml:space="preserve">ystematic </w:t>
      </w:r>
      <w:r w:rsidR="00DC5CE5">
        <w:t>l</w:t>
      </w:r>
      <w:r w:rsidRPr="00183E4D">
        <w:t>iterature review</w:t>
      </w:r>
      <w:bookmarkEnd w:id="354"/>
    </w:p>
    <w:p w14:paraId="47B5E064" w14:textId="253A0F8E" w:rsidR="007518CF" w:rsidRDefault="00BC53B2" w:rsidP="009F6293">
      <w:pPr>
        <w:pStyle w:val="Heading3"/>
      </w:pPr>
      <w:bookmarkStart w:id="355" w:name="_Toc502832963"/>
      <w:r>
        <w:t>Does AMH testing</w:t>
      </w:r>
      <w:r w:rsidR="00826FBE">
        <w:t xml:space="preserve"> impact clinical management</w:t>
      </w:r>
      <w:r w:rsidR="00073B69">
        <w:t>?</w:t>
      </w:r>
      <w:bookmarkEnd w:id="355"/>
    </w:p>
    <w:p w14:paraId="22E33C1E" w14:textId="77777777" w:rsidR="00DD53E7" w:rsidRDefault="00DD53E7" w:rsidP="009F6293">
      <w:pPr>
        <w:pStyle w:val="Summaryboxheading"/>
        <w:pBdr>
          <w:top w:val="single" w:sz="4" w:space="1" w:color="auto"/>
          <w:left w:val="single" w:sz="4" w:space="4" w:color="auto"/>
          <w:bottom w:val="single" w:sz="4" w:space="1" w:color="auto"/>
          <w:right w:val="single" w:sz="4" w:space="4" w:color="auto"/>
        </w:pBdr>
        <w:jc w:val="both"/>
      </w:pPr>
      <w:r>
        <w:t>Summary</w:t>
      </w:r>
    </w:p>
    <w:p w14:paraId="6E7ED7B7" w14:textId="028621F8" w:rsidR="007A02F7" w:rsidRDefault="007E7F41" w:rsidP="009F6293">
      <w:pPr>
        <w:pStyle w:val="Summaryboxheading"/>
        <w:pBdr>
          <w:top w:val="single" w:sz="4" w:space="1" w:color="auto"/>
          <w:left w:val="single" w:sz="4" w:space="4" w:color="auto"/>
          <w:bottom w:val="single" w:sz="4" w:space="1" w:color="auto"/>
          <w:right w:val="single" w:sz="4" w:space="4" w:color="auto"/>
        </w:pBdr>
        <w:jc w:val="both"/>
        <w:rPr>
          <w:bCs/>
        </w:rPr>
      </w:pPr>
      <w:r w:rsidRPr="007E7F41">
        <w:rPr>
          <w:bCs/>
        </w:rPr>
        <w:t xml:space="preserve">Does the addition of the AMH test lead to a change in management </w:t>
      </w:r>
      <w:r w:rsidR="0057308F">
        <w:rPr>
          <w:bCs/>
        </w:rPr>
        <w:t>of</w:t>
      </w:r>
      <w:r w:rsidRPr="007E7F41">
        <w:rPr>
          <w:bCs/>
        </w:rPr>
        <w:t xml:space="preserve"> female patients prior to receiving gonadotoxic treatment, compared to FSH, </w:t>
      </w:r>
      <w:r w:rsidR="0057308F">
        <w:rPr>
          <w:bCs/>
        </w:rPr>
        <w:t>E2</w:t>
      </w:r>
      <w:r w:rsidRPr="007E7F41">
        <w:rPr>
          <w:bCs/>
        </w:rPr>
        <w:t xml:space="preserve"> and/or AFC ultrasound alone?</w:t>
      </w:r>
    </w:p>
    <w:p w14:paraId="041FD99A" w14:textId="02AC61B4" w:rsidR="008D23B8" w:rsidRPr="008D23B8" w:rsidRDefault="008D23B8" w:rsidP="009F6293">
      <w:pPr>
        <w:pStyle w:val="Summaryboxheading"/>
        <w:pBdr>
          <w:top w:val="single" w:sz="4" w:space="1" w:color="auto"/>
          <w:left w:val="single" w:sz="4" w:space="4" w:color="auto"/>
          <w:bottom w:val="single" w:sz="4" w:space="1" w:color="auto"/>
          <w:right w:val="single" w:sz="4" w:space="4" w:color="auto"/>
        </w:pBdr>
        <w:jc w:val="both"/>
        <w:rPr>
          <w:b w:val="0"/>
        </w:rPr>
      </w:pPr>
      <w:r w:rsidRPr="008D23B8">
        <w:rPr>
          <w:b w:val="0"/>
        </w:rPr>
        <w:t xml:space="preserve">The research questions on clinical utility could not be answered, due to lack of evidence on the impact of AMH on change in clinical management </w:t>
      </w:r>
      <w:r w:rsidR="002B56D9">
        <w:rPr>
          <w:b w:val="0"/>
        </w:rPr>
        <w:t>among</w:t>
      </w:r>
      <w:r w:rsidRPr="008D23B8">
        <w:rPr>
          <w:b w:val="0"/>
        </w:rPr>
        <w:t xml:space="preserve"> women undergoing gonadotoxic treatment.</w:t>
      </w:r>
    </w:p>
    <w:p w14:paraId="21BB482C" w14:textId="44261340" w:rsidR="009F6293" w:rsidRDefault="002B56D9" w:rsidP="009F6293">
      <w:pPr>
        <w:pStyle w:val="Summaryboxheading"/>
        <w:pBdr>
          <w:top w:val="single" w:sz="4" w:space="1" w:color="auto"/>
          <w:left w:val="single" w:sz="4" w:space="4" w:color="auto"/>
          <w:bottom w:val="single" w:sz="4" w:space="1" w:color="auto"/>
          <w:right w:val="single" w:sz="4" w:space="4" w:color="auto"/>
        </w:pBdr>
        <w:jc w:val="both"/>
        <w:rPr>
          <w:bCs/>
        </w:rPr>
      </w:pPr>
      <w:r>
        <w:rPr>
          <w:bCs/>
        </w:rPr>
        <w:t>Does AMH testing lead to a change in management</w:t>
      </w:r>
      <w:r w:rsidR="007E7F41" w:rsidRPr="007E7F41">
        <w:rPr>
          <w:bCs/>
        </w:rPr>
        <w:t xml:space="preserve"> </w:t>
      </w:r>
      <w:r>
        <w:rPr>
          <w:bCs/>
        </w:rPr>
        <w:t>of</w:t>
      </w:r>
      <w:r w:rsidR="007E7F41" w:rsidRPr="007E7F41">
        <w:rPr>
          <w:bCs/>
        </w:rPr>
        <w:t xml:space="preserve"> female patients following completion of gonadotoxic treatment, compared to FSH, </w:t>
      </w:r>
      <w:r>
        <w:rPr>
          <w:bCs/>
        </w:rPr>
        <w:t xml:space="preserve">E2 </w:t>
      </w:r>
      <w:r w:rsidR="007E7F41" w:rsidRPr="007E7F41">
        <w:rPr>
          <w:bCs/>
        </w:rPr>
        <w:t>and/or A</w:t>
      </w:r>
      <w:r w:rsidR="004D5C61">
        <w:rPr>
          <w:bCs/>
        </w:rPr>
        <w:t>FC ultrasound if post-pubertal?</w:t>
      </w:r>
    </w:p>
    <w:p w14:paraId="701E72E9" w14:textId="66C44589" w:rsidR="008D23B8" w:rsidRDefault="008D23B8" w:rsidP="009F6293">
      <w:pPr>
        <w:pStyle w:val="Summaryboxheading"/>
        <w:pBdr>
          <w:top w:val="single" w:sz="4" w:space="1" w:color="auto"/>
          <w:left w:val="single" w:sz="4" w:space="4" w:color="auto"/>
          <w:bottom w:val="single" w:sz="4" w:space="1" w:color="auto"/>
          <w:right w:val="single" w:sz="4" w:space="4" w:color="auto"/>
        </w:pBdr>
        <w:jc w:val="both"/>
        <w:rPr>
          <w:b w:val="0"/>
        </w:rPr>
      </w:pPr>
      <w:r w:rsidRPr="008D23B8">
        <w:rPr>
          <w:b w:val="0"/>
        </w:rPr>
        <w:t xml:space="preserve">The research questions on clinical utility could not be answered, due to lack of evidence on the impact of AMH on change </w:t>
      </w:r>
      <w:r w:rsidR="002B56D9">
        <w:rPr>
          <w:b w:val="0"/>
        </w:rPr>
        <w:t>in</w:t>
      </w:r>
      <w:r w:rsidRPr="008D23B8">
        <w:rPr>
          <w:b w:val="0"/>
        </w:rPr>
        <w:t xml:space="preserve"> clinical management </w:t>
      </w:r>
      <w:r w:rsidR="002B56D9">
        <w:rPr>
          <w:b w:val="0"/>
        </w:rPr>
        <w:t>among</w:t>
      </w:r>
      <w:r w:rsidRPr="008D23B8">
        <w:rPr>
          <w:b w:val="0"/>
        </w:rPr>
        <w:t xml:space="preserve"> women undergoing gonadotoxic treatment.</w:t>
      </w:r>
    </w:p>
    <w:p w14:paraId="749A70F6" w14:textId="5C7257BA" w:rsidR="008D23B8" w:rsidRPr="008D23B8" w:rsidRDefault="008D23B8" w:rsidP="008D23B8">
      <w:pPr>
        <w:pStyle w:val="Summaryboxheading"/>
        <w:pBdr>
          <w:top w:val="single" w:sz="4" w:space="1" w:color="auto"/>
          <w:left w:val="single" w:sz="4" w:space="4" w:color="auto"/>
          <w:bottom w:val="single" w:sz="4" w:space="1" w:color="auto"/>
          <w:right w:val="single" w:sz="4" w:space="4" w:color="auto"/>
        </w:pBdr>
        <w:rPr>
          <w:b w:val="0"/>
        </w:rPr>
      </w:pPr>
      <w:r w:rsidRPr="008D23B8">
        <w:rPr>
          <w:b w:val="0"/>
        </w:rPr>
        <w:t>The only evidence of impact of AMH testing on change in clinical management was</w:t>
      </w:r>
      <w:r w:rsidR="002B56D9">
        <w:rPr>
          <w:b w:val="0"/>
        </w:rPr>
        <w:t xml:space="preserve"> found in a broader population, </w:t>
      </w:r>
      <w:r w:rsidRPr="008D23B8">
        <w:rPr>
          <w:b w:val="0"/>
        </w:rPr>
        <w:t>i.</w:t>
      </w:r>
      <w:r w:rsidR="002B56D9">
        <w:rPr>
          <w:b w:val="0"/>
        </w:rPr>
        <w:t>e. healthy women undergoing IVF</w:t>
      </w:r>
      <w:r w:rsidRPr="008D23B8">
        <w:rPr>
          <w:b w:val="0"/>
        </w:rPr>
        <w:t>. In women undergoing IVF, there is evidence that AMH values may influence the starting dosage of recombinant FSH or hMG d</w:t>
      </w:r>
      <w:r w:rsidR="002B56D9">
        <w:rPr>
          <w:b w:val="0"/>
        </w:rPr>
        <w:t>uring ovarian hyperstimulation for the retrieval of oocytes</w:t>
      </w:r>
      <w:r w:rsidRPr="008D23B8">
        <w:rPr>
          <w:b w:val="0"/>
        </w:rPr>
        <w:t>. However, the studies sh</w:t>
      </w:r>
      <w:r w:rsidR="002B56D9">
        <w:rPr>
          <w:b w:val="0"/>
        </w:rPr>
        <w:t>owed a lack of standardisation or</w:t>
      </w:r>
      <w:r w:rsidRPr="008D23B8">
        <w:rPr>
          <w:b w:val="0"/>
        </w:rPr>
        <w:t xml:space="preserve"> guidelines </w:t>
      </w:r>
      <w:r w:rsidR="002B56D9">
        <w:rPr>
          <w:b w:val="0"/>
        </w:rPr>
        <w:t>regarding</w:t>
      </w:r>
      <w:r w:rsidRPr="008D23B8">
        <w:rPr>
          <w:b w:val="0"/>
        </w:rPr>
        <w:t xml:space="preserve"> how the AMH score was used or should be used.</w:t>
      </w:r>
    </w:p>
    <w:p w14:paraId="4C8AE57D" w14:textId="0F135F23" w:rsidR="007518CF" w:rsidRDefault="00E43414" w:rsidP="000C2BC6">
      <w:pPr>
        <w:jc w:val="both"/>
        <w:rPr>
          <w:rFonts w:asciiTheme="minorHAnsi" w:hAnsiTheme="minorHAnsi" w:cs="Arial Narrow"/>
          <w:bCs/>
        </w:rPr>
      </w:pPr>
      <w:r>
        <w:t>The original research question</w:t>
      </w:r>
      <w:r w:rsidR="00590AFB">
        <w:t xml:space="preserve">s determined </w:t>
      </w:r>
      <w:r w:rsidR="00590AFB" w:rsidRPr="00F032C2">
        <w:t>a priori</w:t>
      </w:r>
      <w:r w:rsidRPr="00F032C2">
        <w:t xml:space="preserve"> </w:t>
      </w:r>
      <w:r w:rsidR="00590AFB">
        <w:t>to determine the impact of the AM</w:t>
      </w:r>
      <w:r w:rsidR="00264180">
        <w:t>H test on patient management were</w:t>
      </w:r>
      <w:r w:rsidR="00590AFB">
        <w:t xml:space="preserve">: </w:t>
      </w:r>
      <w:r w:rsidR="00590AFB" w:rsidRPr="00264180">
        <w:rPr>
          <w:i/>
        </w:rPr>
        <w:t xml:space="preserve">“Does the addition of the AMH test lead to a change in management in female patients prior to receiving gonadotoxic treatment, compared to FSH, </w:t>
      </w:r>
      <w:r w:rsidR="00AB52D2">
        <w:rPr>
          <w:i/>
        </w:rPr>
        <w:t>E2</w:t>
      </w:r>
      <w:r w:rsidR="00590AFB" w:rsidRPr="00264180">
        <w:rPr>
          <w:i/>
        </w:rPr>
        <w:t xml:space="preserve"> and/or AFC ultrasound alone?”</w:t>
      </w:r>
      <w:r w:rsidR="00590AFB">
        <w:t xml:space="preserve"> and </w:t>
      </w:r>
      <w:r w:rsidR="00264180" w:rsidRPr="00264180">
        <w:rPr>
          <w:rFonts w:asciiTheme="minorHAnsi" w:hAnsiTheme="minorHAnsi"/>
          <w:i/>
        </w:rPr>
        <w:t>“</w:t>
      </w:r>
      <w:r w:rsidR="00264180" w:rsidRPr="00264180">
        <w:rPr>
          <w:rFonts w:asciiTheme="minorHAnsi" w:hAnsiTheme="minorHAnsi" w:cs="Arial Narrow"/>
          <w:bCs/>
          <w:i/>
        </w:rPr>
        <w:t xml:space="preserve">Is there a change in management after AMH testing in female patients following completion of gonadotoxic treatment, compared to FSH, </w:t>
      </w:r>
      <w:r w:rsidR="00A70795">
        <w:rPr>
          <w:rFonts w:asciiTheme="minorHAnsi" w:hAnsiTheme="minorHAnsi" w:cs="Arial Narrow"/>
          <w:bCs/>
          <w:i/>
        </w:rPr>
        <w:t>estradiol</w:t>
      </w:r>
      <w:r w:rsidR="00264180" w:rsidRPr="00264180">
        <w:rPr>
          <w:rFonts w:asciiTheme="minorHAnsi" w:hAnsiTheme="minorHAnsi" w:cs="Arial Narrow"/>
          <w:bCs/>
          <w:i/>
        </w:rPr>
        <w:t xml:space="preserve"> and/or AFC ultrasound</w:t>
      </w:r>
      <w:r w:rsidR="00AB52D2">
        <w:rPr>
          <w:rFonts w:asciiTheme="minorHAnsi" w:hAnsiTheme="minorHAnsi" w:cs="Arial Narrow"/>
          <w:bCs/>
          <w:i/>
        </w:rPr>
        <w:t>,</w:t>
      </w:r>
      <w:r w:rsidR="00264180" w:rsidRPr="00264180">
        <w:rPr>
          <w:rFonts w:asciiTheme="minorHAnsi" w:hAnsiTheme="minorHAnsi" w:cs="Arial Narrow"/>
          <w:bCs/>
          <w:i/>
        </w:rPr>
        <w:t xml:space="preserve"> if post-pubertal?”</w:t>
      </w:r>
      <w:r w:rsidR="00264180">
        <w:rPr>
          <w:rFonts w:asciiTheme="minorHAnsi" w:hAnsiTheme="minorHAnsi" w:cs="Arial Narrow"/>
          <w:bCs/>
        </w:rPr>
        <w:t xml:space="preserve"> </w:t>
      </w:r>
      <w:r w:rsidR="000C2BC6">
        <w:rPr>
          <w:rFonts w:asciiTheme="minorHAnsi" w:hAnsiTheme="minorHAnsi" w:cs="Arial Narrow"/>
          <w:bCs/>
        </w:rPr>
        <w:t>Due to lack of evidence</w:t>
      </w:r>
      <w:r w:rsidR="00AB52D2">
        <w:rPr>
          <w:rFonts w:asciiTheme="minorHAnsi" w:hAnsiTheme="minorHAnsi" w:cs="Arial Narrow"/>
          <w:bCs/>
        </w:rPr>
        <w:t>,</w:t>
      </w:r>
      <w:r w:rsidR="000C2BC6">
        <w:rPr>
          <w:rFonts w:asciiTheme="minorHAnsi" w:hAnsiTheme="minorHAnsi" w:cs="Arial Narrow"/>
          <w:bCs/>
        </w:rPr>
        <w:t xml:space="preserve"> these research questions could not be answered. We therefore aimed to show how AMH impacts management in wo</w:t>
      </w:r>
      <w:r w:rsidR="0086709D">
        <w:rPr>
          <w:rFonts w:asciiTheme="minorHAnsi" w:hAnsiTheme="minorHAnsi" w:cs="Arial Narrow"/>
          <w:bCs/>
        </w:rPr>
        <w:t>men who did</w:t>
      </w:r>
      <w:r w:rsidR="000C2BC6">
        <w:rPr>
          <w:rFonts w:asciiTheme="minorHAnsi" w:hAnsiTheme="minorHAnsi" w:cs="Arial Narrow"/>
          <w:bCs/>
        </w:rPr>
        <w:t xml:space="preserve"> not undergo gonadotoxic treatment.</w:t>
      </w:r>
    </w:p>
    <w:p w14:paraId="242E3E09" w14:textId="50CD5694" w:rsidR="007518CF" w:rsidRDefault="00AB52D2" w:rsidP="000C2BC6">
      <w:pPr>
        <w:jc w:val="both"/>
        <w:rPr>
          <w:rFonts w:asciiTheme="minorHAnsi" w:hAnsiTheme="minorHAnsi" w:cs="Arial Narrow"/>
          <w:bCs/>
        </w:rPr>
      </w:pPr>
      <w:r>
        <w:rPr>
          <w:rFonts w:asciiTheme="minorHAnsi" w:hAnsiTheme="minorHAnsi" w:cs="Arial Narrow"/>
          <w:bCs/>
        </w:rPr>
        <w:t>Section B4</w:t>
      </w:r>
      <w:r w:rsidR="00E41046">
        <w:rPr>
          <w:rFonts w:asciiTheme="minorHAnsi" w:hAnsiTheme="minorHAnsi" w:cs="Arial Narrow"/>
          <w:bCs/>
        </w:rPr>
        <w:t xml:space="preserve"> </w:t>
      </w:r>
      <w:r w:rsidR="004D6709">
        <w:rPr>
          <w:rFonts w:asciiTheme="minorHAnsi" w:hAnsiTheme="minorHAnsi" w:cs="Arial Narrow"/>
          <w:bCs/>
        </w:rPr>
        <w:t>provided material on how</w:t>
      </w:r>
      <w:r w:rsidR="00E41046">
        <w:rPr>
          <w:rFonts w:asciiTheme="minorHAnsi" w:hAnsiTheme="minorHAnsi" w:cs="Arial Narrow"/>
          <w:bCs/>
        </w:rPr>
        <w:t xml:space="preserve"> AMH </w:t>
      </w:r>
      <w:r>
        <w:rPr>
          <w:rFonts w:asciiTheme="minorHAnsi" w:hAnsiTheme="minorHAnsi" w:cs="Arial Narrow"/>
          <w:bCs/>
        </w:rPr>
        <w:t xml:space="preserve">predicts prognosis </w:t>
      </w:r>
      <w:r w:rsidR="00E41046">
        <w:rPr>
          <w:rFonts w:asciiTheme="minorHAnsi" w:hAnsiTheme="minorHAnsi" w:cs="Arial Narrow"/>
          <w:bCs/>
        </w:rPr>
        <w:t xml:space="preserve">in regards to ovarian </w:t>
      </w:r>
      <w:r>
        <w:rPr>
          <w:rFonts w:asciiTheme="minorHAnsi" w:hAnsiTheme="minorHAnsi" w:cs="Arial Narrow"/>
          <w:bCs/>
        </w:rPr>
        <w:t>function</w:t>
      </w:r>
      <w:r w:rsidR="00E41046">
        <w:rPr>
          <w:rFonts w:asciiTheme="minorHAnsi" w:hAnsiTheme="minorHAnsi" w:cs="Arial Narrow"/>
          <w:bCs/>
        </w:rPr>
        <w:t xml:space="preserve"> </w:t>
      </w:r>
      <w:r>
        <w:rPr>
          <w:rFonts w:asciiTheme="minorHAnsi" w:hAnsiTheme="minorHAnsi" w:cs="Arial Narrow"/>
          <w:bCs/>
        </w:rPr>
        <w:t xml:space="preserve">more accurately </w:t>
      </w:r>
      <w:r w:rsidR="00E41046">
        <w:rPr>
          <w:rFonts w:asciiTheme="minorHAnsi" w:hAnsiTheme="minorHAnsi" w:cs="Arial Narrow"/>
          <w:bCs/>
        </w:rPr>
        <w:t>than FSH</w:t>
      </w:r>
      <w:r w:rsidR="00C21EDD">
        <w:rPr>
          <w:rFonts w:asciiTheme="minorHAnsi" w:hAnsiTheme="minorHAnsi" w:cs="Arial Narrow"/>
          <w:bCs/>
        </w:rPr>
        <w:t xml:space="preserve">, </w:t>
      </w:r>
      <w:r w:rsidR="00DE5D72">
        <w:rPr>
          <w:rFonts w:asciiTheme="minorHAnsi" w:hAnsiTheme="minorHAnsi" w:cs="Arial Narrow"/>
          <w:bCs/>
        </w:rPr>
        <w:t>and E2</w:t>
      </w:r>
      <w:r w:rsidR="00C21EDD">
        <w:rPr>
          <w:rFonts w:asciiTheme="minorHAnsi" w:hAnsiTheme="minorHAnsi" w:cs="Arial Narrow"/>
          <w:bCs/>
        </w:rPr>
        <w:t>. It is hypothesised that this information may be used to influence fertility preservation decisions. However, no data were identified showing that this is the case.</w:t>
      </w:r>
    </w:p>
    <w:p w14:paraId="5847DFB2" w14:textId="342B85B4" w:rsidR="007518CF" w:rsidRDefault="00355853" w:rsidP="000C2BC6">
      <w:pPr>
        <w:jc w:val="both"/>
        <w:rPr>
          <w:rFonts w:asciiTheme="minorHAnsi" w:hAnsiTheme="minorHAnsi" w:cs="Arial Narrow"/>
          <w:bCs/>
        </w:rPr>
      </w:pPr>
      <w:r>
        <w:rPr>
          <w:rFonts w:asciiTheme="minorHAnsi" w:hAnsiTheme="minorHAnsi" w:cs="Arial Narrow"/>
          <w:bCs/>
        </w:rPr>
        <w:t>T</w:t>
      </w:r>
      <w:r w:rsidR="00C21EDD">
        <w:rPr>
          <w:rFonts w:asciiTheme="minorHAnsi" w:hAnsiTheme="minorHAnsi" w:cs="Arial Narrow"/>
          <w:bCs/>
        </w:rPr>
        <w:t xml:space="preserve">here is evidence that AMH testing can help predict how many oocytes will be retrieved through ovarian hyperstimulation, although it was not clear the extent to which AMH provided incremental information over FSH. If it could be shown that AMH testing provides superior information </w:t>
      </w:r>
      <w:r>
        <w:rPr>
          <w:rFonts w:asciiTheme="minorHAnsi" w:hAnsiTheme="minorHAnsi" w:cs="Arial Narrow"/>
          <w:bCs/>
        </w:rPr>
        <w:t>to</w:t>
      </w:r>
      <w:r w:rsidR="00C21EDD">
        <w:rPr>
          <w:rFonts w:asciiTheme="minorHAnsi" w:hAnsiTheme="minorHAnsi" w:cs="Arial Narrow"/>
          <w:bCs/>
        </w:rPr>
        <w:t xml:space="preserve"> FSH, then it is hypothesised that this information could be used to try and alter the dosage of gonadotrophins, to avoid too few or too many oocytes being </w:t>
      </w:r>
      <w:r w:rsidR="005E7691">
        <w:rPr>
          <w:rFonts w:asciiTheme="minorHAnsi" w:hAnsiTheme="minorHAnsi" w:cs="Arial Narrow"/>
          <w:bCs/>
        </w:rPr>
        <w:t>retrieved</w:t>
      </w:r>
      <w:r w:rsidR="00C21EDD">
        <w:rPr>
          <w:rFonts w:asciiTheme="minorHAnsi" w:hAnsiTheme="minorHAnsi" w:cs="Arial Narrow"/>
          <w:bCs/>
        </w:rPr>
        <w:t>.</w:t>
      </w:r>
    </w:p>
    <w:p w14:paraId="1196618B" w14:textId="1D0EB524" w:rsidR="00883DB3" w:rsidRDefault="00883DB3" w:rsidP="00883DB3">
      <w:pPr>
        <w:pStyle w:val="Heading4"/>
      </w:pPr>
      <w:r w:rsidRPr="00883DB3">
        <w:lastRenderedPageBreak/>
        <w:t>AMH testing</w:t>
      </w:r>
      <w:r>
        <w:t xml:space="preserve"> influencing starting dosage of gonadotrophins in IVF/ICSI cycles</w:t>
      </w:r>
      <w:r w:rsidR="00C21EDD">
        <w:t xml:space="preserve"> (not in </w:t>
      </w:r>
      <w:r w:rsidR="003D27F5">
        <w:t xml:space="preserve">target </w:t>
      </w:r>
      <w:r w:rsidR="00C21EDD">
        <w:t>population undergoing gonadotoxic treatment)</w:t>
      </w:r>
    </w:p>
    <w:p w14:paraId="4FBF4D09" w14:textId="68DD4DDD" w:rsidR="00A00B06" w:rsidRDefault="00C21EDD" w:rsidP="00AB6459">
      <w:pPr>
        <w:jc w:val="both"/>
      </w:pPr>
      <w:r>
        <w:t xml:space="preserve">A </w:t>
      </w:r>
      <w:r w:rsidR="00327B3D">
        <w:t xml:space="preserve">retrospective study by Yates et al (2011), reported </w:t>
      </w:r>
      <w:r w:rsidR="00796DDA">
        <w:t xml:space="preserve">on </w:t>
      </w:r>
      <w:r w:rsidR="00327B3D">
        <w:t xml:space="preserve">the introduction of AMH-tailored stimulation protocols in an IVF clinic in Manchester, UK, in September 2008. </w:t>
      </w:r>
      <w:r w:rsidR="00FF5973">
        <w:t>After the introduction of AMH testing in the IVF clinic, basal AMH levels were measured in all women within three months prior to controlled ovarian hyperstimulation. Women who had AMH levels above 48.5 pmol/L had further tests to exclude granulosa cell tumours or polycystic ovary syndrome and underwent counselling. Women with an acceptable AMH level were stratified and underwent different treatments</w:t>
      </w:r>
      <w:r w:rsidR="009242C2">
        <w:t xml:space="preserve"> (see </w:t>
      </w:r>
      <w:r w:rsidR="009242C2">
        <w:fldChar w:fldCharType="begin"/>
      </w:r>
      <w:r w:rsidR="009242C2">
        <w:instrText xml:space="preserve"> REF _Ref495922025 \h </w:instrText>
      </w:r>
      <w:r w:rsidR="00AB6459">
        <w:instrText xml:space="preserve"> \* MERGEFORMAT </w:instrText>
      </w:r>
      <w:r w:rsidR="009242C2">
        <w:fldChar w:fldCharType="separate"/>
      </w:r>
      <w:r w:rsidR="00AC4BE5">
        <w:t xml:space="preserve">Table </w:t>
      </w:r>
      <w:r w:rsidR="00AC4BE5">
        <w:rPr>
          <w:noProof/>
        </w:rPr>
        <w:t>56</w:t>
      </w:r>
      <w:r w:rsidR="009242C2">
        <w:fldChar w:fldCharType="end"/>
      </w:r>
      <w:r w:rsidR="009242C2">
        <w:t>)</w:t>
      </w:r>
      <w:r w:rsidR="00FF5973">
        <w:t>.</w:t>
      </w:r>
      <w:r w:rsidR="00AB6459">
        <w:t xml:space="preserve"> Those with higher AMH levels received lower doses of gonadotrophins and vice versa.</w:t>
      </w:r>
      <w:r w:rsidR="00073B69">
        <w:t xml:space="preserve"> </w:t>
      </w:r>
      <w:r w:rsidR="00AB6459">
        <w:t>Before AMH</w:t>
      </w:r>
      <w:r w:rsidR="00DF36E4">
        <w:t>-</w:t>
      </w:r>
      <w:r w:rsidR="00AB6459">
        <w:t>tailored protocols, dosages were determined by FSH levels (10.0 IU/L threshold) and age (threshold 35 years).</w:t>
      </w:r>
    </w:p>
    <w:p w14:paraId="554FD4FF" w14:textId="0C2C8F30" w:rsidR="00141A75" w:rsidRPr="0004250B" w:rsidRDefault="00141A75" w:rsidP="00C407AE">
      <w:pPr>
        <w:pStyle w:val="Caption"/>
        <w:ind w:left="993" w:hanging="993"/>
      </w:pPr>
      <w:bookmarkStart w:id="356" w:name="_Ref495922025"/>
      <w:bookmarkStart w:id="357" w:name="_Toc502833074"/>
      <w:r>
        <w:t xml:space="preserve">Table </w:t>
      </w:r>
      <w:r w:rsidR="00AC4BE5">
        <w:fldChar w:fldCharType="begin"/>
      </w:r>
      <w:r w:rsidR="00AC4BE5">
        <w:instrText xml:space="preserve"> SEQ Table \* ARABIC </w:instrText>
      </w:r>
      <w:r w:rsidR="00AC4BE5">
        <w:fldChar w:fldCharType="separate"/>
      </w:r>
      <w:r w:rsidR="00AC4BE5">
        <w:rPr>
          <w:noProof/>
        </w:rPr>
        <w:t>56</w:t>
      </w:r>
      <w:r w:rsidR="00AC4BE5">
        <w:rPr>
          <w:noProof/>
        </w:rPr>
        <w:fldChar w:fldCharType="end"/>
      </w:r>
      <w:bookmarkEnd w:id="356"/>
      <w:r w:rsidR="00AC6BAA">
        <w:tab/>
      </w:r>
      <w:r>
        <w:t xml:space="preserve">Controlled ovarian hyperstimulation protocol </w:t>
      </w:r>
      <w:r w:rsidR="00AC6BAA">
        <w:t>influenced by AMH levels, in St</w:t>
      </w:r>
      <w:r>
        <w:t xml:space="preserve"> Mary's hospital, Manchester (from 2008)</w:t>
      </w:r>
      <w:bookmarkEnd w:id="357"/>
    </w:p>
    <w:tbl>
      <w:tblPr>
        <w:tblStyle w:val="TableGrid"/>
        <w:tblW w:w="0" w:type="auto"/>
        <w:tblLook w:val="04A0" w:firstRow="1" w:lastRow="0" w:firstColumn="1" w:lastColumn="0" w:noHBand="0" w:noVBand="1"/>
        <w:tblCaption w:val="Controlled ovarian hyperstimulation protocol influenced by AMH levels, in St. Mary's hospital, Manchester (from 2008)"/>
        <w:tblDescription w:val="Controlled ovarian hyperstimulation protocol influenced by AMH levels, in St. Mary's hospital, Manchester (from 2008)"/>
      </w:tblPr>
      <w:tblGrid>
        <w:gridCol w:w="1696"/>
        <w:gridCol w:w="7320"/>
      </w:tblGrid>
      <w:tr w:rsidR="00FF5973" w:rsidRPr="0004250B" w14:paraId="1FC73B0C" w14:textId="77777777" w:rsidTr="00141A75">
        <w:trPr>
          <w:tblHeader/>
        </w:trPr>
        <w:tc>
          <w:tcPr>
            <w:tcW w:w="1696" w:type="dxa"/>
          </w:tcPr>
          <w:p w14:paraId="6D69977A" w14:textId="362FFFEC" w:rsidR="00FF5973" w:rsidRPr="0004250B" w:rsidRDefault="0004250B" w:rsidP="0004250B">
            <w:pPr>
              <w:pStyle w:val="Tabletext1"/>
              <w:ind w:left="0"/>
              <w:rPr>
                <w:b/>
              </w:rPr>
            </w:pPr>
            <w:r w:rsidRPr="0004250B">
              <w:rPr>
                <w:b/>
              </w:rPr>
              <w:t>AMH l</w:t>
            </w:r>
            <w:r w:rsidR="00FF5973" w:rsidRPr="0004250B">
              <w:rPr>
                <w:b/>
              </w:rPr>
              <w:t>evel</w:t>
            </w:r>
          </w:p>
        </w:tc>
        <w:tc>
          <w:tcPr>
            <w:tcW w:w="7320" w:type="dxa"/>
          </w:tcPr>
          <w:p w14:paraId="06E524F3" w14:textId="4A2F1B2D" w:rsidR="00FF5973" w:rsidRPr="0004250B" w:rsidRDefault="00FF5973" w:rsidP="0004250B">
            <w:pPr>
              <w:pStyle w:val="Tabletext1"/>
              <w:ind w:left="0"/>
              <w:rPr>
                <w:b/>
              </w:rPr>
            </w:pPr>
            <w:r w:rsidRPr="0004250B">
              <w:rPr>
                <w:b/>
              </w:rPr>
              <w:t xml:space="preserve">Controlled ovarian hyperstimulation protocol based on AMH </w:t>
            </w:r>
          </w:p>
        </w:tc>
      </w:tr>
      <w:tr w:rsidR="00FF5973" w14:paraId="3AF9D583" w14:textId="77777777" w:rsidTr="00103FCB">
        <w:tc>
          <w:tcPr>
            <w:tcW w:w="1696" w:type="dxa"/>
          </w:tcPr>
          <w:p w14:paraId="3930FAC0" w14:textId="68957E05" w:rsidR="00FF5973" w:rsidRDefault="00FF5973" w:rsidP="00796DDA">
            <w:pPr>
              <w:pStyle w:val="Tabletext1"/>
              <w:ind w:left="0"/>
            </w:pPr>
            <w:r>
              <w:t>&lt;2.2 pmol/L</w:t>
            </w:r>
          </w:p>
        </w:tc>
        <w:tc>
          <w:tcPr>
            <w:tcW w:w="7320" w:type="dxa"/>
          </w:tcPr>
          <w:p w14:paraId="271064DA" w14:textId="50EAF05D" w:rsidR="00FF5973" w:rsidRDefault="00FF5973" w:rsidP="00796DDA">
            <w:pPr>
              <w:pStyle w:val="Tabletext1"/>
              <w:ind w:left="34"/>
            </w:pPr>
            <w:r>
              <w:t>Exclude, counsel and offer alternative assisted reproductive treatment</w:t>
            </w:r>
          </w:p>
        </w:tc>
      </w:tr>
      <w:tr w:rsidR="00FF5973" w14:paraId="6205C73F" w14:textId="77777777" w:rsidTr="00103FCB">
        <w:tc>
          <w:tcPr>
            <w:tcW w:w="1696" w:type="dxa"/>
          </w:tcPr>
          <w:p w14:paraId="1D80E606" w14:textId="39ED71D3" w:rsidR="00FF5973" w:rsidRDefault="00FF5973" w:rsidP="00796DDA">
            <w:pPr>
              <w:pStyle w:val="Tabletext1"/>
              <w:ind w:left="0"/>
            </w:pPr>
            <w:r>
              <w:t>2.2</w:t>
            </w:r>
            <w:r w:rsidR="00B50CCE">
              <w:t>–</w:t>
            </w:r>
            <w:r>
              <w:t>15.6 pmol/L</w:t>
            </w:r>
          </w:p>
        </w:tc>
        <w:tc>
          <w:tcPr>
            <w:tcW w:w="7320" w:type="dxa"/>
          </w:tcPr>
          <w:p w14:paraId="75052913" w14:textId="57AD46F2" w:rsidR="00FF5973" w:rsidRDefault="00103FCB" w:rsidP="00796DDA">
            <w:pPr>
              <w:pStyle w:val="Tabletext1"/>
              <w:ind w:left="34"/>
            </w:pPr>
            <w:r>
              <w:t xml:space="preserve">300 IU </w:t>
            </w:r>
            <w:r w:rsidR="0082391C">
              <w:t>hMG + GnRH</w:t>
            </w:r>
            <w:r w:rsidR="00796DDA">
              <w:t xml:space="preserve"> antagonist from d</w:t>
            </w:r>
            <w:r>
              <w:t>ay 6 of stimulation</w:t>
            </w:r>
          </w:p>
        </w:tc>
      </w:tr>
      <w:tr w:rsidR="00FF5973" w14:paraId="31B4ACC2" w14:textId="77777777" w:rsidTr="00103FCB">
        <w:tc>
          <w:tcPr>
            <w:tcW w:w="1696" w:type="dxa"/>
          </w:tcPr>
          <w:p w14:paraId="12B993C8" w14:textId="47E3D547" w:rsidR="00FF5973" w:rsidRDefault="00FF5973" w:rsidP="00796DDA">
            <w:pPr>
              <w:pStyle w:val="Tabletext1"/>
              <w:ind w:left="0"/>
            </w:pPr>
            <w:r>
              <w:t>15.7</w:t>
            </w:r>
            <w:r w:rsidR="00B50CCE">
              <w:t>–</w:t>
            </w:r>
            <w:r>
              <w:t>28.6 pmol/L</w:t>
            </w:r>
          </w:p>
        </w:tc>
        <w:tc>
          <w:tcPr>
            <w:tcW w:w="7320" w:type="dxa"/>
          </w:tcPr>
          <w:p w14:paraId="7467159A" w14:textId="2F2C078E" w:rsidR="00FF5973" w:rsidRDefault="00103FCB" w:rsidP="00796DDA">
            <w:pPr>
              <w:pStyle w:val="Tabletext1"/>
              <w:ind w:left="34"/>
            </w:pPr>
            <w:r>
              <w:t xml:space="preserve">200 IU recombinant FSH or 225 IU hMG in Long down regulation protocol + GnRH agonist </w:t>
            </w:r>
          </w:p>
        </w:tc>
      </w:tr>
      <w:tr w:rsidR="00FF5973" w14:paraId="1F8663E8" w14:textId="77777777" w:rsidTr="00103FCB">
        <w:tc>
          <w:tcPr>
            <w:tcW w:w="1696" w:type="dxa"/>
          </w:tcPr>
          <w:p w14:paraId="048CA7EC" w14:textId="01B373A2" w:rsidR="00FF5973" w:rsidRDefault="00FF5973" w:rsidP="00796DDA">
            <w:pPr>
              <w:pStyle w:val="Tabletext1"/>
              <w:ind w:left="0"/>
            </w:pPr>
            <w:r>
              <w:t>&gt;28.6 pmol/L</w:t>
            </w:r>
          </w:p>
        </w:tc>
        <w:tc>
          <w:tcPr>
            <w:tcW w:w="7320" w:type="dxa"/>
          </w:tcPr>
          <w:p w14:paraId="2312B3BF" w14:textId="462E4415" w:rsidR="00FF5973" w:rsidRDefault="00103FCB" w:rsidP="00796DDA">
            <w:pPr>
              <w:pStyle w:val="Tabletext1"/>
              <w:ind w:left="34"/>
            </w:pPr>
            <w:r>
              <w:t>150</w:t>
            </w:r>
            <w:r w:rsidR="00796DDA">
              <w:t xml:space="preserve"> IU hMG + GnRH antagonist from d</w:t>
            </w:r>
            <w:r>
              <w:t>ay 6 of stimulation</w:t>
            </w:r>
          </w:p>
        </w:tc>
      </w:tr>
    </w:tbl>
    <w:p w14:paraId="5D8E40D1" w14:textId="655123A5" w:rsidR="0082391C" w:rsidRPr="00AC6BAA" w:rsidRDefault="0082391C" w:rsidP="0082391C">
      <w:pPr>
        <w:pStyle w:val="Tabletext1"/>
        <w:rPr>
          <w:sz w:val="18"/>
          <w:szCs w:val="18"/>
        </w:rPr>
      </w:pPr>
      <w:r w:rsidRPr="00AC6BAA">
        <w:rPr>
          <w:sz w:val="18"/>
          <w:szCs w:val="18"/>
        </w:rPr>
        <w:t xml:space="preserve">AMH = </w:t>
      </w:r>
      <w:r w:rsidR="00C22392" w:rsidRPr="00AC6BAA">
        <w:rPr>
          <w:sz w:val="18"/>
          <w:szCs w:val="18"/>
        </w:rPr>
        <w:t>anti-Müllerian hormone</w:t>
      </w:r>
      <w:r w:rsidR="009C25E2">
        <w:rPr>
          <w:sz w:val="18"/>
          <w:szCs w:val="18"/>
        </w:rPr>
        <w:t>;</w:t>
      </w:r>
      <w:r w:rsidRPr="00AC6BAA">
        <w:rPr>
          <w:sz w:val="18"/>
          <w:szCs w:val="18"/>
        </w:rPr>
        <w:t xml:space="preserve"> FSH = follicle</w:t>
      </w:r>
      <w:r w:rsidR="00DE6DD5">
        <w:rPr>
          <w:sz w:val="18"/>
          <w:szCs w:val="18"/>
        </w:rPr>
        <w:t>-</w:t>
      </w:r>
      <w:r w:rsidRPr="00AC6BAA">
        <w:rPr>
          <w:sz w:val="18"/>
          <w:szCs w:val="18"/>
        </w:rPr>
        <w:t>stimula</w:t>
      </w:r>
      <w:r w:rsidR="009C25E2">
        <w:rPr>
          <w:sz w:val="18"/>
          <w:szCs w:val="18"/>
        </w:rPr>
        <w:t>ting hormone;</w:t>
      </w:r>
      <w:r w:rsidRPr="00AC6BAA">
        <w:rPr>
          <w:sz w:val="18"/>
          <w:szCs w:val="18"/>
        </w:rPr>
        <w:t xml:space="preserve"> hMG =</w:t>
      </w:r>
      <w:r w:rsidR="009C25E2">
        <w:rPr>
          <w:sz w:val="18"/>
          <w:szCs w:val="18"/>
        </w:rPr>
        <w:t xml:space="preserve"> human menopausal gonadotrophin;</w:t>
      </w:r>
      <w:r w:rsidRPr="00AC6BAA">
        <w:rPr>
          <w:sz w:val="18"/>
          <w:szCs w:val="18"/>
        </w:rPr>
        <w:t xml:space="preserve"> GnRH = </w:t>
      </w:r>
      <w:r w:rsidR="00F669A2" w:rsidRPr="00AC6BAA">
        <w:rPr>
          <w:sz w:val="18"/>
          <w:szCs w:val="18"/>
        </w:rPr>
        <w:t>g</w:t>
      </w:r>
      <w:r w:rsidRPr="00AC6BAA">
        <w:rPr>
          <w:sz w:val="18"/>
          <w:szCs w:val="18"/>
        </w:rPr>
        <w:t>onadotrophin releasing hormone</w:t>
      </w:r>
    </w:p>
    <w:p w14:paraId="2C19318A" w14:textId="03563816" w:rsidR="0082391C" w:rsidRPr="00AC6BAA" w:rsidRDefault="00AC6BAA" w:rsidP="00AC6BAA">
      <w:pPr>
        <w:pStyle w:val="Tabletext1"/>
        <w:spacing w:after="240"/>
        <w:rPr>
          <w:sz w:val="18"/>
          <w:szCs w:val="18"/>
        </w:rPr>
      </w:pPr>
      <w:r w:rsidRPr="00AC6BAA">
        <w:rPr>
          <w:sz w:val="18"/>
          <w:szCs w:val="18"/>
        </w:rPr>
        <w:t>Source: Yates et al. (2011)</w:t>
      </w:r>
    </w:p>
    <w:p w14:paraId="1A709D88" w14:textId="1DB8343C" w:rsidR="007518CF" w:rsidRDefault="00C21EDD" w:rsidP="006718C7">
      <w:pPr>
        <w:jc w:val="both"/>
      </w:pPr>
      <w:r>
        <w:t xml:space="preserve">A </w:t>
      </w:r>
      <w:r w:rsidR="006718C7">
        <w:t>retrospective study by Papaleo et al. (2016) reported the treatment protocol used in two centres in Italy</w:t>
      </w:r>
      <w:r w:rsidR="00073B69">
        <w:t xml:space="preserve"> (n=398)</w:t>
      </w:r>
      <w:r w:rsidR="006718C7">
        <w:t xml:space="preserve">. They stated the standard starting dose of recombinant FSH or hMG was determined based on age, body weight, AFC, AMH and FSH, ranging from 100 to 225 IU per day. The exact starting dosage </w:t>
      </w:r>
      <w:r w:rsidR="00F669A2">
        <w:t>was</w:t>
      </w:r>
      <w:r w:rsidR="006718C7">
        <w:t xml:space="preserve"> selected by the treating physician and determined by their personal experience </w:t>
      </w:r>
      <w:r w:rsidR="00A109BA">
        <w:fldChar w:fldCharType="begin">
          <w:fldData xml:space="preserve">PEVuZE5vdGU+PENpdGU+PEF1dGhvcj5QYXBhbGVvPC9BdXRob3I+PFllYXI+MjAxNjwvWWVhcj48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==
</w:fldData>
        </w:fldChar>
      </w:r>
      <w:r w:rsidR="00577E24">
        <w:instrText xml:space="preserve"> ADDIN EN.CITE </w:instrText>
      </w:r>
      <w:r w:rsidR="00577E24">
        <w:fldChar w:fldCharType="begin">
          <w:fldData xml:space="preserve">PEVuZE5vdGU+PENpdGU+PEF1dGhvcj5QYXBhbGVvPC9BdXRob3I+PFllYXI+MjAxNjwvWWVhcj48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==
</w:fldData>
        </w:fldChar>
      </w:r>
      <w:r w:rsidR="00577E24">
        <w:instrText xml:space="preserve"> ADDIN EN.CITE.DATA </w:instrText>
      </w:r>
      <w:r w:rsidR="00577E24">
        <w:fldChar w:fldCharType="end"/>
      </w:r>
      <w:r w:rsidR="00A109BA">
        <w:fldChar w:fldCharType="separate"/>
      </w:r>
      <w:r w:rsidR="00A109BA">
        <w:rPr>
          <w:noProof/>
        </w:rPr>
        <w:t>(</w:t>
      </w:r>
      <w:hyperlink w:anchor="_ENREF_54" w:tooltip="Papaleo, 2016 #280" w:history="1">
        <w:r w:rsidR="00835BA6">
          <w:rPr>
            <w:noProof/>
          </w:rPr>
          <w:t>Papaleo et al. 2016</w:t>
        </w:r>
      </w:hyperlink>
      <w:r w:rsidR="00A109BA">
        <w:rPr>
          <w:noProof/>
        </w:rPr>
        <w:t>)</w:t>
      </w:r>
      <w:r w:rsidR="00A109BA">
        <w:fldChar w:fldCharType="end"/>
      </w:r>
      <w:r w:rsidR="006718C7">
        <w:t xml:space="preserve">. </w:t>
      </w:r>
      <w:r w:rsidR="008A4D14">
        <w:t>The doses were</w:t>
      </w:r>
      <w:r w:rsidR="006718C7">
        <w:t xml:space="preserve"> then adjusted according to ovarian response, ob</w:t>
      </w:r>
      <w:r w:rsidR="00F669A2">
        <w:t>served by pelvic ultrasound on day</w:t>
      </w:r>
      <w:r w:rsidR="006718C7">
        <w:t xml:space="preserve"> 5 or </w:t>
      </w:r>
      <w:r w:rsidR="00F669A2">
        <w:t xml:space="preserve">day </w:t>
      </w:r>
      <w:r w:rsidR="006718C7">
        <w:t>6</w:t>
      </w:r>
      <w:r w:rsidR="00F669A2">
        <w:t xml:space="preserve"> of the stimulation cycle</w:t>
      </w:r>
      <w:r w:rsidR="006718C7">
        <w:t xml:space="preserve">. The two centres displayed different controlled ovarian stimulation protocols and women were prescribed different starting doses, despite the women’s characteristics being similar between centres. This is likely due to the absence </w:t>
      </w:r>
      <w:r w:rsidR="00545768">
        <w:t>of standard guidelines and</w:t>
      </w:r>
      <w:r w:rsidR="006718C7">
        <w:t xml:space="preserve"> appropriate patient-b</w:t>
      </w:r>
      <w:r w:rsidR="00F669A2">
        <w:t xml:space="preserve">ased tailoring of treatment, i.e. </w:t>
      </w:r>
      <w:r w:rsidR="003D27F5">
        <w:t xml:space="preserve">dosage partly depends on </w:t>
      </w:r>
      <w:r w:rsidR="00F669A2">
        <w:t xml:space="preserve">the </w:t>
      </w:r>
      <w:r w:rsidR="00545768">
        <w:t>clinicia</w:t>
      </w:r>
      <w:r w:rsidR="00F669A2">
        <w:t>n’s experience</w:t>
      </w:r>
      <w:r w:rsidR="00545768">
        <w:t xml:space="preserve">. </w:t>
      </w:r>
      <w:r w:rsidR="005C1426">
        <w:t>Even though this study did not report a change in management due to a standardised protocol based on AMH levels, it reported who would have received a different starting dose if a standardised nomogram</w:t>
      </w:r>
      <w:r w:rsidR="00643C37">
        <w:t xml:space="preserve"> based on AMH,</w:t>
      </w:r>
      <w:r w:rsidR="008977FC">
        <w:t xml:space="preserve"> </w:t>
      </w:r>
      <w:r w:rsidR="003D681D">
        <w:t xml:space="preserve">day 3 </w:t>
      </w:r>
      <w:r w:rsidR="00F669A2">
        <w:t>serum FSH</w:t>
      </w:r>
      <w:r w:rsidR="003D681D">
        <w:t xml:space="preserve"> level</w:t>
      </w:r>
      <w:r w:rsidR="00F669A2">
        <w:t>,</w:t>
      </w:r>
      <w:r w:rsidR="00643C37">
        <w:t xml:space="preserve"> and age</w:t>
      </w:r>
      <w:r w:rsidR="005C1426">
        <w:t xml:space="preserve"> had been used</w:t>
      </w:r>
      <w:r w:rsidR="008977FC">
        <w:t>. In this model, AMH is the leading pre</w:t>
      </w:r>
      <w:r w:rsidR="005F549C">
        <w:t xml:space="preserve">dictor, explaining </w:t>
      </w:r>
      <w:r w:rsidR="006577F8">
        <w:t>most of the model variation,</w:t>
      </w:r>
      <w:r w:rsidR="005F549C">
        <w:t xml:space="preserve"> followed by serum FSH and female age.</w:t>
      </w:r>
      <w:r w:rsidR="005C1426">
        <w:t xml:space="preserve"> </w:t>
      </w:r>
      <w:r w:rsidR="008A4D14">
        <w:t>Result</w:t>
      </w:r>
      <w:r w:rsidR="00643C37">
        <w:t xml:space="preserve">s showed that almost 90% (22/25) of women who had a suboptimal oocyte yield and starting dose would have received a higher starting dose if the nomogram had been used. </w:t>
      </w:r>
      <w:r w:rsidR="005750AC">
        <w:t xml:space="preserve">Conversely, 49/398 patients (12.3%) had an oocyte yield above the target. Of these women, 26 </w:t>
      </w:r>
      <w:r w:rsidR="00177BF8">
        <w:t>of 49</w:t>
      </w:r>
      <w:r w:rsidR="005750AC">
        <w:t xml:space="preserve"> </w:t>
      </w:r>
      <w:r w:rsidR="00177BF8">
        <w:t>(</w:t>
      </w:r>
      <w:r w:rsidR="005750AC">
        <w:t xml:space="preserve">53%) would have received a lower starting dose if the nomogram </w:t>
      </w:r>
      <w:r w:rsidR="00177BF8">
        <w:t>had</w:t>
      </w:r>
      <w:r w:rsidR="005750AC">
        <w:t xml:space="preserve"> been followed. However, it </w:t>
      </w:r>
      <w:r w:rsidR="00177BF8">
        <w:t>is notable</w:t>
      </w:r>
      <w:r w:rsidR="005750AC">
        <w:t xml:space="preserve"> that the</w:t>
      </w:r>
      <w:r w:rsidR="00177BF8">
        <w:t xml:space="preserve"> study design was retrospective, and if is not possible to</w:t>
      </w:r>
      <w:r w:rsidR="005750AC">
        <w:t xml:space="preserve"> </w:t>
      </w:r>
      <w:r w:rsidR="00177BF8">
        <w:t>determine</w:t>
      </w:r>
      <w:r w:rsidR="005750AC">
        <w:t xml:space="preserve"> if the increased or decreased dosage of FSH in women with a</w:t>
      </w:r>
      <w:r w:rsidR="005E7691">
        <w:t xml:space="preserve"> </w:t>
      </w:r>
      <w:r w:rsidR="009E42A8">
        <w:lastRenderedPageBreak/>
        <w:t>suboptimal</w:t>
      </w:r>
      <w:r w:rsidR="005750AC">
        <w:t xml:space="preserve"> response would lead to an </w:t>
      </w:r>
      <w:r w:rsidR="009E42A8">
        <w:t>optimal</w:t>
      </w:r>
      <w:r w:rsidR="005750AC">
        <w:t xml:space="preserve"> r</w:t>
      </w:r>
      <w:r w:rsidR="00177BF8">
        <w:t>esponse</w:t>
      </w:r>
      <w:r w:rsidR="005750AC">
        <w:t xml:space="preserve">. Furthermore, it is not known whether the nomogram </w:t>
      </w:r>
      <w:r w:rsidR="00177BF8">
        <w:t>can be used</w:t>
      </w:r>
      <w:r w:rsidR="005750AC">
        <w:t xml:space="preserve"> for women and girls undergoing gonadotoxic treatment, as they are often younger than 25 years old, and their AMH may be low. The nomogram</w:t>
      </w:r>
      <w:r w:rsidR="00073B69">
        <w:t xml:space="preserve"> currently</w:t>
      </w:r>
      <w:r w:rsidR="005750AC">
        <w:t xml:space="preserve"> only g</w:t>
      </w:r>
      <w:r w:rsidR="00177BF8">
        <w:t xml:space="preserve">ives an input for women aged 25 to </w:t>
      </w:r>
      <w:r w:rsidR="005750AC">
        <w:t>40 years</w:t>
      </w:r>
      <w:r w:rsidR="00177BF8">
        <w:t>,</w:t>
      </w:r>
      <w:r w:rsidR="005750AC">
        <w:t xml:space="preserve"> </w:t>
      </w:r>
      <w:r w:rsidR="00073B69">
        <w:t>and there is no evidence of the validity of this method in the proposed MBS populations.</w:t>
      </w:r>
    </w:p>
    <w:p w14:paraId="04C1B609" w14:textId="77777777" w:rsidR="007518CF" w:rsidRDefault="002C27CA" w:rsidP="000214B4">
      <w:pPr>
        <w:pStyle w:val="Heading2"/>
        <w:ind w:left="993" w:hanging="993"/>
      </w:pPr>
      <w:bookmarkStart w:id="358" w:name="_Toc502832964"/>
      <w:r w:rsidRPr="002D5FF0">
        <w:t>B5.2</w:t>
      </w:r>
      <w:r w:rsidRPr="002D5FF0">
        <w:tab/>
        <w:t>Therapeutic effectiveness</w:t>
      </w:r>
      <w:bookmarkEnd w:id="358"/>
    </w:p>
    <w:p w14:paraId="10F736BD" w14:textId="77777777" w:rsidR="007518CF" w:rsidRDefault="0056781D" w:rsidP="0056781D">
      <w:pPr>
        <w:jc w:val="both"/>
      </w:pPr>
      <w:r>
        <w:t xml:space="preserve">The original research questions determined </w:t>
      </w:r>
      <w:r w:rsidRPr="00824FD1">
        <w:t>a priori</w:t>
      </w:r>
      <w:r>
        <w:t xml:space="preserve"> to determine the effectiveness of change in management were:</w:t>
      </w:r>
    </w:p>
    <w:p w14:paraId="317DE5BD" w14:textId="77777777" w:rsidR="007518CF" w:rsidRDefault="0056781D" w:rsidP="00B7183E">
      <w:pPr>
        <w:pStyle w:val="ListParagraph"/>
        <w:numPr>
          <w:ilvl w:val="0"/>
          <w:numId w:val="37"/>
        </w:numPr>
        <w:jc w:val="both"/>
        <w:rPr>
          <w:i/>
        </w:rPr>
      </w:pPr>
      <w:r w:rsidRPr="001525BE">
        <w:rPr>
          <w:i/>
        </w:rPr>
        <w:t>“Does cryopreservation of ovarian tissue, oocytes or embryos prior to receiving gonadotoxic treatment lead to better family outcomes in female patients compared to no cryopreservation?”</w:t>
      </w:r>
    </w:p>
    <w:p w14:paraId="3BD4E836" w14:textId="6B089D7D" w:rsidR="007518CF" w:rsidRDefault="0056781D" w:rsidP="00B7183E">
      <w:pPr>
        <w:pStyle w:val="ListParagraph"/>
        <w:numPr>
          <w:ilvl w:val="0"/>
          <w:numId w:val="37"/>
        </w:numPr>
        <w:jc w:val="both"/>
      </w:pPr>
      <w:r w:rsidRPr="00824FD1">
        <w:t>“</w:t>
      </w:r>
      <w:r w:rsidRPr="001525BE">
        <w:rPr>
          <w:i/>
        </w:rPr>
        <w:t>Does cryopreservation of ovarian tissue or oocytes following completion of gonadotoxic treatment lead to better family outcomes in female patients compared to no cryopreservation?”</w:t>
      </w:r>
    </w:p>
    <w:p w14:paraId="3F5FA78C" w14:textId="64EDA825" w:rsidR="001525BE" w:rsidRDefault="0056781D" w:rsidP="001525BE">
      <w:pPr>
        <w:jc w:val="both"/>
      </w:pPr>
      <w:r>
        <w:t>These questions were based on the assumption that the evidence would show that AMH levels would influence fertility decision</w:t>
      </w:r>
      <w:r w:rsidR="00DF36E4">
        <w:t>-</w:t>
      </w:r>
      <w:r>
        <w:t>making in women undergoing gonadotoxic treatment. Due to the absence of evidence to show any impact on patient management due to AMH results</w:t>
      </w:r>
      <w:r w:rsidR="00365E1D">
        <w:t xml:space="preserve"> in the target patient population</w:t>
      </w:r>
      <w:r>
        <w:t>, we aimed to determine how AMH levels influence decision</w:t>
      </w:r>
      <w:r w:rsidR="00DF36E4">
        <w:t>-</w:t>
      </w:r>
      <w:r w:rsidR="00263D74">
        <w:t>making in a broad population (s</w:t>
      </w:r>
      <w:r>
        <w:t xml:space="preserve">ee B5.1.4). </w:t>
      </w:r>
      <w:r w:rsidR="00C66E75">
        <w:t xml:space="preserve">The </w:t>
      </w:r>
      <w:r>
        <w:t>change in management evidence showed that AMH results may influence the st</w:t>
      </w:r>
      <w:r w:rsidR="005A1056">
        <w:t xml:space="preserve">arting dosage of gonadotrophins or </w:t>
      </w:r>
      <w:r>
        <w:t>FSH in women undergoing contr</w:t>
      </w:r>
      <w:r w:rsidR="005A1056">
        <w:t>olled ovarian hyperstimulation for the retrieval of oocytes</w:t>
      </w:r>
      <w:r>
        <w:t xml:space="preserve">. Therefore in this section we aimed to answer the </w:t>
      </w:r>
      <w:r w:rsidR="001525BE">
        <w:t xml:space="preserve">following </w:t>
      </w:r>
      <w:r>
        <w:t>question</w:t>
      </w:r>
      <w:r w:rsidR="001525BE">
        <w:t>:</w:t>
      </w:r>
    </w:p>
    <w:p w14:paraId="6C7157C4" w14:textId="57A70DB3" w:rsidR="0056781D" w:rsidRPr="001525BE" w:rsidRDefault="001525BE" w:rsidP="00B7183E">
      <w:pPr>
        <w:pStyle w:val="ListParagraph"/>
        <w:numPr>
          <w:ilvl w:val="0"/>
          <w:numId w:val="38"/>
        </w:numPr>
        <w:jc w:val="both"/>
        <w:rPr>
          <w:i/>
        </w:rPr>
      </w:pPr>
      <w:r w:rsidRPr="001525BE">
        <w:rPr>
          <w:i/>
        </w:rPr>
        <w:t>“Do</w:t>
      </w:r>
      <w:r w:rsidR="0056781D" w:rsidRPr="001525BE">
        <w:rPr>
          <w:i/>
        </w:rPr>
        <w:t xml:space="preserve"> individualised starting dosages</w:t>
      </w:r>
      <w:r w:rsidR="005A1056">
        <w:rPr>
          <w:i/>
        </w:rPr>
        <w:t xml:space="preserve"> of gonadotrophins or </w:t>
      </w:r>
      <w:r w:rsidRPr="001525BE">
        <w:rPr>
          <w:i/>
        </w:rPr>
        <w:t>FSH</w:t>
      </w:r>
      <w:r w:rsidR="0056781D" w:rsidRPr="001525BE">
        <w:rPr>
          <w:i/>
        </w:rPr>
        <w:t xml:space="preserve"> based on AMH levels </w:t>
      </w:r>
      <w:r w:rsidR="005A1056">
        <w:rPr>
          <w:i/>
        </w:rPr>
        <w:t xml:space="preserve">lead to better health outcomes, </w:t>
      </w:r>
      <w:r w:rsidR="0056781D" w:rsidRPr="001525BE">
        <w:rPr>
          <w:i/>
        </w:rPr>
        <w:t>i.e. a higher percentage of women with an optimal number of retrieved oocytes</w:t>
      </w:r>
      <w:r w:rsidR="00365E1D">
        <w:rPr>
          <w:i/>
        </w:rPr>
        <w:t>, higher pregnancy rates</w:t>
      </w:r>
      <w:r w:rsidR="0056781D" w:rsidRPr="001525BE">
        <w:rPr>
          <w:i/>
        </w:rPr>
        <w:t xml:space="preserve"> and l</w:t>
      </w:r>
      <w:r w:rsidR="005A1056">
        <w:rPr>
          <w:i/>
        </w:rPr>
        <w:t>ess adverse events,</w:t>
      </w:r>
      <w:r w:rsidRPr="001525BE">
        <w:rPr>
          <w:i/>
        </w:rPr>
        <w:t xml:space="preserve"> in women undergoing IVF/ICSI?”</w:t>
      </w:r>
    </w:p>
    <w:p w14:paraId="2EC000EF" w14:textId="19D7A087" w:rsidR="00AD09B2" w:rsidRPr="00183E4D" w:rsidRDefault="00AD09B2" w:rsidP="00D366DE">
      <w:pPr>
        <w:pStyle w:val="Heading2"/>
        <w:numPr>
          <w:ilvl w:val="1"/>
          <w:numId w:val="17"/>
        </w:numPr>
      </w:pPr>
      <w:bookmarkStart w:id="359" w:name="_Toc502832965"/>
      <w:r w:rsidRPr="00183E4D">
        <w:t xml:space="preserve">Risk of </w:t>
      </w:r>
      <w:r w:rsidR="00DC5CE5">
        <w:t>b</w:t>
      </w:r>
      <w:r w:rsidRPr="00183E4D">
        <w:t xml:space="preserve">ias </w:t>
      </w:r>
      <w:r w:rsidR="00DC5CE5">
        <w:t>a</w:t>
      </w:r>
      <w:r w:rsidRPr="00183E4D">
        <w:t>ssessment</w:t>
      </w:r>
      <w:bookmarkEnd w:id="359"/>
    </w:p>
    <w:p w14:paraId="463EBEDB" w14:textId="0C586D82" w:rsidR="00AD09B2" w:rsidRPr="00183E4D" w:rsidRDefault="001525BE" w:rsidP="00073B69">
      <w:r>
        <w:t>The studies discussed in this section did not meet the PICO criteria and were therefore not assessed for risk of bias.</w:t>
      </w:r>
    </w:p>
    <w:p w14:paraId="702CB37E" w14:textId="27B83831" w:rsidR="00AD09B2" w:rsidRDefault="00AD09B2" w:rsidP="00D366DE">
      <w:pPr>
        <w:pStyle w:val="Heading2"/>
        <w:numPr>
          <w:ilvl w:val="1"/>
          <w:numId w:val="17"/>
        </w:numPr>
      </w:pPr>
      <w:bookmarkStart w:id="360" w:name="_Toc502832966"/>
      <w:r w:rsidRPr="00183E4D">
        <w:lastRenderedPageBreak/>
        <w:t xml:space="preserve">Characteristics of the </w:t>
      </w:r>
      <w:r w:rsidR="00DC5CE5">
        <w:t>e</w:t>
      </w:r>
      <w:r w:rsidRPr="00183E4D">
        <w:t xml:space="preserve">vidence </w:t>
      </w:r>
      <w:r w:rsidR="00DC5CE5">
        <w:t>b</w:t>
      </w:r>
      <w:r w:rsidRPr="00183E4D">
        <w:t>ase</w:t>
      </w:r>
      <w:bookmarkEnd w:id="360"/>
    </w:p>
    <w:p w14:paraId="6AD24DB4" w14:textId="2CFD8063" w:rsidR="00A00B06" w:rsidRDefault="0056781D" w:rsidP="00D66C4C">
      <w:pPr>
        <w:jc w:val="both"/>
      </w:pPr>
      <w:r>
        <w:t>Three</w:t>
      </w:r>
      <w:r w:rsidR="001525BE">
        <w:t xml:space="preserve"> of the</w:t>
      </w:r>
      <w:r>
        <w:t xml:space="preserve"> studies</w:t>
      </w:r>
      <w:r w:rsidR="001525BE">
        <w:t xml:space="preserve"> on therapeutic effectiveness</w:t>
      </w:r>
      <w:r>
        <w:t xml:space="preserve"> are discussed below: two RCTs and one retrospective cohort study. These studies</w:t>
      </w:r>
      <w:r w:rsidR="001525BE">
        <w:t xml:space="preserve"> did not match the proposed MBS populations and therefore</w:t>
      </w:r>
      <w:r>
        <w:t xml:space="preserve"> did not meet the PICO criteria</w:t>
      </w:r>
      <w:r w:rsidR="006D0B7B">
        <w:t xml:space="preserve"> (see B5.1.2)</w:t>
      </w:r>
      <w:r w:rsidR="001525BE">
        <w:t>.</w:t>
      </w:r>
    </w:p>
    <w:p w14:paraId="5273DAEC" w14:textId="63EC8EEF" w:rsidR="00AD09B2" w:rsidRDefault="00AD09B2" w:rsidP="00D366DE">
      <w:pPr>
        <w:pStyle w:val="Heading2"/>
        <w:numPr>
          <w:ilvl w:val="1"/>
          <w:numId w:val="17"/>
        </w:numPr>
      </w:pPr>
      <w:bookmarkStart w:id="361" w:name="_Toc502832967"/>
      <w:r w:rsidRPr="00183E4D">
        <w:t xml:space="preserve">Outcome </w:t>
      </w:r>
      <w:r w:rsidR="00DC5CE5">
        <w:t>m</w:t>
      </w:r>
      <w:r w:rsidRPr="00183E4D">
        <w:t xml:space="preserve">easures and </w:t>
      </w:r>
      <w:r w:rsidR="00DC5CE5">
        <w:t>a</w:t>
      </w:r>
      <w:r w:rsidRPr="00183E4D">
        <w:t>nalysis</w:t>
      </w:r>
      <w:bookmarkEnd w:id="361"/>
    </w:p>
    <w:p w14:paraId="5E4E89FD" w14:textId="549613F2" w:rsidR="00862039" w:rsidRPr="00862039" w:rsidRDefault="007E1128" w:rsidP="007E1128">
      <w:pPr>
        <w:jc w:val="both"/>
      </w:pPr>
      <w:r>
        <w:t xml:space="preserve">The key outcomes reported in the therapeutic effectiveness section were </w:t>
      </w:r>
      <w:r w:rsidR="005A1056">
        <w:t xml:space="preserve">the </w:t>
      </w:r>
      <w:r>
        <w:t xml:space="preserve">mean number of retrieved oocytes, fertilisation, implantation, pregnancy and birth rates, and the incidence of </w:t>
      </w:r>
      <w:r w:rsidR="0076789D">
        <w:t>OHSS</w:t>
      </w:r>
      <w:r>
        <w:t>. Groups with standard FSH starting dosage were compared with groups with an i</w:t>
      </w:r>
      <w:r w:rsidR="005A1056">
        <w:t>ndividualised starting dosage, partly influenced by AMH test results</w:t>
      </w:r>
      <w:r>
        <w:t>.</w:t>
      </w:r>
    </w:p>
    <w:p w14:paraId="752E0729" w14:textId="7BF9B513" w:rsidR="00AD09B2" w:rsidRPr="00183E4D" w:rsidRDefault="00AD09B2" w:rsidP="00D366DE">
      <w:pPr>
        <w:pStyle w:val="Heading2"/>
        <w:numPr>
          <w:ilvl w:val="1"/>
          <w:numId w:val="17"/>
        </w:numPr>
      </w:pPr>
      <w:bookmarkStart w:id="362" w:name="_Toc502832968"/>
      <w:r w:rsidRPr="00183E4D">
        <w:t xml:space="preserve">Results of the </w:t>
      </w:r>
      <w:r w:rsidR="00DC5CE5">
        <w:t>s</w:t>
      </w:r>
      <w:r w:rsidRPr="00183E4D">
        <w:t xml:space="preserve">ystematic </w:t>
      </w:r>
      <w:r w:rsidR="00DC5CE5">
        <w:t>l</w:t>
      </w:r>
      <w:r w:rsidRPr="00183E4D">
        <w:t>iterature review</w:t>
      </w:r>
      <w:bookmarkEnd w:id="362"/>
    </w:p>
    <w:p w14:paraId="7EB63229" w14:textId="317F3AB1" w:rsidR="005E7691" w:rsidRDefault="00AD09B2" w:rsidP="005E7691">
      <w:pPr>
        <w:pStyle w:val="Heading3"/>
      </w:pPr>
      <w:bookmarkStart w:id="363" w:name="_Toc502832969"/>
      <w:r w:rsidRPr="004D0C0F">
        <w:t xml:space="preserve">Does the change in management </w:t>
      </w:r>
      <w:r>
        <w:t>improve</w:t>
      </w:r>
      <w:r w:rsidRPr="004D0C0F">
        <w:t xml:space="preserve"> health outcomes?</w:t>
      </w:r>
      <w:bookmarkEnd w:id="363"/>
    </w:p>
    <w:p w14:paraId="5931EB5E" w14:textId="77777777" w:rsidR="005E7691" w:rsidRPr="00B143F6" w:rsidRDefault="005E7691" w:rsidP="00636606">
      <w:pPr>
        <w:pStyle w:val="Summaryboxheading"/>
        <w:pBdr>
          <w:top w:val="single" w:sz="4" w:space="1" w:color="auto"/>
          <w:left w:val="single" w:sz="4" w:space="4" w:color="auto"/>
          <w:bottom w:val="single" w:sz="4" w:space="1" w:color="auto"/>
          <w:right w:val="single" w:sz="4" w:space="4" w:color="auto"/>
        </w:pBdr>
        <w:spacing w:before="0" w:after="120" w:afterAutospacing="0"/>
      </w:pPr>
      <w:r w:rsidRPr="00B143F6">
        <w:t>Summary</w:t>
      </w:r>
    </w:p>
    <w:p w14:paraId="6B1F56B4" w14:textId="77777777" w:rsidR="005E7691" w:rsidRPr="00B143F6" w:rsidRDefault="005E7691" w:rsidP="00636606">
      <w:pPr>
        <w:pStyle w:val="Summaryboxheading"/>
        <w:pBdr>
          <w:top w:val="single" w:sz="4" w:space="1" w:color="auto"/>
          <w:left w:val="single" w:sz="4" w:space="4" w:color="auto"/>
          <w:bottom w:val="single" w:sz="4" w:space="1" w:color="auto"/>
          <w:right w:val="single" w:sz="4" w:space="4" w:color="auto"/>
        </w:pBdr>
        <w:spacing w:before="0" w:after="120" w:afterAutospacing="0"/>
      </w:pPr>
      <w:r w:rsidRPr="00B143F6">
        <w:t>Does cryopreservation of ovarian tissue, oocytes or embryos prior to receiving gonadotoxic treatment lead to better family outcomes in female patients compared to no cryopreservation?</w:t>
      </w:r>
    </w:p>
    <w:p w14:paraId="2C4E2443" w14:textId="77777777" w:rsidR="005E7691" w:rsidRPr="005E7691" w:rsidRDefault="005E7691" w:rsidP="00636606">
      <w:pPr>
        <w:pStyle w:val="Summaryboxheading"/>
        <w:pBdr>
          <w:top w:val="single" w:sz="4" w:space="1" w:color="auto"/>
          <w:left w:val="single" w:sz="4" w:space="4" w:color="auto"/>
          <w:bottom w:val="single" w:sz="4" w:space="1" w:color="auto"/>
          <w:right w:val="single" w:sz="4" w:space="4" w:color="auto"/>
        </w:pBdr>
        <w:spacing w:before="0" w:after="120" w:afterAutospacing="0"/>
        <w:rPr>
          <w:b w:val="0"/>
        </w:rPr>
      </w:pPr>
      <w:r w:rsidRPr="005E7691">
        <w:rPr>
          <w:b w:val="0"/>
        </w:rPr>
        <w:t>This question was not answered here due to lack of evidence indicating a change in management.</w:t>
      </w:r>
    </w:p>
    <w:p w14:paraId="4CD1F555" w14:textId="77777777" w:rsidR="005E7691" w:rsidRPr="00B143F6" w:rsidRDefault="005E7691" w:rsidP="00636606">
      <w:pPr>
        <w:pStyle w:val="Summaryboxheading"/>
        <w:pBdr>
          <w:top w:val="single" w:sz="4" w:space="1" w:color="auto"/>
          <w:left w:val="single" w:sz="4" w:space="4" w:color="auto"/>
          <w:bottom w:val="single" w:sz="4" w:space="1" w:color="auto"/>
          <w:right w:val="single" w:sz="4" w:space="4" w:color="auto"/>
        </w:pBdr>
        <w:spacing w:before="0" w:after="120" w:afterAutospacing="0"/>
      </w:pPr>
      <w:r w:rsidRPr="00B143F6">
        <w:t>Does cryopreservation of ovarian tissue or oocytes following completion of gonadotoxic treatment lead to better family outcomes in female patients compared to no cryopreservation?</w:t>
      </w:r>
    </w:p>
    <w:p w14:paraId="2DBD934C" w14:textId="77777777" w:rsidR="005E7691" w:rsidRPr="005E7691" w:rsidRDefault="005E7691" w:rsidP="00636606">
      <w:pPr>
        <w:pStyle w:val="Summaryboxheading"/>
        <w:pBdr>
          <w:top w:val="single" w:sz="4" w:space="1" w:color="auto"/>
          <w:left w:val="single" w:sz="4" w:space="4" w:color="auto"/>
          <w:bottom w:val="single" w:sz="4" w:space="1" w:color="auto"/>
          <w:right w:val="single" w:sz="4" w:space="4" w:color="auto"/>
        </w:pBdr>
        <w:spacing w:before="0" w:after="120" w:afterAutospacing="0"/>
        <w:rPr>
          <w:b w:val="0"/>
        </w:rPr>
      </w:pPr>
      <w:r w:rsidRPr="005E7691">
        <w:rPr>
          <w:b w:val="0"/>
        </w:rPr>
        <w:t>This question was not answered here due to lack of evidence indicating a change in management.</w:t>
      </w:r>
    </w:p>
    <w:p w14:paraId="5CC8A725" w14:textId="77777777" w:rsidR="005E7691" w:rsidRPr="005E7691" w:rsidRDefault="005E7691" w:rsidP="00636606">
      <w:pPr>
        <w:pStyle w:val="Summaryboxheading"/>
        <w:pBdr>
          <w:top w:val="single" w:sz="4" w:space="1" w:color="auto"/>
          <w:left w:val="single" w:sz="4" w:space="4" w:color="auto"/>
          <w:bottom w:val="single" w:sz="4" w:space="1" w:color="auto"/>
          <w:right w:val="single" w:sz="4" w:space="4" w:color="auto"/>
        </w:pBdr>
        <w:spacing w:before="0" w:after="120" w:afterAutospacing="0"/>
        <w:rPr>
          <w:b w:val="0"/>
        </w:rPr>
      </w:pPr>
      <w:r w:rsidRPr="005E7691">
        <w:rPr>
          <w:b w:val="0"/>
        </w:rPr>
        <w:t>No evidence was found to determine how the change in management due to AMH testing impacts health-related outcomes in women undergoing gonadotoxic treatment (the target population).</w:t>
      </w:r>
    </w:p>
    <w:p w14:paraId="18C11CCC" w14:textId="77777777" w:rsidR="005E7691" w:rsidRPr="00B143F6" w:rsidRDefault="005E7691" w:rsidP="00636606">
      <w:pPr>
        <w:pStyle w:val="Summaryboxheading"/>
        <w:pBdr>
          <w:top w:val="single" w:sz="4" w:space="1" w:color="auto"/>
          <w:left w:val="single" w:sz="4" w:space="4" w:color="auto"/>
          <w:bottom w:val="single" w:sz="4" w:space="1" w:color="auto"/>
          <w:right w:val="single" w:sz="4" w:space="4" w:color="auto"/>
        </w:pBdr>
        <w:spacing w:before="0" w:after="120" w:afterAutospacing="0"/>
      </w:pPr>
      <w:r w:rsidRPr="00B143F6">
        <w:t>Do individualised starting dosages of gonadotrophins or FSH based on AMH levels lead to better health outcomes, i.e. a higher percentage of women with an optimal number of retrieved oocytes, higher pregnancy rates and less adverse events, in women undergoing IVF/ICSI?</w:t>
      </w:r>
    </w:p>
    <w:p w14:paraId="1EE18D64" w14:textId="7D22D143" w:rsidR="005E7691" w:rsidRDefault="005E7691" w:rsidP="00636606">
      <w:pPr>
        <w:pStyle w:val="Summaryboxheading"/>
        <w:pBdr>
          <w:top w:val="single" w:sz="4" w:space="1" w:color="auto"/>
          <w:left w:val="single" w:sz="4" w:space="4" w:color="auto"/>
          <w:bottom w:val="single" w:sz="4" w:space="1" w:color="auto"/>
          <w:right w:val="single" w:sz="4" w:space="4" w:color="auto"/>
        </w:pBdr>
        <w:spacing w:before="0" w:after="120" w:afterAutospacing="0"/>
        <w:rPr>
          <w:b w:val="0"/>
        </w:rPr>
      </w:pPr>
      <w:r w:rsidRPr="005E7691">
        <w:rPr>
          <w:b w:val="0"/>
        </w:rPr>
        <w:t>Three studies were identified on whether an individualised starting dosage based on AMH levels impacted IVF outcomes, and a higher rate of optimal oocyte yield in the individualised dosage group was identified in all three studies. However, a difference in pregnancy or birth rates between groups was only identified in one study, and due to the before and after design of the study, and the introduction of a number of organisational and procedural changes alongside the introduction of AMH</w:t>
      </w:r>
      <w:r w:rsidR="00DF36E4">
        <w:rPr>
          <w:b w:val="0"/>
        </w:rPr>
        <w:t>-</w:t>
      </w:r>
      <w:r w:rsidRPr="005E7691">
        <w:rPr>
          <w:b w:val="0"/>
        </w:rPr>
        <w:t>tailored dosing, it was not known which factors were contributing to these outcomes. The two clinical trials were not able to find a difference in pregnancy or birth rates between standard FSH dosage and AMH informed individualised dosage.</w:t>
      </w:r>
    </w:p>
    <w:p w14:paraId="6EE5A30D" w14:textId="35E338B6" w:rsidR="00B143F6" w:rsidRDefault="00B143F6" w:rsidP="00636606">
      <w:pPr>
        <w:pStyle w:val="Summaryboxheading"/>
        <w:pBdr>
          <w:top w:val="single" w:sz="4" w:space="1" w:color="auto"/>
          <w:left w:val="single" w:sz="4" w:space="4" w:color="auto"/>
          <w:bottom w:val="single" w:sz="4" w:space="1" w:color="auto"/>
          <w:right w:val="single" w:sz="4" w:space="4" w:color="auto"/>
        </w:pBdr>
        <w:spacing w:before="0" w:after="120" w:afterAutospacing="0"/>
        <w:rPr>
          <w:b w:val="0"/>
        </w:rPr>
      </w:pPr>
      <w:r w:rsidRPr="00B143F6">
        <w:rPr>
          <w:b w:val="0"/>
        </w:rPr>
        <w:t xml:space="preserve">Although individualised dosage did not have an impact on live birth rates, two out of three studies showed a significant reduction in the incidence of </w:t>
      </w:r>
      <w:r w:rsidR="0076789D">
        <w:rPr>
          <w:b w:val="0"/>
        </w:rPr>
        <w:t>OHSS</w:t>
      </w:r>
      <w:r w:rsidRPr="00B143F6">
        <w:rPr>
          <w:b w:val="0"/>
        </w:rPr>
        <w:t xml:space="preserve"> and/or prevent</w:t>
      </w:r>
      <w:r w:rsidR="003036C4">
        <w:rPr>
          <w:b w:val="0"/>
        </w:rPr>
        <w:t>ive</w:t>
      </w:r>
      <w:r w:rsidRPr="00B143F6">
        <w:rPr>
          <w:b w:val="0"/>
        </w:rPr>
        <w:t xml:space="preserve"> interventions for OHSS using the AMH</w:t>
      </w:r>
      <w:r w:rsidR="00DF36E4">
        <w:rPr>
          <w:b w:val="0"/>
        </w:rPr>
        <w:t>-</w:t>
      </w:r>
      <w:r w:rsidRPr="00B143F6">
        <w:rPr>
          <w:b w:val="0"/>
        </w:rPr>
        <w:t>tailored dosage protocol compared to a standardised dosage in a population of healthy women undergoing IVF. One of these trials compared a standard dose of follitropin alpha with an AMH and bodyweight</w:t>
      </w:r>
      <w:r w:rsidR="00DF36E4">
        <w:rPr>
          <w:b w:val="0"/>
        </w:rPr>
        <w:t>-</w:t>
      </w:r>
      <w:r w:rsidRPr="00B143F6">
        <w:rPr>
          <w:b w:val="0"/>
        </w:rPr>
        <w:t xml:space="preserve">tailored dose of follitropin </w:t>
      </w:r>
      <w:r w:rsidRPr="00B143F6">
        <w:rPr>
          <w:b w:val="0"/>
        </w:rPr>
        <w:lastRenderedPageBreak/>
        <w:t>delta. It is unknown whether the outcome differences</w:t>
      </w:r>
      <w:r>
        <w:rPr>
          <w:b w:val="0"/>
        </w:rPr>
        <w:t xml:space="preserve"> between groups in this trial were due to the individualised dosage or the different follitropin used.</w:t>
      </w:r>
    </w:p>
    <w:p w14:paraId="78FB7762" w14:textId="75690BC8" w:rsidR="005E7691" w:rsidRPr="00B143F6" w:rsidRDefault="00B143F6" w:rsidP="00636606">
      <w:pPr>
        <w:pStyle w:val="Summaryboxheading"/>
        <w:pBdr>
          <w:top w:val="single" w:sz="4" w:space="1" w:color="auto"/>
          <w:left w:val="single" w:sz="4" w:space="4" w:color="auto"/>
          <w:bottom w:val="single" w:sz="4" w:space="1" w:color="auto"/>
          <w:right w:val="single" w:sz="4" w:space="4" w:color="auto"/>
        </w:pBdr>
        <w:spacing w:before="0" w:after="120" w:afterAutospacing="0"/>
        <w:rPr>
          <w:b w:val="0"/>
        </w:rPr>
      </w:pPr>
      <w:r>
        <w:rPr>
          <w:b w:val="0"/>
        </w:rPr>
        <w:t>Notably, the studies discussed in the clinical utility section mostly excluded patients at the extremes of ovarian reserve, and did not meet the PICO criteria. The generalisability of this evidence is unknown.</w:t>
      </w:r>
    </w:p>
    <w:p w14:paraId="26282B98" w14:textId="16148C05" w:rsidR="005E7691" w:rsidRDefault="005E7691" w:rsidP="005E7691">
      <w:pPr>
        <w:jc w:val="both"/>
      </w:pPr>
      <w:r>
        <w:t>It should be noted that the studies discussed in the clinical utility section mostly excluded patients at the ‘extremes’ of ovarian reserve, and did not meet the PICO criteria. The generalisability of this evidence is unknown.</w:t>
      </w:r>
    </w:p>
    <w:p w14:paraId="1018F2E0" w14:textId="0EE80FCC" w:rsidR="001C5CD6" w:rsidRDefault="005F549C" w:rsidP="00A869F4">
      <w:pPr>
        <w:jc w:val="both"/>
      </w:pPr>
      <w:r>
        <w:t xml:space="preserve">An RCT by Allegra et al. (2017) was published </w:t>
      </w:r>
      <w:r w:rsidR="004B7EF7">
        <w:t>last</w:t>
      </w:r>
      <w:r>
        <w:t xml:space="preserve"> year to investigate the performance of the nomogram used by Papaleo et al. (2016) (see</w:t>
      </w:r>
      <w:r w:rsidR="001525BE">
        <w:t xml:space="preserve"> section</w:t>
      </w:r>
      <w:r>
        <w:t xml:space="preserve"> B5.1.4) in selecting the most appropriate FSH starting dose in IVF/ICSI cycles </w:t>
      </w:r>
      <w:r w:rsidR="00A109BA">
        <w:fldChar w:fldCharType="begin">
          <w:fldData xml:space="preserve">PEVuZE5vdGU+PENpdGU+PEF1dGhvcj5BbGxlZ3JhPC9BdXRob3I+PFllYXI+MjAxNzwvWWVhcj48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</w:fldData>
        </w:fldChar>
      </w:r>
      <w:r w:rsidR="00577E24">
        <w:instrText xml:space="preserve"> ADDIN EN.CITE </w:instrText>
      </w:r>
      <w:r w:rsidR="00577E24">
        <w:fldChar w:fldCharType="begin">
          <w:fldData xml:space="preserve">PEVuZE5vdGU+PENpdGU+PEF1dGhvcj5BbGxlZ3JhPC9BdXRob3I+PFllYXI+MjAxNzwvWWVhcj48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</w:fldData>
        </w:fldChar>
      </w:r>
      <w:r w:rsidR="00577E24">
        <w:instrText xml:space="preserve"> ADDIN EN.CITE.DATA </w:instrText>
      </w:r>
      <w:r w:rsidR="00577E24">
        <w:fldChar w:fldCharType="end"/>
      </w:r>
      <w:r w:rsidR="00A109BA">
        <w:fldChar w:fldCharType="separate"/>
      </w:r>
      <w:r w:rsidR="00A109BA">
        <w:rPr>
          <w:noProof/>
        </w:rPr>
        <w:t>(</w:t>
      </w:r>
      <w:hyperlink w:anchor="_ENREF_2" w:tooltip="Allegra, 2017 #17" w:history="1">
        <w:r w:rsidR="00835BA6">
          <w:rPr>
            <w:noProof/>
          </w:rPr>
          <w:t>Allegra et al. 2017</w:t>
        </w:r>
      </w:hyperlink>
      <w:r w:rsidR="00A109BA">
        <w:rPr>
          <w:noProof/>
        </w:rPr>
        <w:t>)</w:t>
      </w:r>
      <w:r w:rsidR="00A109BA">
        <w:fldChar w:fldCharType="end"/>
      </w:r>
      <w:r w:rsidR="001C5CD6">
        <w:t xml:space="preserve">. </w:t>
      </w:r>
      <w:r w:rsidR="00C66E75">
        <w:t xml:space="preserve">They included </w:t>
      </w:r>
      <w:r w:rsidR="001C5CD6">
        <w:t>194 otherwise healthy women undergoing IVF/ICSI cycles</w:t>
      </w:r>
      <w:r w:rsidR="00C66E75">
        <w:t>, and randomised them t</w:t>
      </w:r>
      <w:r w:rsidR="001C5CD6">
        <w:t xml:space="preserve">o receive a standard starting dose of rFSH based on their age (150 IU if </w:t>
      </w:r>
      <w:r w:rsidR="003B42B2">
        <w:t>≤</w:t>
      </w:r>
      <w:r w:rsidR="001C5CD6">
        <w:t xml:space="preserve">35 years and 225 IU if </w:t>
      </w:r>
      <w:r w:rsidR="00035EEF">
        <w:t>&gt;</w:t>
      </w:r>
      <w:r w:rsidR="001C5CD6">
        <w:t xml:space="preserve">35 years) or on the basis of their ovarian reserve and age, by using the nomogram including age, day 3 serum FSH levels and AMH. Three women dropped out due to personal reasons (n=2) or spontaneous pregnancy (n=1). </w:t>
      </w:r>
      <w:r w:rsidR="000C33DD">
        <w:t>Women were aged between 18 and 40 years, had serum AMH concentrations between 1.0 and 4.0 ng/mL and normal menstrual cycles. Women with endometriosis, previous ovarian surgery and any known metabo</w:t>
      </w:r>
      <w:r w:rsidR="00D7377F">
        <w:t>lic or endocrinological disease were excluded from this study</w:t>
      </w:r>
      <w:r w:rsidR="003D681D">
        <w:t xml:space="preserve">, </w:t>
      </w:r>
      <w:r w:rsidR="00C66E75">
        <w:t>i.e. those who would be relevant to the gonadotoxic treatment g</w:t>
      </w:r>
      <w:r w:rsidR="003D681D">
        <w:t>roup were specifically excluded</w:t>
      </w:r>
      <w:r w:rsidR="00D7377F">
        <w:t xml:space="preserve">. The most prevalent cause of infertility was </w:t>
      </w:r>
      <w:r w:rsidR="003D681D">
        <w:t>of male origin</w:t>
      </w:r>
      <w:r w:rsidR="00D7377F">
        <w:t xml:space="preserve"> in both groups (55/99; 56% and 52/</w:t>
      </w:r>
      <w:r w:rsidR="00D7377F" w:rsidRPr="00473C60">
        <w:t xml:space="preserve">92; 57% for the control group and nomogram group, respectively). </w:t>
      </w:r>
      <w:r w:rsidR="007A3E3C" w:rsidRPr="00473C60">
        <w:t xml:space="preserve">The results are shown in </w:t>
      </w:r>
      <w:r w:rsidR="00473C60" w:rsidRPr="00473C60">
        <w:fldChar w:fldCharType="begin"/>
      </w:r>
      <w:r w:rsidR="00473C60" w:rsidRPr="00473C60">
        <w:instrText xml:space="preserve"> REF _Ref496016123 \h </w:instrText>
      </w:r>
      <w:r w:rsidR="00473C60">
        <w:instrText xml:space="preserve"> \* MERGEFORMAT </w:instrText>
      </w:r>
      <w:r w:rsidR="00473C60" w:rsidRPr="00473C60">
        <w:fldChar w:fldCharType="separate"/>
      </w:r>
      <w:r w:rsidR="00AC4BE5">
        <w:t xml:space="preserve">Table </w:t>
      </w:r>
      <w:r w:rsidR="00AC4BE5">
        <w:rPr>
          <w:noProof/>
        </w:rPr>
        <w:t>57</w:t>
      </w:r>
      <w:r w:rsidR="00473C60" w:rsidRPr="00473C60">
        <w:fldChar w:fldCharType="end"/>
      </w:r>
      <w:r w:rsidR="007A3E3C" w:rsidRPr="00473C60">
        <w:t>.</w:t>
      </w:r>
      <w:r w:rsidR="00E74990" w:rsidRPr="00473C60">
        <w:t xml:space="preserve"> The</w:t>
      </w:r>
      <w:r w:rsidR="00E74990">
        <w:t xml:space="preserve"> number of growing follicles</w:t>
      </w:r>
      <w:r w:rsidR="002A4A71">
        <w:t xml:space="preserve"> (≥11 mm)</w:t>
      </w:r>
      <w:r w:rsidR="00E74990">
        <w:t>,</w:t>
      </w:r>
      <w:r w:rsidR="002A4A71">
        <w:t xml:space="preserve"> number of</w:t>
      </w:r>
      <w:r w:rsidR="00E74990">
        <w:t xml:space="preserve"> large follicles</w:t>
      </w:r>
      <w:r w:rsidR="002A4A71">
        <w:t xml:space="preserve"> (≥17 mm)</w:t>
      </w:r>
      <w:r w:rsidR="00E74990">
        <w:t xml:space="preserve">, treatment duration, </w:t>
      </w:r>
      <w:r w:rsidR="002A4A71">
        <w:t xml:space="preserve">number of </w:t>
      </w:r>
      <w:r w:rsidR="00E74990">
        <w:t>retrieved and mature oocytes were not significantly different between groups.</w:t>
      </w:r>
      <w:r w:rsidR="002A4A71">
        <w:t xml:space="preserve"> Furthermore, patients in the two groups showed comparable fertilisation, cleavage, implantation and clinical pregnancy rates. The percentage of women with at least one cryopreserved embryo was not significantly different between groups (27/83; 28.9% vs 17/84; 20.2% for the nomogram and the control group, respectively). There were no cases of moderate to severe OHSS.</w:t>
      </w:r>
    </w:p>
    <w:p w14:paraId="7A4D3B6C" w14:textId="1CC782C4" w:rsidR="009F4D9B" w:rsidRDefault="009F4D9B" w:rsidP="005276BA">
      <w:pPr>
        <w:pStyle w:val="Caption"/>
        <w:keepNext/>
        <w:ind w:left="993" w:hanging="993"/>
      </w:pPr>
      <w:bookmarkStart w:id="364" w:name="_Ref496016123"/>
      <w:bookmarkStart w:id="365" w:name="_Toc502833075"/>
      <w:r>
        <w:t xml:space="preserve">Table </w:t>
      </w:r>
      <w:r w:rsidR="00AC4BE5">
        <w:fldChar w:fldCharType="begin"/>
      </w:r>
      <w:r w:rsidR="00AC4BE5">
        <w:instrText xml:space="preserve"> SEQ Table \* ARABIC </w:instrText>
      </w:r>
      <w:r w:rsidR="00AC4BE5">
        <w:fldChar w:fldCharType="separate"/>
      </w:r>
      <w:r w:rsidR="00AC4BE5">
        <w:rPr>
          <w:noProof/>
        </w:rPr>
        <w:t>57</w:t>
      </w:r>
      <w:r w:rsidR="00AC4BE5">
        <w:rPr>
          <w:noProof/>
        </w:rPr>
        <w:fldChar w:fldCharType="end"/>
      </w:r>
      <w:bookmarkEnd w:id="364"/>
      <w:r w:rsidR="005276BA">
        <w:tab/>
      </w:r>
      <w:r w:rsidR="003D681D">
        <w:t xml:space="preserve">IVF parameters and </w:t>
      </w:r>
      <w:r>
        <w:t>outcomes in the nomogram group (individualised FSH dosage) compared with a control group (standard</w:t>
      </w:r>
      <w:r w:rsidR="005A3858">
        <w:t>ised</w:t>
      </w:r>
      <w:r>
        <w:t xml:space="preserve"> FSH dosage)</w:t>
      </w:r>
      <w:bookmarkEnd w:id="365"/>
    </w:p>
    <w:tbl>
      <w:tblPr>
        <w:tblStyle w:val="TableGrid"/>
        <w:tblW w:w="0" w:type="auto"/>
        <w:tblLook w:val="04A0" w:firstRow="1" w:lastRow="0" w:firstColumn="1" w:lastColumn="0" w:noHBand="0" w:noVBand="1"/>
        <w:tblCaption w:val="IVF parameters / outcomes in the nomogram group (individualised FSH dosage) compared with a control group (standardised FSH dosage)"/>
        <w:tblDescription w:val="IVF parameters / outcomes in the nomogram group (individualised FSH dosage) compared with a control group (standardised FSH dosage)"/>
      </w:tblPr>
      <w:tblGrid>
        <w:gridCol w:w="4106"/>
        <w:gridCol w:w="1843"/>
        <w:gridCol w:w="2126"/>
        <w:gridCol w:w="941"/>
      </w:tblGrid>
      <w:tr w:rsidR="007A3E3C" w14:paraId="7DF6003A" w14:textId="77777777" w:rsidTr="00E74990">
        <w:trPr>
          <w:tblHeader/>
        </w:trPr>
        <w:tc>
          <w:tcPr>
            <w:tcW w:w="4106" w:type="dxa"/>
          </w:tcPr>
          <w:p w14:paraId="3261C7A1" w14:textId="4BC0F7D5" w:rsidR="007A3E3C" w:rsidRPr="0004250B" w:rsidRDefault="00E74990" w:rsidP="0004250B">
            <w:pPr>
              <w:pStyle w:val="TableText0"/>
              <w:ind w:left="0"/>
              <w:rPr>
                <w:b/>
              </w:rPr>
            </w:pPr>
            <w:r w:rsidRPr="0004250B">
              <w:rPr>
                <w:b/>
              </w:rPr>
              <w:t>Parameter / outcome</w:t>
            </w:r>
          </w:p>
        </w:tc>
        <w:tc>
          <w:tcPr>
            <w:tcW w:w="1843" w:type="dxa"/>
          </w:tcPr>
          <w:p w14:paraId="6C344327" w14:textId="07D05158" w:rsidR="007A3E3C" w:rsidRPr="0004250B" w:rsidRDefault="007A3E3C" w:rsidP="0004250B">
            <w:pPr>
              <w:pStyle w:val="TableText0"/>
              <w:ind w:left="0"/>
              <w:rPr>
                <w:b/>
              </w:rPr>
            </w:pPr>
            <w:r w:rsidRPr="0004250B">
              <w:rPr>
                <w:b/>
              </w:rPr>
              <w:t>Control group (n=99)</w:t>
            </w:r>
          </w:p>
        </w:tc>
        <w:tc>
          <w:tcPr>
            <w:tcW w:w="2126" w:type="dxa"/>
          </w:tcPr>
          <w:p w14:paraId="2C011CF1" w14:textId="5DCD4547" w:rsidR="007A3E3C" w:rsidRPr="0004250B" w:rsidRDefault="007A3E3C" w:rsidP="0004250B">
            <w:pPr>
              <w:pStyle w:val="TableText0"/>
              <w:ind w:left="0"/>
              <w:rPr>
                <w:b/>
              </w:rPr>
            </w:pPr>
            <w:r w:rsidRPr="0004250B">
              <w:rPr>
                <w:b/>
              </w:rPr>
              <w:t>Nomogram group (n=92)</w:t>
            </w:r>
          </w:p>
        </w:tc>
        <w:tc>
          <w:tcPr>
            <w:tcW w:w="941" w:type="dxa"/>
          </w:tcPr>
          <w:p w14:paraId="41C00113" w14:textId="70FB3BD7" w:rsidR="007A3E3C" w:rsidRPr="0004250B" w:rsidRDefault="00C66E75" w:rsidP="0004250B">
            <w:pPr>
              <w:pStyle w:val="TableText0"/>
              <w:ind w:left="0"/>
              <w:rPr>
                <w:b/>
              </w:rPr>
            </w:pPr>
            <w:r w:rsidRPr="0004250B">
              <w:rPr>
                <w:b/>
              </w:rPr>
              <w:t>p</w:t>
            </w:r>
            <w:r w:rsidR="007A3E3C" w:rsidRPr="0004250B">
              <w:rPr>
                <w:b/>
              </w:rPr>
              <w:t>-value</w:t>
            </w:r>
          </w:p>
        </w:tc>
      </w:tr>
      <w:tr w:rsidR="007A3E3C" w14:paraId="761BE6D9" w14:textId="77777777" w:rsidTr="007A3E3C">
        <w:tc>
          <w:tcPr>
            <w:tcW w:w="4106" w:type="dxa"/>
          </w:tcPr>
          <w:p w14:paraId="24F56448" w14:textId="1777B951" w:rsidR="007A3E3C" w:rsidRDefault="00EF1C5C" w:rsidP="0004250B">
            <w:pPr>
              <w:pStyle w:val="Tabletext1"/>
              <w:ind w:left="29"/>
            </w:pPr>
            <w:r>
              <w:t>Mean starting dose of rFSH, mean IU</w:t>
            </w:r>
            <w:r w:rsidR="00CB05BE" w:rsidRPr="00CB05BE">
              <w:t> ± </w:t>
            </w:r>
            <w:r>
              <w:t>SD</w:t>
            </w:r>
          </w:p>
        </w:tc>
        <w:tc>
          <w:tcPr>
            <w:tcW w:w="1843" w:type="dxa"/>
          </w:tcPr>
          <w:p w14:paraId="7514F359" w14:textId="7F516220" w:rsidR="007A3E3C" w:rsidRDefault="007A3E3C" w:rsidP="0004250B">
            <w:pPr>
              <w:pStyle w:val="Tabletext1"/>
              <w:ind w:left="0"/>
            </w:pPr>
            <w:r>
              <w:t>182.6</w:t>
            </w:r>
            <w:r w:rsidR="00CB05BE" w:rsidRPr="00CB05BE">
              <w:t> ± </w:t>
            </w:r>
            <w:r>
              <w:t>37.4</w:t>
            </w:r>
          </w:p>
        </w:tc>
        <w:tc>
          <w:tcPr>
            <w:tcW w:w="2126" w:type="dxa"/>
          </w:tcPr>
          <w:p w14:paraId="3FC898F7" w14:textId="3DC915FD" w:rsidR="007A3E3C" w:rsidRDefault="007A3E3C" w:rsidP="0004250B">
            <w:pPr>
              <w:pStyle w:val="Tabletext1"/>
              <w:ind w:left="63"/>
            </w:pPr>
            <w:r>
              <w:t>201.1</w:t>
            </w:r>
            <w:r w:rsidR="00CB05BE" w:rsidRPr="00CB05BE">
              <w:t> ± </w:t>
            </w:r>
            <w:r>
              <w:t>28.4</w:t>
            </w:r>
          </w:p>
        </w:tc>
        <w:tc>
          <w:tcPr>
            <w:tcW w:w="941" w:type="dxa"/>
          </w:tcPr>
          <w:p w14:paraId="0DA10A7C" w14:textId="4BD3A0DF" w:rsidR="007A3E3C" w:rsidRDefault="007A3E3C" w:rsidP="0004250B">
            <w:pPr>
              <w:pStyle w:val="Tabletext1"/>
              <w:ind w:left="0"/>
            </w:pPr>
            <w:r>
              <w:t>0.001</w:t>
            </w:r>
          </w:p>
        </w:tc>
      </w:tr>
      <w:tr w:rsidR="00E74990" w14:paraId="7F79FF66" w14:textId="77777777" w:rsidTr="007A3E3C">
        <w:tc>
          <w:tcPr>
            <w:tcW w:w="4106" w:type="dxa"/>
          </w:tcPr>
          <w:p w14:paraId="2DA1122B" w14:textId="0C52BA6C" w:rsidR="00E74990" w:rsidRDefault="00E74990" w:rsidP="0004250B">
            <w:pPr>
              <w:pStyle w:val="Tabletext1"/>
              <w:ind w:left="29"/>
            </w:pPr>
            <w:r>
              <w:t>Women with dose adjustment</w:t>
            </w:r>
            <w:r w:rsidR="005276BA">
              <w:t>, n </w:t>
            </w:r>
            <w:r w:rsidR="00EF1C5C">
              <w:t>(%)</w:t>
            </w:r>
          </w:p>
        </w:tc>
        <w:tc>
          <w:tcPr>
            <w:tcW w:w="1843" w:type="dxa"/>
          </w:tcPr>
          <w:p w14:paraId="1742D2B1" w14:textId="7EED5FB7" w:rsidR="00E74990" w:rsidRDefault="00EF1C5C" w:rsidP="0004250B">
            <w:pPr>
              <w:pStyle w:val="Tabletext1"/>
              <w:ind w:left="0"/>
            </w:pPr>
            <w:r>
              <w:t>72 (73</w:t>
            </w:r>
            <w:r w:rsidR="00E74990">
              <w:t>)</w:t>
            </w:r>
          </w:p>
        </w:tc>
        <w:tc>
          <w:tcPr>
            <w:tcW w:w="2126" w:type="dxa"/>
          </w:tcPr>
          <w:p w14:paraId="79998652" w14:textId="08E161E1" w:rsidR="00E74990" w:rsidRDefault="00EF1C5C" w:rsidP="0004250B">
            <w:pPr>
              <w:pStyle w:val="Tabletext1"/>
              <w:ind w:left="63"/>
            </w:pPr>
            <w:r>
              <w:t>56 (61</w:t>
            </w:r>
            <w:r w:rsidR="00E74990">
              <w:t>)</w:t>
            </w:r>
          </w:p>
        </w:tc>
        <w:tc>
          <w:tcPr>
            <w:tcW w:w="941" w:type="dxa"/>
          </w:tcPr>
          <w:p w14:paraId="11C2F692" w14:textId="0693EFB7" w:rsidR="00E74990" w:rsidRDefault="00E74990" w:rsidP="0004250B">
            <w:pPr>
              <w:pStyle w:val="Tabletext1"/>
              <w:ind w:left="0"/>
            </w:pPr>
            <w:r>
              <w:t>0.01</w:t>
            </w:r>
          </w:p>
        </w:tc>
      </w:tr>
      <w:tr w:rsidR="007A3E3C" w14:paraId="1778467A" w14:textId="77777777" w:rsidTr="007A3E3C">
        <w:tc>
          <w:tcPr>
            <w:tcW w:w="4106" w:type="dxa"/>
          </w:tcPr>
          <w:p w14:paraId="6173B877" w14:textId="435D3E97" w:rsidR="007A3E3C" w:rsidRDefault="007A3E3C" w:rsidP="0004250B">
            <w:pPr>
              <w:pStyle w:val="Tabletext1"/>
              <w:ind w:left="29"/>
            </w:pPr>
            <w:r>
              <w:t>Women with optimal (8-14) retriev</w:t>
            </w:r>
            <w:r w:rsidR="005276BA">
              <w:t>ed oocytes, n </w:t>
            </w:r>
            <w:r w:rsidR="00EF1C5C">
              <w:t>(%)</w:t>
            </w:r>
          </w:p>
        </w:tc>
        <w:tc>
          <w:tcPr>
            <w:tcW w:w="1843" w:type="dxa"/>
          </w:tcPr>
          <w:p w14:paraId="2F788FC3" w14:textId="6B07DDF8" w:rsidR="007A3E3C" w:rsidRDefault="007A3E3C" w:rsidP="0004250B">
            <w:pPr>
              <w:pStyle w:val="Tabletext1"/>
              <w:ind w:left="0"/>
            </w:pPr>
            <w:r>
              <w:t>4</w:t>
            </w:r>
            <w:r w:rsidR="00EF1C5C">
              <w:t>2 (42.4</w:t>
            </w:r>
            <w:r>
              <w:t>)</w:t>
            </w:r>
          </w:p>
        </w:tc>
        <w:tc>
          <w:tcPr>
            <w:tcW w:w="2126" w:type="dxa"/>
          </w:tcPr>
          <w:p w14:paraId="3F300036" w14:textId="42E60266" w:rsidR="007A3E3C" w:rsidRDefault="00EF1C5C" w:rsidP="0004250B">
            <w:pPr>
              <w:pStyle w:val="Tabletext1"/>
              <w:ind w:left="63"/>
            </w:pPr>
            <w:r>
              <w:t>58 (63.0</w:t>
            </w:r>
            <w:r w:rsidR="007A3E3C">
              <w:t>)</w:t>
            </w:r>
          </w:p>
        </w:tc>
        <w:tc>
          <w:tcPr>
            <w:tcW w:w="941" w:type="dxa"/>
          </w:tcPr>
          <w:p w14:paraId="2F84DF53" w14:textId="08DD3BF0" w:rsidR="007A3E3C" w:rsidRDefault="007A3E3C" w:rsidP="0004250B">
            <w:pPr>
              <w:pStyle w:val="Tabletext1"/>
              <w:ind w:left="0"/>
            </w:pPr>
            <w:r>
              <w:t>0.0037</w:t>
            </w:r>
          </w:p>
        </w:tc>
      </w:tr>
      <w:tr w:rsidR="007A3E3C" w14:paraId="04B5F212" w14:textId="77777777" w:rsidTr="007A3E3C">
        <w:tc>
          <w:tcPr>
            <w:tcW w:w="4106" w:type="dxa"/>
          </w:tcPr>
          <w:p w14:paraId="7C346931" w14:textId="7DE089DF" w:rsidR="007A3E3C" w:rsidRDefault="007A3E3C" w:rsidP="0004250B">
            <w:pPr>
              <w:pStyle w:val="Tabletext1"/>
              <w:ind w:left="29"/>
            </w:pPr>
            <w:r>
              <w:t>Women with &lt;8 retrieved oocytes</w:t>
            </w:r>
            <w:r w:rsidR="005276BA">
              <w:t>, n </w:t>
            </w:r>
            <w:r w:rsidR="00EF1C5C">
              <w:t>(%)</w:t>
            </w:r>
          </w:p>
        </w:tc>
        <w:tc>
          <w:tcPr>
            <w:tcW w:w="1843" w:type="dxa"/>
          </w:tcPr>
          <w:p w14:paraId="01B489D2" w14:textId="6F3C8D4F" w:rsidR="007A3E3C" w:rsidRDefault="00EF1C5C" w:rsidP="0004250B">
            <w:pPr>
              <w:pStyle w:val="Tabletext1"/>
              <w:ind w:left="0"/>
            </w:pPr>
            <w:r>
              <w:t>40 (40.4</w:t>
            </w:r>
            <w:r w:rsidR="007A3E3C">
              <w:t>)</w:t>
            </w:r>
          </w:p>
        </w:tc>
        <w:tc>
          <w:tcPr>
            <w:tcW w:w="2126" w:type="dxa"/>
          </w:tcPr>
          <w:p w14:paraId="0617EB13" w14:textId="5728FE27" w:rsidR="007A3E3C" w:rsidRDefault="00EF1C5C" w:rsidP="0004250B">
            <w:pPr>
              <w:pStyle w:val="Tabletext1"/>
              <w:ind w:left="63"/>
            </w:pPr>
            <w:r>
              <w:t>24 (26.1</w:t>
            </w:r>
            <w:r w:rsidR="007A3E3C">
              <w:t>)</w:t>
            </w:r>
          </w:p>
        </w:tc>
        <w:tc>
          <w:tcPr>
            <w:tcW w:w="941" w:type="dxa"/>
          </w:tcPr>
          <w:p w14:paraId="5EA1EAB4" w14:textId="4F1AA2FB" w:rsidR="007A3E3C" w:rsidRDefault="007A3E3C" w:rsidP="0004250B">
            <w:pPr>
              <w:pStyle w:val="Tabletext1"/>
              <w:ind w:left="0"/>
            </w:pPr>
            <w:r>
              <w:t>0.040</w:t>
            </w:r>
          </w:p>
        </w:tc>
      </w:tr>
      <w:tr w:rsidR="007A3E3C" w14:paraId="41A5367B" w14:textId="77777777" w:rsidTr="007A3E3C">
        <w:tc>
          <w:tcPr>
            <w:tcW w:w="4106" w:type="dxa"/>
          </w:tcPr>
          <w:p w14:paraId="53145C4D" w14:textId="23385E00" w:rsidR="007A3E3C" w:rsidRDefault="007A3E3C" w:rsidP="0004250B">
            <w:pPr>
              <w:pStyle w:val="Tabletext1"/>
              <w:ind w:left="29"/>
            </w:pPr>
            <w:r>
              <w:t>Women with &gt;14 retrieved oocytes</w:t>
            </w:r>
            <w:r w:rsidR="005276BA">
              <w:t>, n </w:t>
            </w:r>
            <w:r w:rsidR="00EF1C5C">
              <w:t>(%)</w:t>
            </w:r>
          </w:p>
        </w:tc>
        <w:tc>
          <w:tcPr>
            <w:tcW w:w="1843" w:type="dxa"/>
          </w:tcPr>
          <w:p w14:paraId="4F25E5EA" w14:textId="331D2AAC" w:rsidR="007A3E3C" w:rsidRDefault="00EF1C5C" w:rsidP="0004250B">
            <w:pPr>
              <w:pStyle w:val="Tabletext1"/>
              <w:ind w:left="0"/>
            </w:pPr>
            <w:r>
              <w:t>17 (17.2</w:t>
            </w:r>
            <w:r w:rsidR="007A3E3C">
              <w:t>)</w:t>
            </w:r>
          </w:p>
        </w:tc>
        <w:tc>
          <w:tcPr>
            <w:tcW w:w="2126" w:type="dxa"/>
          </w:tcPr>
          <w:p w14:paraId="7BF22A14" w14:textId="0F8A36A9" w:rsidR="007A3E3C" w:rsidRDefault="00EF1C5C" w:rsidP="0004250B">
            <w:pPr>
              <w:pStyle w:val="Tabletext1"/>
              <w:ind w:left="63"/>
            </w:pPr>
            <w:r>
              <w:t>10 (10.9</w:t>
            </w:r>
            <w:r w:rsidR="007A3E3C">
              <w:t>)</w:t>
            </w:r>
          </w:p>
        </w:tc>
        <w:tc>
          <w:tcPr>
            <w:tcW w:w="941" w:type="dxa"/>
          </w:tcPr>
          <w:p w14:paraId="14454CEF" w14:textId="16A1A43E" w:rsidR="007A3E3C" w:rsidRDefault="007A3E3C" w:rsidP="0004250B">
            <w:pPr>
              <w:pStyle w:val="Tabletext1"/>
              <w:ind w:left="0"/>
            </w:pPr>
            <w:r>
              <w:t>NS</w:t>
            </w:r>
          </w:p>
        </w:tc>
      </w:tr>
      <w:tr w:rsidR="007A3E3C" w14:paraId="0CCD2E7E" w14:textId="77777777" w:rsidTr="007A3E3C">
        <w:tc>
          <w:tcPr>
            <w:tcW w:w="4106" w:type="dxa"/>
          </w:tcPr>
          <w:p w14:paraId="7A27D55C" w14:textId="12B2D350" w:rsidR="007A3E3C" w:rsidRDefault="00C544EF" w:rsidP="0004250B">
            <w:pPr>
              <w:pStyle w:val="Tabletext1"/>
              <w:ind w:left="29"/>
            </w:pPr>
            <w:r>
              <w:t>Women with at least one cryopreserved embryo</w:t>
            </w:r>
            <w:r w:rsidR="005276BA">
              <w:t>, n </w:t>
            </w:r>
            <w:r w:rsidR="00EF1C5C">
              <w:t>(%)</w:t>
            </w:r>
          </w:p>
        </w:tc>
        <w:tc>
          <w:tcPr>
            <w:tcW w:w="1843" w:type="dxa"/>
          </w:tcPr>
          <w:p w14:paraId="653131F7" w14:textId="7A92A8CF" w:rsidR="007A3E3C" w:rsidRDefault="00EF1C5C" w:rsidP="0004250B">
            <w:pPr>
              <w:pStyle w:val="Tabletext1"/>
              <w:ind w:left="0"/>
            </w:pPr>
            <w:r>
              <w:t>17/84 (20.2</w:t>
            </w:r>
            <w:r w:rsidR="00C544EF">
              <w:t>)</w:t>
            </w:r>
          </w:p>
        </w:tc>
        <w:tc>
          <w:tcPr>
            <w:tcW w:w="2126" w:type="dxa"/>
          </w:tcPr>
          <w:p w14:paraId="2B56C133" w14:textId="0D3D4785" w:rsidR="007A3E3C" w:rsidRDefault="00C544EF" w:rsidP="0004250B">
            <w:pPr>
              <w:pStyle w:val="Tabletext1"/>
              <w:ind w:left="63"/>
            </w:pPr>
            <w:r>
              <w:t>24/</w:t>
            </w:r>
            <w:r w:rsidR="00EF1C5C">
              <w:t>83 (28.9</w:t>
            </w:r>
            <w:r>
              <w:t>)</w:t>
            </w:r>
          </w:p>
        </w:tc>
        <w:tc>
          <w:tcPr>
            <w:tcW w:w="941" w:type="dxa"/>
          </w:tcPr>
          <w:p w14:paraId="3A3E8DA8" w14:textId="0031214A" w:rsidR="007A3E3C" w:rsidRDefault="00C544EF" w:rsidP="0004250B">
            <w:pPr>
              <w:pStyle w:val="Tabletext1"/>
              <w:ind w:left="0"/>
            </w:pPr>
            <w:r>
              <w:t>NS</w:t>
            </w:r>
          </w:p>
        </w:tc>
      </w:tr>
      <w:tr w:rsidR="007A3E3C" w14:paraId="5E2D3828" w14:textId="77777777" w:rsidTr="007A3E3C">
        <w:tc>
          <w:tcPr>
            <w:tcW w:w="4106" w:type="dxa"/>
          </w:tcPr>
          <w:p w14:paraId="367D3DB0" w14:textId="0694B577" w:rsidR="007A3E3C" w:rsidRDefault="00C544EF" w:rsidP="0004250B">
            <w:pPr>
              <w:pStyle w:val="Tabletext1"/>
              <w:ind w:left="29"/>
            </w:pPr>
            <w:r>
              <w:t>Clinical pregnancy rate per embryo transfer</w:t>
            </w:r>
            <w:r w:rsidR="005276BA">
              <w:t>, n </w:t>
            </w:r>
            <w:r w:rsidR="00EF1C5C">
              <w:t>(%)</w:t>
            </w:r>
          </w:p>
        </w:tc>
        <w:tc>
          <w:tcPr>
            <w:tcW w:w="1843" w:type="dxa"/>
          </w:tcPr>
          <w:p w14:paraId="7DB45F54" w14:textId="4CA16D68" w:rsidR="007A3E3C" w:rsidRDefault="00EF1C5C" w:rsidP="0004250B">
            <w:pPr>
              <w:pStyle w:val="Tabletext1"/>
              <w:ind w:left="0"/>
            </w:pPr>
            <w:r>
              <w:t>32 (41.0</w:t>
            </w:r>
            <w:r w:rsidR="00C544EF">
              <w:t>)</w:t>
            </w:r>
          </w:p>
        </w:tc>
        <w:tc>
          <w:tcPr>
            <w:tcW w:w="2126" w:type="dxa"/>
          </w:tcPr>
          <w:p w14:paraId="0BBA03EB" w14:textId="314FBC1A" w:rsidR="007A3E3C" w:rsidRDefault="00EF1C5C" w:rsidP="0004250B">
            <w:pPr>
              <w:pStyle w:val="Tabletext1"/>
              <w:ind w:left="0"/>
            </w:pPr>
            <w:r>
              <w:t>29 (39.7</w:t>
            </w:r>
            <w:r w:rsidR="00C544EF">
              <w:t>)</w:t>
            </w:r>
          </w:p>
        </w:tc>
        <w:tc>
          <w:tcPr>
            <w:tcW w:w="941" w:type="dxa"/>
          </w:tcPr>
          <w:p w14:paraId="7A34FF25" w14:textId="0D58B191" w:rsidR="007A3E3C" w:rsidRDefault="00C544EF" w:rsidP="0004250B">
            <w:pPr>
              <w:pStyle w:val="Tabletext1"/>
              <w:ind w:left="0"/>
            </w:pPr>
            <w:r>
              <w:t>NS</w:t>
            </w:r>
          </w:p>
        </w:tc>
      </w:tr>
      <w:tr w:rsidR="00C544EF" w14:paraId="3D2E9182" w14:textId="77777777" w:rsidTr="007A3E3C">
        <w:tc>
          <w:tcPr>
            <w:tcW w:w="4106" w:type="dxa"/>
          </w:tcPr>
          <w:p w14:paraId="25AC3BA5" w14:textId="7D5C7037" w:rsidR="00C544EF" w:rsidRDefault="00C544EF" w:rsidP="0004250B">
            <w:pPr>
              <w:pStyle w:val="Tabletext1"/>
              <w:ind w:left="29"/>
            </w:pPr>
            <w:r>
              <w:t>Clinical pr</w:t>
            </w:r>
            <w:r w:rsidR="00EF1C5C">
              <w:t>eg</w:t>
            </w:r>
            <w:r w:rsidR="005276BA">
              <w:t>nancy rate per started cycle, n </w:t>
            </w:r>
            <w:r w:rsidR="00EF1C5C">
              <w:t>(%)</w:t>
            </w:r>
          </w:p>
        </w:tc>
        <w:tc>
          <w:tcPr>
            <w:tcW w:w="1843" w:type="dxa"/>
          </w:tcPr>
          <w:p w14:paraId="5B78E243" w14:textId="00AFBD20" w:rsidR="00C544EF" w:rsidRDefault="00EF1C5C" w:rsidP="0004250B">
            <w:pPr>
              <w:pStyle w:val="Tabletext1"/>
              <w:ind w:left="0"/>
            </w:pPr>
            <w:r>
              <w:t>32 (32.3</w:t>
            </w:r>
            <w:r w:rsidR="00C544EF">
              <w:t>)</w:t>
            </w:r>
          </w:p>
        </w:tc>
        <w:tc>
          <w:tcPr>
            <w:tcW w:w="2126" w:type="dxa"/>
          </w:tcPr>
          <w:p w14:paraId="478CFC75" w14:textId="543D6574" w:rsidR="00C544EF" w:rsidRDefault="00EF1C5C" w:rsidP="0004250B">
            <w:pPr>
              <w:pStyle w:val="Tabletext1"/>
              <w:ind w:left="0"/>
            </w:pPr>
            <w:r>
              <w:t>29 (31.5</w:t>
            </w:r>
            <w:r w:rsidR="00C544EF">
              <w:t>)</w:t>
            </w:r>
          </w:p>
        </w:tc>
        <w:tc>
          <w:tcPr>
            <w:tcW w:w="941" w:type="dxa"/>
          </w:tcPr>
          <w:p w14:paraId="06BDDF5C" w14:textId="1EA0C2CC" w:rsidR="00C544EF" w:rsidRDefault="00C544EF" w:rsidP="0004250B">
            <w:pPr>
              <w:pStyle w:val="Tabletext1"/>
              <w:ind w:left="0"/>
            </w:pPr>
            <w:r>
              <w:t>NS</w:t>
            </w:r>
          </w:p>
        </w:tc>
      </w:tr>
    </w:tbl>
    <w:p w14:paraId="1DF72BFA" w14:textId="7F7509ED" w:rsidR="007A3E3C" w:rsidRPr="0004250B" w:rsidRDefault="00693FCA" w:rsidP="009F4D9B">
      <w:pPr>
        <w:pStyle w:val="Tabletext1"/>
        <w:rPr>
          <w:sz w:val="18"/>
          <w:szCs w:val="18"/>
        </w:rPr>
      </w:pPr>
      <w:r w:rsidRPr="0004250B">
        <w:rPr>
          <w:sz w:val="18"/>
          <w:szCs w:val="18"/>
        </w:rPr>
        <w:t>S</w:t>
      </w:r>
      <w:r w:rsidR="009F4D9B" w:rsidRPr="0004250B">
        <w:rPr>
          <w:sz w:val="18"/>
          <w:szCs w:val="18"/>
        </w:rPr>
        <w:t xml:space="preserve">ource: </w:t>
      </w:r>
      <w:r w:rsidR="00A109BA" w:rsidRPr="0004250B">
        <w:rPr>
          <w:sz w:val="18"/>
          <w:szCs w:val="18"/>
        </w:rPr>
        <w:fldChar w:fldCharType="begin">
          <w:fldData xml:space="preserve">PEVuZE5vdGU+PENpdGU+PEF1dGhvcj5BbGxlZ3JhPC9BdXRob3I+PFllYXI+MjAxNzwvWWVhcj48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</w:fldData>
        </w:fldChar>
      </w:r>
      <w:r w:rsidR="00577E24" w:rsidRPr="0004250B">
        <w:rPr>
          <w:sz w:val="18"/>
          <w:szCs w:val="18"/>
        </w:rPr>
        <w:instrText xml:space="preserve"> ADDIN EN.CITE </w:instrText>
      </w:r>
      <w:r w:rsidR="00577E24" w:rsidRPr="0004250B">
        <w:rPr>
          <w:sz w:val="18"/>
          <w:szCs w:val="18"/>
        </w:rPr>
        <w:fldChar w:fldCharType="begin">
          <w:fldData xml:space="preserve">PEVuZE5vdGU+PENpdGU+PEF1dGhvcj5BbGxlZ3JhPC9BdXRob3I+PFllYXI+MjAxNzwvWWVhcj48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</w:fldData>
        </w:fldChar>
      </w:r>
      <w:r w:rsidR="00577E24" w:rsidRPr="0004250B">
        <w:rPr>
          <w:sz w:val="18"/>
          <w:szCs w:val="18"/>
        </w:rPr>
        <w:instrText xml:space="preserve"> ADDIN EN.CITE.DATA </w:instrText>
      </w:r>
      <w:r w:rsidR="00577E24" w:rsidRPr="0004250B">
        <w:rPr>
          <w:sz w:val="18"/>
          <w:szCs w:val="18"/>
        </w:rPr>
      </w:r>
      <w:r w:rsidR="00577E24" w:rsidRPr="0004250B">
        <w:rPr>
          <w:sz w:val="18"/>
          <w:szCs w:val="18"/>
        </w:rPr>
        <w:fldChar w:fldCharType="end"/>
      </w:r>
      <w:r w:rsidR="00A109BA" w:rsidRPr="0004250B">
        <w:rPr>
          <w:sz w:val="18"/>
          <w:szCs w:val="18"/>
        </w:rPr>
      </w:r>
      <w:r w:rsidR="00A109BA" w:rsidRPr="0004250B">
        <w:rPr>
          <w:sz w:val="18"/>
          <w:szCs w:val="18"/>
        </w:rPr>
        <w:fldChar w:fldCharType="separate"/>
      </w:r>
      <w:r w:rsidR="00A109BA" w:rsidRPr="0004250B">
        <w:rPr>
          <w:noProof/>
          <w:sz w:val="18"/>
          <w:szCs w:val="18"/>
        </w:rPr>
        <w:t>(</w:t>
      </w:r>
      <w:hyperlink w:anchor="_ENREF_2" w:tooltip="Allegra, 2017 #17" w:history="1">
        <w:r w:rsidR="00835BA6" w:rsidRPr="0004250B">
          <w:rPr>
            <w:noProof/>
            <w:sz w:val="18"/>
            <w:szCs w:val="18"/>
          </w:rPr>
          <w:t>Allegra et al. 2017</w:t>
        </w:r>
      </w:hyperlink>
      <w:r w:rsidR="00A109BA" w:rsidRPr="0004250B">
        <w:rPr>
          <w:noProof/>
          <w:sz w:val="18"/>
          <w:szCs w:val="18"/>
        </w:rPr>
        <w:t>)</w:t>
      </w:r>
      <w:r w:rsidR="00A109BA" w:rsidRPr="0004250B">
        <w:rPr>
          <w:sz w:val="18"/>
          <w:szCs w:val="18"/>
        </w:rPr>
        <w:fldChar w:fldCharType="end"/>
      </w:r>
    </w:p>
    <w:p w14:paraId="087D1EFE" w14:textId="6299BD70" w:rsidR="0082391C" w:rsidRPr="0004250B" w:rsidRDefault="0082391C" w:rsidP="00EF1C5C">
      <w:pPr>
        <w:pStyle w:val="Tabletext1"/>
        <w:spacing w:after="240"/>
        <w:rPr>
          <w:sz w:val="18"/>
          <w:szCs w:val="18"/>
        </w:rPr>
      </w:pPr>
      <w:r w:rsidRPr="0004250B">
        <w:rPr>
          <w:sz w:val="18"/>
          <w:szCs w:val="18"/>
        </w:rPr>
        <w:t>rFSH = recombina</w:t>
      </w:r>
      <w:r w:rsidR="005276BA" w:rsidRPr="0004250B">
        <w:rPr>
          <w:sz w:val="18"/>
          <w:szCs w:val="18"/>
        </w:rPr>
        <w:t>nt follicle</w:t>
      </w:r>
      <w:r w:rsidR="00DE6DD5">
        <w:rPr>
          <w:sz w:val="18"/>
          <w:szCs w:val="18"/>
        </w:rPr>
        <w:t>-</w:t>
      </w:r>
      <w:r w:rsidR="005276BA" w:rsidRPr="0004250B">
        <w:rPr>
          <w:sz w:val="18"/>
          <w:szCs w:val="18"/>
        </w:rPr>
        <w:t>stimulating hormone;</w:t>
      </w:r>
      <w:r w:rsidRPr="0004250B">
        <w:rPr>
          <w:sz w:val="18"/>
          <w:szCs w:val="18"/>
        </w:rPr>
        <w:t xml:space="preserve"> </w:t>
      </w:r>
      <w:r w:rsidR="005276BA" w:rsidRPr="0004250B">
        <w:rPr>
          <w:sz w:val="18"/>
          <w:szCs w:val="18"/>
        </w:rPr>
        <w:t>NS = not significant;</w:t>
      </w:r>
      <w:r w:rsidR="004B258B" w:rsidRPr="0004250B">
        <w:rPr>
          <w:sz w:val="18"/>
          <w:szCs w:val="18"/>
        </w:rPr>
        <w:t xml:space="preserve"> </w:t>
      </w:r>
      <w:r w:rsidRPr="0004250B">
        <w:rPr>
          <w:sz w:val="18"/>
          <w:szCs w:val="18"/>
        </w:rPr>
        <w:t>SD = standard deviation</w:t>
      </w:r>
      <w:r w:rsidR="005276BA" w:rsidRPr="0004250B">
        <w:rPr>
          <w:sz w:val="18"/>
          <w:szCs w:val="18"/>
        </w:rPr>
        <w:t>; IU = international units</w:t>
      </w:r>
    </w:p>
    <w:p w14:paraId="187996DC" w14:textId="004D6FDC" w:rsidR="007518CF" w:rsidRDefault="00EA7793" w:rsidP="00D25EAE">
      <w:pPr>
        <w:jc w:val="both"/>
      </w:pPr>
      <w:r>
        <w:lastRenderedPageBreak/>
        <w:t>Clinical pregnancy rate and live birth rate are considered the most important outcomes, whereas number of oocytes re</w:t>
      </w:r>
      <w:r w:rsidR="00141431">
        <w:t xml:space="preserve">trieved is considered an intermediate </w:t>
      </w:r>
      <w:r>
        <w:t>outcome. In the trial by Allegra et al. the clinical pregnancy rate and number of cryopreserved embryos was similar in both groups, however it was stated the study was not designed to detect any difference that was not the primary outcome</w:t>
      </w:r>
      <w:r w:rsidR="00EF1C5C">
        <w:t>, i.e.</w:t>
      </w:r>
      <w:r>
        <w:t xml:space="preserve"> the rate of women with an appropriate response. </w:t>
      </w:r>
      <w:r w:rsidR="005B6E98">
        <w:t xml:space="preserve">Furthermore, it is not known whether the nomogram is usable for women and girls undergoing gonadotoxic treatment, as they are often younger than 25 years old, and their AMH may be low. The nomogram currently only gives an input for women aged </w:t>
      </w:r>
      <w:r w:rsidR="00EF1C5C">
        <w:t xml:space="preserve">25 to </w:t>
      </w:r>
      <w:r w:rsidR="005B6E98">
        <w:t xml:space="preserve">40 years and there is no evidence of the validity of this method in the proposed MBS populations. Patients at the </w:t>
      </w:r>
      <w:r w:rsidR="00EF1C5C">
        <w:t>extremes</w:t>
      </w:r>
      <w:r w:rsidR="005B6E98">
        <w:t xml:space="preserve"> of ovarian reserve were excluded from the trial, and it </w:t>
      </w:r>
      <w:r w:rsidR="00EF1C5C">
        <w:t>is</w:t>
      </w:r>
      <w:r w:rsidR="00510C8C">
        <w:t xml:space="preserve"> these women </w:t>
      </w:r>
      <w:r w:rsidR="00EF1C5C">
        <w:t xml:space="preserve">particularly who </w:t>
      </w:r>
      <w:r w:rsidR="00510C8C">
        <w:t>may</w:t>
      </w:r>
      <w:r w:rsidR="005B6E98">
        <w:t xml:space="preserve"> benefit from personalised treatment</w:t>
      </w:r>
      <w:r w:rsidR="00510C8C">
        <w:t xml:space="preserve"> </w:t>
      </w:r>
      <w:r w:rsidR="00A109BA">
        <w:fldChar w:fldCharType="begin">
          <w:fldData xml:space="preserve">PEVuZE5vdGU+PENpdGU+PEF1dGhvcj5BbGxlZ3JhPC9BdXRob3I+PFllYXI+MjAxNzwvWWVhcj48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</w:fldData>
        </w:fldChar>
      </w:r>
      <w:r w:rsidR="00577E24">
        <w:instrText xml:space="preserve"> ADDIN EN.CITE </w:instrText>
      </w:r>
      <w:r w:rsidR="00577E24">
        <w:fldChar w:fldCharType="begin">
          <w:fldData xml:space="preserve">PEVuZE5vdGU+PENpdGU+PEF1dGhvcj5BbGxlZ3JhPC9BdXRob3I+PFllYXI+MjAxNzwvWWVhcj48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</w:fldData>
        </w:fldChar>
      </w:r>
      <w:r w:rsidR="00577E24">
        <w:instrText xml:space="preserve"> ADDIN EN.CITE.DATA </w:instrText>
      </w:r>
      <w:r w:rsidR="00577E24">
        <w:fldChar w:fldCharType="end"/>
      </w:r>
      <w:r w:rsidR="00A109BA">
        <w:fldChar w:fldCharType="separate"/>
      </w:r>
      <w:r w:rsidR="00A109BA">
        <w:rPr>
          <w:noProof/>
        </w:rPr>
        <w:t>(</w:t>
      </w:r>
      <w:hyperlink w:anchor="_ENREF_2" w:tooltip="Allegra, 2017 #17" w:history="1">
        <w:r w:rsidR="00835BA6">
          <w:rPr>
            <w:noProof/>
          </w:rPr>
          <w:t>Allegra et al. 2017</w:t>
        </w:r>
      </w:hyperlink>
      <w:r w:rsidR="00A109BA">
        <w:rPr>
          <w:noProof/>
        </w:rPr>
        <w:t>)</w:t>
      </w:r>
      <w:r w:rsidR="00A109BA">
        <w:fldChar w:fldCharType="end"/>
      </w:r>
      <w:r w:rsidR="005B6E98">
        <w:t>.</w:t>
      </w:r>
    </w:p>
    <w:p w14:paraId="2222ECD0" w14:textId="441B1A1A" w:rsidR="005B6E98" w:rsidRDefault="00510C8C" w:rsidP="00BB0CC4">
      <w:pPr>
        <w:jc w:val="both"/>
      </w:pPr>
      <w:r>
        <w:t>The retrospective study by Yates et al. (2011) reported outcomes of the AMH</w:t>
      </w:r>
      <w:r w:rsidR="00DF36E4">
        <w:t>-</w:t>
      </w:r>
      <w:r>
        <w:t>tailored dosage protocol compared with the standardised dosage before AMH, in addition to</w:t>
      </w:r>
      <w:r w:rsidR="00892AB3">
        <w:t xml:space="preserve"> the</w:t>
      </w:r>
      <w:r>
        <w:t xml:space="preserve"> ch</w:t>
      </w:r>
      <w:r w:rsidR="0032671E">
        <w:t xml:space="preserve">ange in management evidence </w:t>
      </w:r>
      <w:r w:rsidR="00892AB3">
        <w:t>presented in</w:t>
      </w:r>
      <w:r w:rsidR="0032671E">
        <w:t xml:space="preserve"> section B5.1.4</w:t>
      </w:r>
      <w:r w:rsidR="007F4459">
        <w:t xml:space="preserve">. </w:t>
      </w:r>
      <w:r w:rsidR="00092C66">
        <w:t>The pre-embryology</w:t>
      </w:r>
      <w:r w:rsidR="00624776">
        <w:t xml:space="preserve"> outcomes of this study are shown in </w:t>
      </w:r>
      <w:r w:rsidR="00473C60">
        <w:fldChar w:fldCharType="begin"/>
      </w:r>
      <w:r w:rsidR="00473C60">
        <w:instrText xml:space="preserve"> REF _Ref496016098 \h </w:instrText>
      </w:r>
      <w:r w:rsidR="00473C60">
        <w:fldChar w:fldCharType="separate"/>
      </w:r>
      <w:r w:rsidR="00AC4BE5">
        <w:t xml:space="preserve">Table </w:t>
      </w:r>
      <w:r w:rsidR="00AC4BE5">
        <w:rPr>
          <w:noProof/>
        </w:rPr>
        <w:t>58</w:t>
      </w:r>
      <w:r w:rsidR="00473C60">
        <w:fldChar w:fldCharType="end"/>
      </w:r>
      <w:r w:rsidR="00624776">
        <w:t>. There was a significant reduction in the incidence of OHSS using the new AMH</w:t>
      </w:r>
      <w:r w:rsidR="00DF36E4">
        <w:t>-</w:t>
      </w:r>
      <w:r w:rsidR="00624776">
        <w:t xml:space="preserve">tailored protocol. Furthermore, a higher number of women in the AMH group underwent embryo transfer compared with the conventional group </w:t>
      </w:r>
      <w:r w:rsidR="00D47F84">
        <w:t xml:space="preserve">(87.5% vs 78.9%; </w:t>
      </w:r>
      <w:r w:rsidR="00A01CEF">
        <w:t>p</w:t>
      </w:r>
      <w:r w:rsidR="00846BA5">
        <w:t>=</w:t>
      </w:r>
      <w:r w:rsidR="00D47F84">
        <w:t xml:space="preserve">0.002), the </w:t>
      </w:r>
      <w:r w:rsidR="00624776">
        <w:t>overall pregnancy rate per cycle improved from 17.9% to 27.7% (</w:t>
      </w:r>
      <w:r w:rsidR="00A01CEF">
        <w:t>p</w:t>
      </w:r>
      <w:r w:rsidR="00846BA5">
        <w:t>=</w:t>
      </w:r>
      <w:r w:rsidR="00624776">
        <w:t>0.002)</w:t>
      </w:r>
      <w:r w:rsidR="00D47F84">
        <w:t xml:space="preserve"> and the live birth rate increased from 15.9% to 23.9% (</w:t>
      </w:r>
      <w:r w:rsidR="009A4F4B">
        <w:t>p=</w:t>
      </w:r>
      <w:r w:rsidR="00D47F84">
        <w:t xml:space="preserve">0.007). </w:t>
      </w:r>
      <w:r w:rsidR="00E20E5E">
        <w:t>Ho</w:t>
      </w:r>
      <w:r w:rsidR="00C277F5">
        <w:t xml:space="preserve">wever, at the same time of the introduction of the </w:t>
      </w:r>
      <w:r w:rsidR="0032671E">
        <w:t>AMH</w:t>
      </w:r>
      <w:r w:rsidR="00DF36E4">
        <w:t>-</w:t>
      </w:r>
      <w:r w:rsidR="0032671E">
        <w:t>tailored</w:t>
      </w:r>
      <w:r w:rsidR="00C277F5">
        <w:t xml:space="preserve"> protocols, there was a change in embryological culture media used during the fertilisation and preimplantation of oocytes. Alongside this change, there were a number of organisational and protocol changes in the laboratory used in the study </w:t>
      </w:r>
      <w:r w:rsidR="00A109BA">
        <w:fldChar w:fldCharType="begin"/>
      </w:r>
      <w:r w:rsidR="00577E24">
        <w:instrText xml:space="preserve"> ADDIN EN.CITE &lt;EndNote&gt;&lt;Cite&gt;&lt;Author&gt;Yates&lt;/Author&gt;&lt;Year&gt;2012&lt;/Year&gt;&lt;RecNum&gt;371&lt;/RecNum&gt;&lt;IDText&gt;629&lt;/IDText&gt;&lt;DisplayText&gt;(Yates, Roberts &amp;amp; Nardo 2012)&lt;/DisplayText&gt;&lt;record&gt;&lt;rec-number&gt;371&lt;/rec-number&gt;&lt;foreign-keys&gt;&lt;key app="EN" db-id="s2dftfxw1fvsr1efx58vfvxtvfwzxea0td02" timestamp="1511748100"&gt;371&lt;/key&gt;&lt;/foreign-keys&gt;&lt;ref-type name="Journal Article"&gt;17&lt;/ref-type&gt;&lt;contributors&gt;&lt;authors&gt;&lt;author&gt;Yates, A. P.&lt;/author&gt;&lt;author&gt;Roberts, S. A.&lt;/author&gt;&lt;author&gt;Nardo, L. G.&lt;/author&gt;&lt;/authors&gt;&lt;/contributors&gt;&lt;titles&gt;&lt;title&gt;Anti-Mullerian hormone-tailored stimulation protocols improve outcomes whilst reducing adverse effects and costs of IVF&lt;/title&gt;&lt;secondary-title&gt;Hum Reprod&lt;/secondary-title&gt;&lt;/titles&gt;&lt;periodical&gt;&lt;full-title&gt;Hum Reprod&lt;/full-title&gt;&lt;/periodical&gt;&lt;pages&gt;629&lt;/pages&gt;&lt;volume&gt;27&lt;/volume&gt;&lt;number&gt;2&lt;/number&gt;&lt;keywords&gt;&lt;keyword&gt;Anti-Mullerian Hormone/*blood&lt;/keyword&gt;&lt;keyword&gt;Female&lt;/keyword&gt;&lt;keyword&gt;Fertilization in Vitro/*methods&lt;/keyword&gt;&lt;keyword&gt;Humans&lt;/keyword&gt;&lt;keyword&gt;Ovulation Induction/*methods&lt;/keyword&gt;&lt;keyword&gt;Pregnancy&lt;/keyword&gt;&lt;/keywords&gt;&lt;dates&gt;&lt;year&gt;2012&lt;/year&gt;&lt;pub-dates&gt;&lt;date&gt;Feb&lt;/date&gt;&lt;/pub-dates&gt;&lt;/dates&gt;&lt;isbn&gt;1460-2350 (Electronic)&amp;#xD;0268-1161 (Linking)&lt;/isbn&gt;&lt;accession-num&gt;22114109&lt;/accession-num&gt;&lt;urls&gt;&lt;related-urls&gt;&lt;url&gt;http://www.ncbi.nlm.nih.gov/pubmed/22114109&lt;/url&gt;&lt;/related-urls&gt;&lt;/urls&gt;&lt;electronic-resource-num&gt;10.1093/humrep/der397&lt;/electronic-resource-num&gt;&lt;/record&gt;&lt;/Cite&gt;&lt;/EndNote&gt;</w:instrText>
      </w:r>
      <w:r w:rsidR="00A109BA">
        <w:fldChar w:fldCharType="separate"/>
      </w:r>
      <w:r w:rsidR="00A109BA">
        <w:rPr>
          <w:noProof/>
        </w:rPr>
        <w:t>(</w:t>
      </w:r>
      <w:hyperlink w:anchor="_ENREF_76" w:tooltip="Yates, 2012 #371" w:history="1">
        <w:r w:rsidR="00835BA6">
          <w:rPr>
            <w:noProof/>
          </w:rPr>
          <w:t>Yates, Roberts &amp; Nardo 2012</w:t>
        </w:r>
      </w:hyperlink>
      <w:r w:rsidR="00A109BA">
        <w:rPr>
          <w:noProof/>
        </w:rPr>
        <w:t>)</w:t>
      </w:r>
      <w:r w:rsidR="00A109BA">
        <w:fldChar w:fldCharType="end"/>
      </w:r>
      <w:r w:rsidR="00C277F5">
        <w:t>. Therefore, given the before and after design of the study, it is not possible to</w:t>
      </w:r>
      <w:r w:rsidR="00420EC2">
        <w:t xml:space="preserve"> determine which factors were contribu</w:t>
      </w:r>
      <w:r w:rsidR="00092C66">
        <w:t xml:space="preserve">ting to the different outcomes. </w:t>
      </w:r>
      <w:r w:rsidR="0032671E">
        <w:t>Some of the observed effects, i.e. the post-embryology outcomes,</w:t>
      </w:r>
      <w:r w:rsidR="00420EC2">
        <w:t xml:space="preserve"> may not be solely related to the </w:t>
      </w:r>
      <w:r w:rsidR="0032671E">
        <w:t>AMH</w:t>
      </w:r>
      <w:r w:rsidR="00DF36E4">
        <w:t>-</w:t>
      </w:r>
      <w:r w:rsidR="0032671E">
        <w:t>tailored</w:t>
      </w:r>
      <w:r w:rsidR="00420EC2">
        <w:t xml:space="preserve"> dosage protocol</w:t>
      </w:r>
      <w:r w:rsidR="0032671E">
        <w:t xml:space="preserve">, </w:t>
      </w:r>
      <w:r w:rsidR="00092C66">
        <w:t>and are there</w:t>
      </w:r>
      <w:r w:rsidR="0032671E">
        <w:t>fore not presented</w:t>
      </w:r>
      <w:r w:rsidR="00420EC2">
        <w:t xml:space="preserve">. </w:t>
      </w:r>
      <w:r w:rsidR="00822265">
        <w:t>Yates et al. (2012)</w:t>
      </w:r>
      <w:r w:rsidR="00473C60">
        <w:t xml:space="preserve"> did show that an AMH</w:t>
      </w:r>
      <w:r w:rsidR="00DF36E4">
        <w:t>-</w:t>
      </w:r>
      <w:r w:rsidR="00473C60">
        <w:t>tailored protocol may decrease the incidence of OHSS in women undergoing IVF treatment.</w:t>
      </w:r>
    </w:p>
    <w:p w14:paraId="175EAED1" w14:textId="146A3076" w:rsidR="00FA311B" w:rsidRDefault="00FA311B" w:rsidP="005276BA">
      <w:pPr>
        <w:pStyle w:val="Caption"/>
        <w:keepNext/>
        <w:ind w:left="993" w:hanging="993"/>
      </w:pPr>
      <w:bookmarkStart w:id="366" w:name="_Ref496016098"/>
      <w:bookmarkStart w:id="367" w:name="_Toc502833076"/>
      <w:r>
        <w:t xml:space="preserve">Table </w:t>
      </w:r>
      <w:r w:rsidR="00AC4BE5">
        <w:fldChar w:fldCharType="begin"/>
      </w:r>
      <w:r w:rsidR="00AC4BE5">
        <w:instrText xml:space="preserve"> SEQ Table \* ARABIC </w:instrText>
      </w:r>
      <w:r w:rsidR="00AC4BE5">
        <w:fldChar w:fldCharType="separate"/>
      </w:r>
      <w:r w:rsidR="00AC4BE5">
        <w:rPr>
          <w:noProof/>
        </w:rPr>
        <w:t>58</w:t>
      </w:r>
      <w:r w:rsidR="00AC4BE5">
        <w:rPr>
          <w:noProof/>
        </w:rPr>
        <w:fldChar w:fldCharType="end"/>
      </w:r>
      <w:bookmarkEnd w:id="366"/>
      <w:r w:rsidR="005276BA">
        <w:tab/>
      </w:r>
      <w:r>
        <w:t>Pre-embryology clinical outcomes in a conventional dosage protocol compared with an AMH-tailored protocol</w:t>
      </w:r>
      <w:bookmarkEnd w:id="367"/>
    </w:p>
    <w:tbl>
      <w:tblPr>
        <w:tblStyle w:val="TableGrid"/>
        <w:tblW w:w="0" w:type="auto"/>
        <w:tblLayout w:type="fixed"/>
        <w:tblLook w:val="04A0" w:firstRow="1" w:lastRow="0" w:firstColumn="1" w:lastColumn="0" w:noHBand="0" w:noVBand="1"/>
        <w:tblCaption w:val="Pre-embryology clinical outcomes in a conventional dosage protocol compared with an AMH-tailored protocol"/>
        <w:tblDescription w:val="Pre-embryology clinical outcomes in a conventional dosage protocol compared with an AMH-tailored protocol"/>
      </w:tblPr>
      <w:tblGrid>
        <w:gridCol w:w="1980"/>
        <w:gridCol w:w="1559"/>
        <w:gridCol w:w="1559"/>
        <w:gridCol w:w="1985"/>
        <w:gridCol w:w="1933"/>
      </w:tblGrid>
      <w:tr w:rsidR="00FA311B" w14:paraId="038853F6" w14:textId="77777777" w:rsidTr="0032671E">
        <w:trPr>
          <w:tblHeader/>
        </w:trPr>
        <w:tc>
          <w:tcPr>
            <w:tcW w:w="1980" w:type="dxa"/>
          </w:tcPr>
          <w:p w14:paraId="52AD8A70" w14:textId="3BB2E9DA" w:rsidR="00FA311B" w:rsidRPr="0004250B" w:rsidRDefault="00FA311B" w:rsidP="0004250B">
            <w:pPr>
              <w:pStyle w:val="Tabletext1"/>
              <w:ind w:left="0"/>
              <w:rPr>
                <w:b/>
              </w:rPr>
            </w:pPr>
            <w:r w:rsidRPr="0004250B">
              <w:rPr>
                <w:b/>
              </w:rPr>
              <w:t>Clinical outcomes</w:t>
            </w:r>
          </w:p>
        </w:tc>
        <w:tc>
          <w:tcPr>
            <w:tcW w:w="1559" w:type="dxa"/>
          </w:tcPr>
          <w:p w14:paraId="66A4D83B" w14:textId="59C21E58" w:rsidR="00FA311B" w:rsidRPr="0004250B" w:rsidRDefault="00FA311B" w:rsidP="0004250B">
            <w:pPr>
              <w:pStyle w:val="Tabletext1"/>
              <w:ind w:left="0"/>
              <w:rPr>
                <w:b/>
              </w:rPr>
            </w:pPr>
            <w:r w:rsidRPr="0004250B">
              <w:rPr>
                <w:b/>
              </w:rPr>
              <w:t>Conventional protocol (n=346)</w:t>
            </w:r>
          </w:p>
        </w:tc>
        <w:tc>
          <w:tcPr>
            <w:tcW w:w="1559" w:type="dxa"/>
          </w:tcPr>
          <w:p w14:paraId="5D083EB3" w14:textId="0713011F" w:rsidR="00FA311B" w:rsidRPr="0004250B" w:rsidRDefault="00FA311B" w:rsidP="0004250B">
            <w:pPr>
              <w:pStyle w:val="Tabletext1"/>
              <w:ind w:left="0"/>
              <w:rPr>
                <w:b/>
              </w:rPr>
            </w:pPr>
            <w:r w:rsidRPr="0004250B">
              <w:rPr>
                <w:b/>
              </w:rPr>
              <w:t>AMH-tailored protocol (n=423)</w:t>
            </w:r>
          </w:p>
        </w:tc>
        <w:tc>
          <w:tcPr>
            <w:tcW w:w="1985" w:type="dxa"/>
          </w:tcPr>
          <w:p w14:paraId="205A4F1E" w14:textId="46900C08" w:rsidR="00FA311B" w:rsidRPr="0004250B" w:rsidRDefault="00FA311B" w:rsidP="0004250B">
            <w:pPr>
              <w:pStyle w:val="Tabletext1"/>
              <w:ind w:left="0"/>
              <w:rPr>
                <w:b/>
              </w:rPr>
            </w:pPr>
            <w:r w:rsidRPr="0004250B">
              <w:rPr>
                <w:b/>
              </w:rPr>
              <w:t xml:space="preserve">Unadjusted </w:t>
            </w:r>
            <w:r w:rsidR="006F069F" w:rsidRPr="0004250B">
              <w:rPr>
                <w:b/>
              </w:rPr>
              <w:t>p-value</w:t>
            </w:r>
            <w:r w:rsidRPr="0004250B">
              <w:rPr>
                <w:b/>
              </w:rPr>
              <w:t xml:space="preserve"> (fisher’s exact test)</w:t>
            </w:r>
          </w:p>
        </w:tc>
        <w:tc>
          <w:tcPr>
            <w:tcW w:w="1933" w:type="dxa"/>
          </w:tcPr>
          <w:p w14:paraId="4399EF91" w14:textId="36F050DB" w:rsidR="00FA311B" w:rsidRPr="0004250B" w:rsidRDefault="00FA311B" w:rsidP="0004250B">
            <w:pPr>
              <w:pStyle w:val="Tabletext1"/>
              <w:ind w:left="0"/>
              <w:rPr>
                <w:b/>
                <w:vertAlign w:val="superscript"/>
              </w:rPr>
            </w:pPr>
            <w:r w:rsidRPr="0004250B">
              <w:rPr>
                <w:b/>
              </w:rPr>
              <w:t xml:space="preserve">Adjusted </w:t>
            </w:r>
            <w:r w:rsidR="006F069F" w:rsidRPr="0004250B">
              <w:rPr>
                <w:b/>
              </w:rPr>
              <w:t>p-value</w:t>
            </w:r>
            <w:r w:rsidRPr="0004250B">
              <w:rPr>
                <w:b/>
              </w:rPr>
              <w:t xml:space="preserve"> (logistic regression)</w:t>
            </w:r>
            <w:r w:rsidRPr="0004250B">
              <w:rPr>
                <w:b/>
                <w:vertAlign w:val="superscript"/>
              </w:rPr>
              <w:t>a</w:t>
            </w:r>
          </w:p>
        </w:tc>
      </w:tr>
      <w:tr w:rsidR="00FA311B" w14:paraId="2EFA63CB" w14:textId="77777777" w:rsidTr="0032671E">
        <w:tc>
          <w:tcPr>
            <w:tcW w:w="1980" w:type="dxa"/>
          </w:tcPr>
          <w:p w14:paraId="7A52F925" w14:textId="09DC691C" w:rsidR="00FA311B" w:rsidRDefault="00092C66" w:rsidP="0032671E">
            <w:pPr>
              <w:pStyle w:val="Tabletext1"/>
              <w:ind w:left="29"/>
            </w:pPr>
            <w:r>
              <w:t>Cancelled cycle due to poor response</w:t>
            </w:r>
            <w:r w:rsidR="0032671E">
              <w:t>, n (%)</w:t>
            </w:r>
          </w:p>
        </w:tc>
        <w:tc>
          <w:tcPr>
            <w:tcW w:w="1559" w:type="dxa"/>
          </w:tcPr>
          <w:p w14:paraId="5C2CE78B" w14:textId="2C9095E1" w:rsidR="00FA311B" w:rsidRDefault="00CB2E18" w:rsidP="0032671E">
            <w:pPr>
              <w:pStyle w:val="Tabletext1"/>
              <w:ind w:left="34"/>
            </w:pPr>
            <w:r>
              <w:t>14 (4.0)</w:t>
            </w:r>
          </w:p>
        </w:tc>
        <w:tc>
          <w:tcPr>
            <w:tcW w:w="1559" w:type="dxa"/>
          </w:tcPr>
          <w:p w14:paraId="41BB96F0" w14:textId="0E7C523A" w:rsidR="00FA311B" w:rsidRDefault="00CB2E18" w:rsidP="0032671E">
            <w:pPr>
              <w:pStyle w:val="Tabletext1"/>
              <w:ind w:left="34"/>
            </w:pPr>
            <w:r>
              <w:t>14 (3.3%)</w:t>
            </w:r>
          </w:p>
        </w:tc>
        <w:tc>
          <w:tcPr>
            <w:tcW w:w="1985" w:type="dxa"/>
          </w:tcPr>
          <w:p w14:paraId="549A4E0D" w14:textId="526B3DAF" w:rsidR="00FA311B" w:rsidRDefault="00CB2E18" w:rsidP="0032671E">
            <w:pPr>
              <w:pStyle w:val="Tabletext1"/>
              <w:ind w:left="34"/>
            </w:pPr>
            <w:r>
              <w:t>0.7</w:t>
            </w:r>
          </w:p>
        </w:tc>
        <w:tc>
          <w:tcPr>
            <w:tcW w:w="1933" w:type="dxa"/>
          </w:tcPr>
          <w:p w14:paraId="3EB132E5" w14:textId="772A33E8" w:rsidR="00FA311B" w:rsidRDefault="00CB2E18" w:rsidP="0032671E">
            <w:pPr>
              <w:pStyle w:val="Tabletext1"/>
              <w:ind w:left="34"/>
            </w:pPr>
            <w:r>
              <w:t>0.57</w:t>
            </w:r>
          </w:p>
        </w:tc>
      </w:tr>
      <w:tr w:rsidR="00FA311B" w14:paraId="53AC7BD2" w14:textId="77777777" w:rsidTr="0032671E">
        <w:tc>
          <w:tcPr>
            <w:tcW w:w="1980" w:type="dxa"/>
          </w:tcPr>
          <w:p w14:paraId="2009C662" w14:textId="7BD6FEE8" w:rsidR="00FA311B" w:rsidRDefault="00092C66" w:rsidP="0032671E">
            <w:pPr>
              <w:pStyle w:val="Tabletext1"/>
              <w:ind w:left="29"/>
            </w:pPr>
            <w:r>
              <w:t>Cancelled cycle due to elective freeze all</w:t>
            </w:r>
            <w:r w:rsidR="0032671E">
              <w:t>, n (%)</w:t>
            </w:r>
          </w:p>
        </w:tc>
        <w:tc>
          <w:tcPr>
            <w:tcW w:w="1559" w:type="dxa"/>
          </w:tcPr>
          <w:p w14:paraId="320C520D" w14:textId="41D2B62D" w:rsidR="00FA311B" w:rsidRDefault="00CB2E18" w:rsidP="0032671E">
            <w:pPr>
              <w:pStyle w:val="Tabletext1"/>
              <w:ind w:left="34"/>
            </w:pPr>
            <w:r>
              <w:t>0 (0.0)</w:t>
            </w:r>
          </w:p>
        </w:tc>
        <w:tc>
          <w:tcPr>
            <w:tcW w:w="1559" w:type="dxa"/>
          </w:tcPr>
          <w:p w14:paraId="1DB49C42" w14:textId="5574DBB9" w:rsidR="00FA311B" w:rsidRDefault="00CB2E18" w:rsidP="0032671E">
            <w:pPr>
              <w:pStyle w:val="Tabletext1"/>
              <w:ind w:left="34"/>
            </w:pPr>
            <w:r>
              <w:t>3 (0.7%)</w:t>
            </w:r>
          </w:p>
        </w:tc>
        <w:tc>
          <w:tcPr>
            <w:tcW w:w="1985" w:type="dxa"/>
          </w:tcPr>
          <w:p w14:paraId="34DB5A28" w14:textId="44F57689" w:rsidR="00FA311B" w:rsidRDefault="00CB2E18" w:rsidP="0032671E">
            <w:pPr>
              <w:pStyle w:val="Tabletext1"/>
              <w:ind w:left="34"/>
            </w:pPr>
            <w:r>
              <w:t>0.26</w:t>
            </w:r>
          </w:p>
        </w:tc>
        <w:tc>
          <w:tcPr>
            <w:tcW w:w="1933" w:type="dxa"/>
          </w:tcPr>
          <w:p w14:paraId="5E1E83A0" w14:textId="17D1460E" w:rsidR="00FA311B" w:rsidRDefault="00CB2E18" w:rsidP="0032671E">
            <w:pPr>
              <w:pStyle w:val="Tabletext1"/>
              <w:ind w:left="34"/>
            </w:pPr>
            <w:r>
              <w:t>0.066</w:t>
            </w:r>
          </w:p>
        </w:tc>
      </w:tr>
      <w:tr w:rsidR="00FA311B" w14:paraId="02220D20" w14:textId="77777777" w:rsidTr="0032671E">
        <w:tc>
          <w:tcPr>
            <w:tcW w:w="1980" w:type="dxa"/>
          </w:tcPr>
          <w:p w14:paraId="1B171A4E" w14:textId="1402581D" w:rsidR="00FA311B" w:rsidRDefault="00092C66" w:rsidP="0032671E">
            <w:pPr>
              <w:pStyle w:val="Tabletext1"/>
              <w:ind w:left="29"/>
            </w:pPr>
            <w:r>
              <w:t>Cancelled cycle due to other reasons</w:t>
            </w:r>
            <w:r w:rsidR="0032671E">
              <w:t>, n (%)</w:t>
            </w:r>
          </w:p>
        </w:tc>
        <w:tc>
          <w:tcPr>
            <w:tcW w:w="1559" w:type="dxa"/>
          </w:tcPr>
          <w:p w14:paraId="6058F534" w14:textId="4BA3A33B" w:rsidR="00FA311B" w:rsidRDefault="00CB2E18" w:rsidP="0032671E">
            <w:pPr>
              <w:pStyle w:val="Tabletext1"/>
              <w:ind w:left="34"/>
            </w:pPr>
            <w:r>
              <w:t>4 (1.2)</w:t>
            </w:r>
          </w:p>
        </w:tc>
        <w:tc>
          <w:tcPr>
            <w:tcW w:w="1559" w:type="dxa"/>
          </w:tcPr>
          <w:p w14:paraId="4FC3C80C" w14:textId="12213CF5" w:rsidR="00FA311B" w:rsidRDefault="00CB2E18" w:rsidP="0032671E">
            <w:pPr>
              <w:pStyle w:val="Tabletext1"/>
              <w:ind w:left="34"/>
            </w:pPr>
            <w:r>
              <w:t>4 (0.9%)</w:t>
            </w:r>
          </w:p>
        </w:tc>
        <w:tc>
          <w:tcPr>
            <w:tcW w:w="1985" w:type="dxa"/>
          </w:tcPr>
          <w:p w14:paraId="24DE4D60" w14:textId="202C4B16" w:rsidR="00FA311B" w:rsidRDefault="00CB2E18" w:rsidP="0032671E">
            <w:pPr>
              <w:pStyle w:val="Tabletext1"/>
              <w:ind w:left="34"/>
            </w:pPr>
            <w:r>
              <w:t>1</w:t>
            </w:r>
          </w:p>
        </w:tc>
        <w:tc>
          <w:tcPr>
            <w:tcW w:w="1933" w:type="dxa"/>
          </w:tcPr>
          <w:p w14:paraId="7F4B2D9E" w14:textId="5E495ACA" w:rsidR="00FA311B" w:rsidRDefault="00CB2E18" w:rsidP="0032671E">
            <w:pPr>
              <w:pStyle w:val="Tabletext1"/>
              <w:ind w:left="34"/>
            </w:pPr>
            <w:r>
              <w:t>0.8</w:t>
            </w:r>
          </w:p>
        </w:tc>
      </w:tr>
      <w:tr w:rsidR="00FA311B" w14:paraId="092F1EFE" w14:textId="77777777" w:rsidTr="0032671E">
        <w:tc>
          <w:tcPr>
            <w:tcW w:w="1980" w:type="dxa"/>
          </w:tcPr>
          <w:p w14:paraId="6F5E2883" w14:textId="1054839C" w:rsidR="00FA311B" w:rsidRDefault="0032671E" w:rsidP="0032671E">
            <w:pPr>
              <w:pStyle w:val="Tabletext1"/>
              <w:ind w:left="29"/>
            </w:pPr>
            <w:r>
              <w:t>Mean number ± </w:t>
            </w:r>
            <w:r w:rsidR="00092C66">
              <w:t>SD of oocytes retrieved</w:t>
            </w:r>
          </w:p>
        </w:tc>
        <w:tc>
          <w:tcPr>
            <w:tcW w:w="1559" w:type="dxa"/>
          </w:tcPr>
          <w:p w14:paraId="0A452A06" w14:textId="27DDAC33" w:rsidR="00FA311B" w:rsidRDefault="00CB2E18" w:rsidP="0032671E">
            <w:pPr>
              <w:pStyle w:val="Tabletext1"/>
              <w:ind w:left="34"/>
            </w:pPr>
            <w:r>
              <w:t>12.4</w:t>
            </w:r>
            <w:r w:rsidR="00CB05BE" w:rsidRPr="00CB05BE">
              <w:t> ± </w:t>
            </w:r>
            <w:r>
              <w:t>7.8</w:t>
            </w:r>
          </w:p>
        </w:tc>
        <w:tc>
          <w:tcPr>
            <w:tcW w:w="1559" w:type="dxa"/>
          </w:tcPr>
          <w:p w14:paraId="1A69D91C" w14:textId="432C5222" w:rsidR="00FA311B" w:rsidRDefault="00CB2E18" w:rsidP="0032671E">
            <w:pPr>
              <w:pStyle w:val="Tabletext1"/>
              <w:ind w:left="34"/>
            </w:pPr>
            <w:r>
              <w:t>10.6</w:t>
            </w:r>
            <w:r w:rsidR="00CB05BE" w:rsidRPr="00CB05BE">
              <w:t> ± </w:t>
            </w:r>
            <w:r>
              <w:t>6.9</w:t>
            </w:r>
          </w:p>
        </w:tc>
        <w:tc>
          <w:tcPr>
            <w:tcW w:w="1985" w:type="dxa"/>
          </w:tcPr>
          <w:p w14:paraId="69BAD219" w14:textId="3FB39D79" w:rsidR="00FA311B" w:rsidRPr="00CB2E18" w:rsidRDefault="00CB2E18" w:rsidP="0032671E">
            <w:pPr>
              <w:pStyle w:val="Tabletext1"/>
              <w:ind w:left="34"/>
            </w:pPr>
            <w:r>
              <w:t>0.001</w:t>
            </w:r>
            <w:r>
              <w:rPr>
                <w:vertAlign w:val="superscript"/>
              </w:rPr>
              <w:t>b</w:t>
            </w:r>
          </w:p>
        </w:tc>
        <w:tc>
          <w:tcPr>
            <w:tcW w:w="1933" w:type="dxa"/>
          </w:tcPr>
          <w:p w14:paraId="3F1AFB7F" w14:textId="500E1E3F" w:rsidR="00FA311B" w:rsidRPr="00CB2E18" w:rsidRDefault="00CB2E18" w:rsidP="0032671E">
            <w:pPr>
              <w:pStyle w:val="Tabletext1"/>
              <w:ind w:left="34"/>
            </w:pPr>
            <w:r>
              <w:t>0.007</w:t>
            </w:r>
            <w:r>
              <w:rPr>
                <w:vertAlign w:val="superscript"/>
              </w:rPr>
              <w:t>b</w:t>
            </w:r>
          </w:p>
        </w:tc>
      </w:tr>
      <w:tr w:rsidR="00FA311B" w14:paraId="41412D9E" w14:textId="77777777" w:rsidTr="0032671E">
        <w:tc>
          <w:tcPr>
            <w:tcW w:w="1980" w:type="dxa"/>
          </w:tcPr>
          <w:p w14:paraId="6FC4A04E" w14:textId="38FB0C54" w:rsidR="00FA311B" w:rsidRDefault="00092C66" w:rsidP="0032671E">
            <w:pPr>
              <w:pStyle w:val="Tabletext1"/>
              <w:ind w:left="29"/>
            </w:pPr>
            <w:r>
              <w:t xml:space="preserve">OHSS leading to cycle </w:t>
            </w:r>
            <w:r>
              <w:lastRenderedPageBreak/>
              <w:t>cancellation and/or freeze all</w:t>
            </w:r>
            <w:r w:rsidR="0032671E">
              <w:t>, n (%)</w:t>
            </w:r>
          </w:p>
        </w:tc>
        <w:tc>
          <w:tcPr>
            <w:tcW w:w="1559" w:type="dxa"/>
          </w:tcPr>
          <w:p w14:paraId="6546CCB7" w14:textId="15499FFC" w:rsidR="00FA311B" w:rsidRDefault="00CB2E18" w:rsidP="0032671E">
            <w:pPr>
              <w:pStyle w:val="Tabletext1"/>
              <w:ind w:left="34"/>
            </w:pPr>
            <w:r>
              <w:lastRenderedPageBreak/>
              <w:t>24 (6.9)</w:t>
            </w:r>
          </w:p>
        </w:tc>
        <w:tc>
          <w:tcPr>
            <w:tcW w:w="1559" w:type="dxa"/>
          </w:tcPr>
          <w:p w14:paraId="68287666" w14:textId="6C8A0972" w:rsidR="00FA311B" w:rsidRDefault="00CB2E18" w:rsidP="0032671E">
            <w:pPr>
              <w:pStyle w:val="Tabletext1"/>
              <w:ind w:left="34"/>
            </w:pPr>
            <w:r>
              <w:t>10 (2.3%)</w:t>
            </w:r>
          </w:p>
        </w:tc>
        <w:tc>
          <w:tcPr>
            <w:tcW w:w="1985" w:type="dxa"/>
          </w:tcPr>
          <w:p w14:paraId="735312CC" w14:textId="06993CCC" w:rsidR="00FA311B" w:rsidRDefault="00CB2E18" w:rsidP="0032671E">
            <w:pPr>
              <w:pStyle w:val="Tabletext1"/>
              <w:ind w:left="34"/>
            </w:pPr>
            <w:r>
              <w:t>0.002</w:t>
            </w:r>
          </w:p>
        </w:tc>
        <w:tc>
          <w:tcPr>
            <w:tcW w:w="1933" w:type="dxa"/>
          </w:tcPr>
          <w:p w14:paraId="550523F4" w14:textId="3FBE249E" w:rsidR="00FA311B" w:rsidRDefault="00CB2E18" w:rsidP="0032671E">
            <w:pPr>
              <w:pStyle w:val="Tabletext1"/>
              <w:ind w:left="34"/>
            </w:pPr>
            <w:r>
              <w:t>0.004</w:t>
            </w:r>
          </w:p>
        </w:tc>
      </w:tr>
      <w:tr w:rsidR="00FA311B" w14:paraId="45BDE639" w14:textId="77777777" w:rsidTr="0032671E">
        <w:tc>
          <w:tcPr>
            <w:tcW w:w="1980" w:type="dxa"/>
          </w:tcPr>
          <w:p w14:paraId="7C7FE867" w14:textId="1214CA69" w:rsidR="00FA311B" w:rsidRDefault="00092C66" w:rsidP="0032671E">
            <w:pPr>
              <w:pStyle w:val="Tabletext1"/>
              <w:ind w:left="0"/>
            </w:pPr>
            <w:r>
              <w:lastRenderedPageBreak/>
              <w:t>OHSS leading to hospital admission</w:t>
            </w:r>
            <w:r w:rsidR="0032671E">
              <w:t>, n (%)</w:t>
            </w:r>
          </w:p>
        </w:tc>
        <w:tc>
          <w:tcPr>
            <w:tcW w:w="1559" w:type="dxa"/>
          </w:tcPr>
          <w:p w14:paraId="5203A7BC" w14:textId="448B55BF" w:rsidR="00FA311B" w:rsidRDefault="00CB2E18" w:rsidP="0032671E">
            <w:pPr>
              <w:pStyle w:val="Tabletext1"/>
              <w:ind w:left="34"/>
            </w:pPr>
            <w:r>
              <w:t>10 (2.9)</w:t>
            </w:r>
          </w:p>
        </w:tc>
        <w:tc>
          <w:tcPr>
            <w:tcW w:w="1559" w:type="dxa"/>
          </w:tcPr>
          <w:p w14:paraId="7146BBEC" w14:textId="2BD329E1" w:rsidR="00FA311B" w:rsidRDefault="00CB2E18" w:rsidP="0032671E">
            <w:pPr>
              <w:pStyle w:val="Tabletext1"/>
              <w:ind w:left="34"/>
            </w:pPr>
            <w:r>
              <w:t>5 (1.2%)</w:t>
            </w:r>
          </w:p>
        </w:tc>
        <w:tc>
          <w:tcPr>
            <w:tcW w:w="1985" w:type="dxa"/>
          </w:tcPr>
          <w:p w14:paraId="41A44AC4" w14:textId="5EFA571B" w:rsidR="00FA311B" w:rsidRDefault="00CB2E18" w:rsidP="0032671E">
            <w:pPr>
              <w:pStyle w:val="Tabletext1"/>
              <w:ind w:left="34"/>
            </w:pPr>
            <w:r>
              <w:t>0.12</w:t>
            </w:r>
          </w:p>
        </w:tc>
        <w:tc>
          <w:tcPr>
            <w:tcW w:w="1933" w:type="dxa"/>
          </w:tcPr>
          <w:p w14:paraId="56D508C2" w14:textId="44EC93C1" w:rsidR="00FA311B" w:rsidRDefault="00CB2E18" w:rsidP="0032671E">
            <w:pPr>
              <w:pStyle w:val="Tabletext1"/>
              <w:ind w:left="34"/>
            </w:pPr>
            <w:r>
              <w:t>0.15</w:t>
            </w:r>
          </w:p>
        </w:tc>
      </w:tr>
    </w:tbl>
    <w:p w14:paraId="6BA7B554" w14:textId="606A3E91" w:rsidR="0082391C" w:rsidRPr="00811281" w:rsidRDefault="0082391C" w:rsidP="009C25E2">
      <w:pPr>
        <w:pStyle w:val="Tabletext1"/>
        <w:spacing w:before="0" w:after="0"/>
        <w:rPr>
          <w:sz w:val="18"/>
          <w:szCs w:val="18"/>
        </w:rPr>
      </w:pPr>
      <w:r w:rsidRPr="00811281">
        <w:rPr>
          <w:sz w:val="18"/>
          <w:szCs w:val="18"/>
        </w:rPr>
        <w:t xml:space="preserve">AMH = </w:t>
      </w:r>
      <w:r w:rsidR="00C22392" w:rsidRPr="00811281">
        <w:rPr>
          <w:sz w:val="18"/>
          <w:szCs w:val="18"/>
        </w:rPr>
        <w:t>anti-Müllerian hormone</w:t>
      </w:r>
      <w:r w:rsidR="005276BA" w:rsidRPr="00811281">
        <w:rPr>
          <w:sz w:val="18"/>
          <w:szCs w:val="18"/>
        </w:rPr>
        <w:t>;</w:t>
      </w:r>
      <w:r w:rsidRPr="00811281">
        <w:rPr>
          <w:sz w:val="18"/>
          <w:szCs w:val="18"/>
        </w:rPr>
        <w:t xml:space="preserve"> OHSS = ov</w:t>
      </w:r>
      <w:r w:rsidR="005276BA" w:rsidRPr="00811281">
        <w:rPr>
          <w:sz w:val="18"/>
          <w:szCs w:val="18"/>
        </w:rPr>
        <w:t>arian hyperstimulation syndrome;</w:t>
      </w:r>
      <w:r w:rsidRPr="00811281">
        <w:rPr>
          <w:sz w:val="18"/>
          <w:szCs w:val="18"/>
        </w:rPr>
        <w:t xml:space="preserve"> SD = standard deviation</w:t>
      </w:r>
    </w:p>
    <w:p w14:paraId="75B9053D" w14:textId="1DD0EF09" w:rsidR="00420EC2" w:rsidRPr="00811281" w:rsidRDefault="00FA311B" w:rsidP="009C25E2">
      <w:pPr>
        <w:pStyle w:val="Tabletext1"/>
        <w:spacing w:before="0" w:after="0"/>
        <w:rPr>
          <w:sz w:val="18"/>
          <w:szCs w:val="18"/>
        </w:rPr>
      </w:pPr>
      <w:r w:rsidRPr="00811281">
        <w:rPr>
          <w:sz w:val="18"/>
          <w:szCs w:val="18"/>
          <w:vertAlign w:val="superscript"/>
        </w:rPr>
        <w:t>a</w:t>
      </w:r>
      <w:r w:rsidRPr="00811281">
        <w:rPr>
          <w:sz w:val="18"/>
          <w:szCs w:val="18"/>
        </w:rPr>
        <w:t xml:space="preserve"> adjusted for age, previous pregnancy, male factor, unexplained cause, and for post-transfer end-points, ICSI and number of embryos transferred.</w:t>
      </w:r>
    </w:p>
    <w:p w14:paraId="42ED3100" w14:textId="497B74B6" w:rsidR="00CB2E18" w:rsidRPr="00811281" w:rsidRDefault="00CB2E18" w:rsidP="009C25E2">
      <w:pPr>
        <w:pStyle w:val="Tabletext1"/>
        <w:spacing w:before="0" w:after="0"/>
        <w:rPr>
          <w:sz w:val="18"/>
          <w:szCs w:val="18"/>
        </w:rPr>
      </w:pPr>
      <w:r w:rsidRPr="00811281">
        <w:rPr>
          <w:sz w:val="18"/>
          <w:szCs w:val="18"/>
          <w:vertAlign w:val="superscript"/>
        </w:rPr>
        <w:t>b</w:t>
      </w:r>
      <w:r w:rsidRPr="00811281">
        <w:rPr>
          <w:sz w:val="18"/>
          <w:szCs w:val="18"/>
        </w:rPr>
        <w:t xml:space="preserve"> </w:t>
      </w:r>
      <w:r w:rsidR="0091738D" w:rsidRPr="00811281">
        <w:rPr>
          <w:sz w:val="18"/>
          <w:szCs w:val="18"/>
        </w:rPr>
        <w:t>Mann-Whitney U</w:t>
      </w:r>
      <w:r w:rsidR="00916047">
        <w:rPr>
          <w:sz w:val="18"/>
          <w:szCs w:val="18"/>
        </w:rPr>
        <w:t>-</w:t>
      </w:r>
      <w:r w:rsidR="0091738D" w:rsidRPr="00811281">
        <w:rPr>
          <w:sz w:val="18"/>
          <w:szCs w:val="18"/>
        </w:rPr>
        <w:t>test for unadjusted and ordinary regression analysis for adjusted.</w:t>
      </w:r>
    </w:p>
    <w:p w14:paraId="35844C53" w14:textId="540D567D" w:rsidR="005276BA" w:rsidRPr="00811281" w:rsidRDefault="005276BA" w:rsidP="003F6C90">
      <w:pPr>
        <w:pStyle w:val="Tabletext1"/>
        <w:spacing w:before="0" w:after="240"/>
        <w:rPr>
          <w:sz w:val="18"/>
          <w:szCs w:val="18"/>
        </w:rPr>
      </w:pPr>
      <w:r w:rsidRPr="00811281">
        <w:rPr>
          <w:sz w:val="18"/>
          <w:szCs w:val="18"/>
        </w:rPr>
        <w:t xml:space="preserve">Source: </w:t>
      </w:r>
      <w:r w:rsidRPr="00811281">
        <w:rPr>
          <w:sz w:val="18"/>
          <w:szCs w:val="18"/>
        </w:rPr>
        <w:fldChar w:fldCharType="begin">
          <w:fldData xml:space="preserve">PEVuZE5vdGU+PENpdGU+PEF1dGhvcj5ZYXRlczwvQXV0aG9yPjxZZWFyPjIwMTE8L1llYXI+PFJl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</w:fldData>
        </w:fldChar>
      </w:r>
      <w:r w:rsidRPr="00811281">
        <w:rPr>
          <w:sz w:val="18"/>
          <w:szCs w:val="18"/>
        </w:rPr>
        <w:instrText xml:space="preserve"> ADDIN EN.CITE </w:instrText>
      </w:r>
      <w:r w:rsidRPr="00811281">
        <w:rPr>
          <w:sz w:val="18"/>
          <w:szCs w:val="18"/>
        </w:rPr>
        <w:fldChar w:fldCharType="begin">
          <w:fldData xml:space="preserve">PEVuZE5vdGU+PENpdGU+PEF1dGhvcj5ZYXRlczwvQXV0aG9yPjxZZWFyPjIwMTE8L1llYXI+PFJl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</w:fldData>
        </w:fldChar>
      </w:r>
      <w:r w:rsidRPr="00811281">
        <w:rPr>
          <w:sz w:val="18"/>
          <w:szCs w:val="18"/>
        </w:rPr>
        <w:instrText xml:space="preserve"> ADDIN EN.CITE.DATA </w:instrText>
      </w:r>
      <w:r w:rsidRPr="00811281">
        <w:rPr>
          <w:sz w:val="18"/>
          <w:szCs w:val="18"/>
        </w:rPr>
      </w:r>
      <w:r w:rsidRPr="00811281">
        <w:rPr>
          <w:sz w:val="18"/>
          <w:szCs w:val="18"/>
        </w:rPr>
        <w:fldChar w:fldCharType="end"/>
      </w:r>
      <w:r w:rsidRPr="00811281">
        <w:rPr>
          <w:sz w:val="18"/>
          <w:szCs w:val="18"/>
        </w:rPr>
      </w:r>
      <w:r w:rsidRPr="00811281">
        <w:rPr>
          <w:sz w:val="18"/>
          <w:szCs w:val="18"/>
        </w:rPr>
        <w:fldChar w:fldCharType="separate"/>
      </w:r>
      <w:r w:rsidRPr="00811281">
        <w:rPr>
          <w:noProof/>
          <w:sz w:val="18"/>
          <w:szCs w:val="18"/>
        </w:rPr>
        <w:t>(</w:t>
      </w:r>
      <w:hyperlink w:anchor="_ENREF_77" w:tooltip="Yates, 2011 #372" w:history="1">
        <w:r w:rsidR="00835BA6" w:rsidRPr="00811281">
          <w:rPr>
            <w:noProof/>
            <w:sz w:val="18"/>
            <w:szCs w:val="18"/>
          </w:rPr>
          <w:t>Yates et al. 2011</w:t>
        </w:r>
      </w:hyperlink>
      <w:r w:rsidRPr="00811281">
        <w:rPr>
          <w:noProof/>
          <w:sz w:val="18"/>
          <w:szCs w:val="18"/>
        </w:rPr>
        <w:t>)</w:t>
      </w:r>
      <w:r w:rsidRPr="00811281">
        <w:rPr>
          <w:sz w:val="18"/>
          <w:szCs w:val="18"/>
        </w:rPr>
        <w:fldChar w:fldCharType="end"/>
      </w:r>
      <w:r w:rsidRPr="00811281">
        <w:rPr>
          <w:sz w:val="18"/>
          <w:szCs w:val="18"/>
        </w:rPr>
        <w:t>.</w:t>
      </w:r>
    </w:p>
    <w:p w14:paraId="27DC9922" w14:textId="63C72EA5" w:rsidR="007518CF" w:rsidRDefault="005A3858" w:rsidP="000C354A">
      <w:pPr>
        <w:jc w:val="both"/>
      </w:pPr>
      <w:r>
        <w:t xml:space="preserve">The ESTHER-1 trial </w:t>
      </w:r>
      <w:r w:rsidR="00B6779C">
        <w:t>suggested that AMH testing can be used to individualise the dosage of a new rFSH (follitropin delta).</w:t>
      </w:r>
      <w:r w:rsidR="00B436E3">
        <w:t xml:space="preserve"> The rFSH follitropin delta is currently being assessed by the Pharmaceutical Benefits Advisory Committee for reimbursement in Australia, and if list</w:t>
      </w:r>
      <w:r w:rsidR="00AA17FD">
        <w:t>ed,</w:t>
      </w:r>
      <w:r w:rsidR="00B436E3">
        <w:t xml:space="preserve"> AMH levels will be used to inform the dosage of this hormone.</w:t>
      </w:r>
      <w:r w:rsidR="00B6779C">
        <w:t xml:space="preserve"> The</w:t>
      </w:r>
      <w:r w:rsidR="00A91EEC">
        <w:t xml:space="preserve"> ES</w:t>
      </w:r>
      <w:r w:rsidR="00B436E3">
        <w:t>T</w:t>
      </w:r>
      <w:r w:rsidR="00A91EEC">
        <w:t>H</w:t>
      </w:r>
      <w:r w:rsidR="00B436E3">
        <w:t>ER-1</w:t>
      </w:r>
      <w:r w:rsidR="00B6779C">
        <w:t xml:space="preserve"> study </w:t>
      </w:r>
      <w:r w:rsidR="000C354A">
        <w:t xml:space="preserve">was </w:t>
      </w:r>
      <w:r>
        <w:t xml:space="preserve">a randomised, multicentre trial </w:t>
      </w:r>
      <w:r w:rsidR="000C354A">
        <w:t xml:space="preserve">which </w:t>
      </w:r>
      <w:r>
        <w:t>compare</w:t>
      </w:r>
      <w:r w:rsidR="000C354A">
        <w:t>d</w:t>
      </w:r>
      <w:r>
        <w:t xml:space="preserve"> the efficacy and safety of follitropin delta</w:t>
      </w:r>
      <w:r w:rsidR="00B436E3">
        <w:t xml:space="preserve"> </w:t>
      </w:r>
      <w:r>
        <w:t>with individualised dosing based on AMH and body weight, with conventional follitropin alfa dosing for ovarian stimulation in women undergoing IVF</w:t>
      </w:r>
      <w:r w:rsidR="00415CCC">
        <w:t xml:space="preserve"> </w:t>
      </w:r>
      <w:r w:rsidR="00A109BA">
        <w:fldChar w:fldCharType="begin">
          <w:fldData xml:space="preserve">PEVuZE5vdGU+PENpdGU+PEF1dGhvcj5OeWJvZSBBbmRlcnNlbjwvQXV0aG9yPjxZZWFyPjIwMTc8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</w:fldData>
        </w:fldChar>
      </w:r>
      <w:r w:rsidR="00577E24">
        <w:instrText xml:space="preserve"> ADDIN EN.CITE </w:instrText>
      </w:r>
      <w:r w:rsidR="00577E24">
        <w:fldChar w:fldCharType="begin">
          <w:fldData xml:space="preserve">PEVuZE5vdGU+PENpdGU+PEF1dGhvcj5OeWJvZSBBbmRlcnNlbjwvQXV0aG9yPjxZZWFyPjIwMTc8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</w:fldData>
        </w:fldChar>
      </w:r>
      <w:r w:rsidR="00577E24">
        <w:instrText xml:space="preserve"> ADDIN EN.CITE.DATA </w:instrText>
      </w:r>
      <w:r w:rsidR="00577E24">
        <w:fldChar w:fldCharType="end"/>
      </w:r>
      <w:r w:rsidR="00A109BA">
        <w:fldChar w:fldCharType="separate"/>
      </w:r>
      <w:r w:rsidR="00A109BA">
        <w:rPr>
          <w:noProof/>
        </w:rPr>
        <w:t>(</w:t>
      </w:r>
      <w:hyperlink w:anchor="_ENREF_49" w:tooltip="Nyboe Andersen, 2017 #276" w:history="1">
        <w:r w:rsidR="00835BA6">
          <w:rPr>
            <w:noProof/>
          </w:rPr>
          <w:t>Nyboe Andersen et al. 2017</w:t>
        </w:r>
      </w:hyperlink>
      <w:r w:rsidR="00A109BA">
        <w:rPr>
          <w:noProof/>
        </w:rPr>
        <w:t>)</w:t>
      </w:r>
      <w:r w:rsidR="00A109BA">
        <w:fldChar w:fldCharType="end"/>
      </w:r>
      <w:r>
        <w:t>.</w:t>
      </w:r>
      <w:r w:rsidR="00415CCC">
        <w:t xml:space="preserve"> The </w:t>
      </w:r>
      <w:r w:rsidR="008A1CE9">
        <w:t>RCT</w:t>
      </w:r>
      <w:r w:rsidR="00415CCC">
        <w:t xml:space="preserve"> was conducted at 37 different locations in 11 different countries</w:t>
      </w:r>
      <w:r w:rsidR="007A2F2C">
        <w:t xml:space="preserve"> (Belgium, Brazil, Canada, Czech Republic, Denmark, France, Italy, Poland, Russia, Spain, and United Kingdom)</w:t>
      </w:r>
      <w:r w:rsidR="00415CCC">
        <w:t xml:space="preserve">. </w:t>
      </w:r>
      <w:r w:rsidR="008A1CE9">
        <w:t>Women in the intervention group were randomised to a fixed subcutaneous dose of follitropin delta, determined by their serum</w:t>
      </w:r>
      <w:r w:rsidR="00AA17FD">
        <w:t xml:space="preserve"> AMH level at screening </w:t>
      </w:r>
      <w:r w:rsidR="008A1CE9">
        <w:t xml:space="preserve">using the automated Elecsys AMH Immunoassay by </w:t>
      </w:r>
      <w:r w:rsidR="00AA17FD">
        <w:t>Roche Diagnostics International</w:t>
      </w:r>
      <w:r w:rsidR="008A1CE9">
        <w:t xml:space="preserve"> and body weight (AMH &lt;15 pmol/L: 12 µg; AMH ≥15 pmol/L: 0.10–0.19 µg/kg; the maximum daily dose was 12 µg). Women randomised to follitropin alpha received a daily subcutaneous dose </w:t>
      </w:r>
      <w:r w:rsidR="00AA17FD">
        <w:t>of 150 IU (11 µg) in the first five</w:t>
      </w:r>
      <w:r w:rsidR="008A1CE9">
        <w:t xml:space="preserve"> days, not determined by ovarian reserve tests or other factors. After </w:t>
      </w:r>
      <w:r w:rsidR="00AA17FD">
        <w:t>five</w:t>
      </w:r>
      <w:r w:rsidR="00860CC5">
        <w:t xml:space="preserve"> days the dose could be adjusted based on follicular response, with 450 IU </w:t>
      </w:r>
      <w:r w:rsidR="00AA17FD">
        <w:t xml:space="preserve">set </w:t>
      </w:r>
      <w:r w:rsidR="00860CC5">
        <w:t>as the maximum dose. All pregnancies were follo</w:t>
      </w:r>
      <w:r w:rsidR="00AA17FD">
        <w:t>wed until four</w:t>
      </w:r>
      <w:r w:rsidR="00860CC5">
        <w:t xml:space="preserve"> weeks after live birth. The main baseline characteristics were similar in both intervention groups. The main outcomes per group are shown in </w:t>
      </w:r>
      <w:r w:rsidR="007743CC">
        <w:fldChar w:fldCharType="begin"/>
      </w:r>
      <w:r w:rsidR="007743CC">
        <w:instrText xml:space="preserve"> REF _Ref496102007 \h </w:instrText>
      </w:r>
      <w:r w:rsidR="007743CC">
        <w:fldChar w:fldCharType="separate"/>
      </w:r>
      <w:r w:rsidR="00AC4BE5">
        <w:t xml:space="preserve">Table </w:t>
      </w:r>
      <w:r w:rsidR="00AC4BE5">
        <w:rPr>
          <w:noProof/>
        </w:rPr>
        <w:t>59</w:t>
      </w:r>
      <w:r w:rsidR="007743CC">
        <w:fldChar w:fldCharType="end"/>
      </w:r>
      <w:r w:rsidR="007743CC">
        <w:t>.</w:t>
      </w:r>
      <w:r w:rsidR="00B2655D">
        <w:t xml:space="preserve"> No significant differences were observed in pregnancy, live birth or implantation outcomes between intervention groups.</w:t>
      </w:r>
      <w:r w:rsidR="000C354A" w:rsidRPr="000C354A">
        <w:t xml:space="preserve"> </w:t>
      </w:r>
      <w:r w:rsidR="000C354A">
        <w:t>There were no significant differences between treatment groups in terms of oocytes retrieved. However, among women w</w:t>
      </w:r>
      <w:r w:rsidR="00AA17FD">
        <w:t>ith an AMH level of &lt;15 pmol/L, i.e. potential hypo-responders,</w:t>
      </w:r>
      <w:r w:rsidR="000C354A">
        <w:t xml:space="preserve"> individualised follitropin delta was associated with more</w:t>
      </w:r>
      <w:r w:rsidR="00846BA5">
        <w:t xml:space="preserve"> oocytes (8.0 compared to 7.0; p=</w:t>
      </w:r>
      <w:r w:rsidR="000C354A">
        <w:t xml:space="preserve">0.004). In women with an AMH of </w:t>
      </w:r>
      <w:r w:rsidR="003B42B2">
        <w:t>≥</w:t>
      </w:r>
      <w:r w:rsidR="000C354A">
        <w:t>15 pmol/L, individualised follitropin delta was associated with a lower oocyte</w:t>
      </w:r>
      <w:r w:rsidR="00846BA5">
        <w:t xml:space="preserve"> yield (11.6 compared to 13.3; p=</w:t>
      </w:r>
      <w:r w:rsidR="000C354A">
        <w:t>0.002). The individualised dosage group also had fewer women requiring OHSS preventive measures.</w:t>
      </w:r>
    </w:p>
    <w:p w14:paraId="707A78A0" w14:textId="1798E384" w:rsidR="00B2655D" w:rsidRDefault="00B2655D" w:rsidP="00B2655D">
      <w:pPr>
        <w:pStyle w:val="Caption"/>
        <w:keepNext/>
      </w:pPr>
      <w:bookmarkStart w:id="368" w:name="_Ref496102007"/>
      <w:bookmarkStart w:id="369" w:name="_Toc502833077"/>
      <w:r>
        <w:t xml:space="preserve">Table </w:t>
      </w:r>
      <w:r w:rsidR="00AC4BE5">
        <w:fldChar w:fldCharType="begin"/>
      </w:r>
      <w:r w:rsidR="00AC4BE5">
        <w:instrText xml:space="preserve"> SEQ Table \* ARABIC </w:instrText>
      </w:r>
      <w:r w:rsidR="00AC4BE5">
        <w:fldChar w:fldCharType="separate"/>
      </w:r>
      <w:r w:rsidR="00AC4BE5">
        <w:rPr>
          <w:noProof/>
        </w:rPr>
        <w:t>59</w:t>
      </w:r>
      <w:r w:rsidR="00AC4BE5">
        <w:rPr>
          <w:noProof/>
        </w:rPr>
        <w:fldChar w:fldCharType="end"/>
      </w:r>
      <w:bookmarkEnd w:id="368"/>
      <w:r w:rsidR="00C407AE">
        <w:tab/>
      </w:r>
      <w:r w:rsidR="009C656C">
        <w:t>Outcomes</w:t>
      </w:r>
      <w:r>
        <w:t xml:space="preserve"> after individualised</w:t>
      </w:r>
      <w:r>
        <w:rPr>
          <w:noProof/>
        </w:rPr>
        <w:t xml:space="preserve"> follitropin delta use compared to standard follitropin alpha use</w:t>
      </w:r>
      <w:bookmarkEnd w:id="369"/>
    </w:p>
    <w:tbl>
      <w:tblPr>
        <w:tblStyle w:val="TableGrid"/>
        <w:tblW w:w="9209" w:type="dxa"/>
        <w:tblLook w:val="04A0" w:firstRow="1" w:lastRow="0" w:firstColumn="1" w:lastColumn="0" w:noHBand="0" w:noVBand="1"/>
        <w:tblCaption w:val="Outcomes after individualised follitropin delta use compared to standard follitropin alpha use"/>
        <w:tblDescription w:val="Outcomes after individualised follitropin delta use compared to standard follitropin alpha use"/>
      </w:tblPr>
      <w:tblGrid>
        <w:gridCol w:w="3397"/>
        <w:gridCol w:w="1985"/>
        <w:gridCol w:w="1843"/>
        <w:gridCol w:w="1984"/>
      </w:tblGrid>
      <w:tr w:rsidR="00860CC5" w14:paraId="6737ACE2" w14:textId="77777777" w:rsidTr="00356739">
        <w:trPr>
          <w:tblHeader/>
        </w:trPr>
        <w:tc>
          <w:tcPr>
            <w:tcW w:w="3397" w:type="dxa"/>
          </w:tcPr>
          <w:p w14:paraId="6DCE264C" w14:textId="487D5092" w:rsidR="00860CC5" w:rsidRDefault="00860CC5" w:rsidP="00AA17FD">
            <w:pPr>
              <w:pStyle w:val="Caption"/>
              <w:ind w:left="29"/>
            </w:pPr>
            <w:r>
              <w:t>Outcome per started cycle</w:t>
            </w:r>
          </w:p>
        </w:tc>
        <w:tc>
          <w:tcPr>
            <w:tcW w:w="1985" w:type="dxa"/>
          </w:tcPr>
          <w:p w14:paraId="18A02D8B" w14:textId="1793835B" w:rsidR="00860CC5" w:rsidRPr="00860CC5" w:rsidRDefault="00860CC5" w:rsidP="00AA17FD">
            <w:pPr>
              <w:pStyle w:val="Caption"/>
              <w:ind w:left="34"/>
            </w:pPr>
            <w:r>
              <w:t>Follitropin delta dose based on AMH and body weight (n=665)</w:t>
            </w:r>
          </w:p>
        </w:tc>
        <w:tc>
          <w:tcPr>
            <w:tcW w:w="1843" w:type="dxa"/>
          </w:tcPr>
          <w:p w14:paraId="53FFF1C1" w14:textId="1122F867" w:rsidR="00860CC5" w:rsidRDefault="00860CC5" w:rsidP="00AA17FD">
            <w:pPr>
              <w:pStyle w:val="Caption"/>
              <w:ind w:left="34"/>
            </w:pPr>
            <w:r>
              <w:t>Standard follitropin alpha dose (n=661)</w:t>
            </w:r>
          </w:p>
        </w:tc>
        <w:tc>
          <w:tcPr>
            <w:tcW w:w="1984" w:type="dxa"/>
          </w:tcPr>
          <w:p w14:paraId="1CEA652A" w14:textId="2B471F94" w:rsidR="00860CC5" w:rsidRDefault="00860CC5" w:rsidP="00AA17FD">
            <w:pPr>
              <w:pStyle w:val="Caption"/>
              <w:ind w:left="33"/>
            </w:pPr>
            <w:r>
              <w:t xml:space="preserve">Difference </w:t>
            </w:r>
            <w:r w:rsidR="00A86754">
              <w:t>[</w:t>
            </w:r>
            <w:r>
              <w:t>95%CI</w:t>
            </w:r>
            <w:r w:rsidR="00A86754">
              <w:t>]</w:t>
            </w:r>
            <w:r w:rsidR="00894EFF">
              <w:t xml:space="preserve"> or </w:t>
            </w:r>
            <w:r w:rsidR="006F069F">
              <w:t>p-value</w:t>
            </w:r>
          </w:p>
        </w:tc>
      </w:tr>
      <w:tr w:rsidR="00860CC5" w14:paraId="7EA985C2" w14:textId="77777777" w:rsidTr="00B2655D">
        <w:tc>
          <w:tcPr>
            <w:tcW w:w="3397" w:type="dxa"/>
          </w:tcPr>
          <w:p w14:paraId="0EC825F7" w14:textId="73A51F6D" w:rsidR="00860CC5" w:rsidRDefault="00860CC5" w:rsidP="00AA17FD">
            <w:pPr>
              <w:pStyle w:val="Tabletext1"/>
              <w:ind w:left="29"/>
            </w:pPr>
            <w:r>
              <w:t>Ongoing pregnancy (one viable fetus 10-11 weeks after transfer)</w:t>
            </w:r>
            <w:r w:rsidR="00AA17FD">
              <w:t>, n (%)</w:t>
            </w:r>
          </w:p>
        </w:tc>
        <w:tc>
          <w:tcPr>
            <w:tcW w:w="1985" w:type="dxa"/>
          </w:tcPr>
          <w:p w14:paraId="2F652B94" w14:textId="629335FF" w:rsidR="00860CC5" w:rsidRDefault="001A56D6" w:rsidP="00AA17FD">
            <w:pPr>
              <w:pStyle w:val="Tabletext1"/>
              <w:ind w:left="34"/>
            </w:pPr>
            <w:r>
              <w:t xml:space="preserve">204 </w:t>
            </w:r>
            <w:r w:rsidR="00B2655D">
              <w:t>(30.7)</w:t>
            </w:r>
          </w:p>
        </w:tc>
        <w:tc>
          <w:tcPr>
            <w:tcW w:w="1843" w:type="dxa"/>
          </w:tcPr>
          <w:p w14:paraId="5745A51B" w14:textId="448B718C" w:rsidR="00860CC5" w:rsidRDefault="00B2655D" w:rsidP="00AA17FD">
            <w:pPr>
              <w:pStyle w:val="Tabletext1"/>
              <w:ind w:left="34"/>
            </w:pPr>
            <w:r>
              <w:t>209 (31.6)</w:t>
            </w:r>
          </w:p>
        </w:tc>
        <w:tc>
          <w:tcPr>
            <w:tcW w:w="1984" w:type="dxa"/>
          </w:tcPr>
          <w:p w14:paraId="25DBDC92" w14:textId="207DC2A1" w:rsidR="00860CC5" w:rsidRDefault="00B2655D" w:rsidP="00AA17FD">
            <w:pPr>
              <w:pStyle w:val="Tabletext1"/>
              <w:ind w:left="33"/>
            </w:pPr>
            <w:r>
              <w:t xml:space="preserve">-0.9% </w:t>
            </w:r>
            <w:r w:rsidR="00A86754">
              <w:t>[</w:t>
            </w:r>
            <w:r>
              <w:t>-5.9%</w:t>
            </w:r>
            <w:r w:rsidR="00A86754">
              <w:t xml:space="preserve">, </w:t>
            </w:r>
            <w:r>
              <w:t>4.1%</w:t>
            </w:r>
            <w:r w:rsidR="00A86754">
              <w:t>]</w:t>
            </w:r>
          </w:p>
        </w:tc>
      </w:tr>
      <w:tr w:rsidR="00860CC5" w14:paraId="3F91C79B" w14:textId="77777777" w:rsidTr="00B2655D">
        <w:tc>
          <w:tcPr>
            <w:tcW w:w="3397" w:type="dxa"/>
          </w:tcPr>
          <w:p w14:paraId="5DF055E2" w14:textId="7BA70F44" w:rsidR="00860CC5" w:rsidRDefault="00860CC5" w:rsidP="00AA17FD">
            <w:pPr>
              <w:pStyle w:val="Tabletext1"/>
              <w:ind w:left="29"/>
            </w:pPr>
            <w:r>
              <w:t>Ongoing implan</w:t>
            </w:r>
            <w:r w:rsidR="002F13ED">
              <w:t>t</w:t>
            </w:r>
            <w:r>
              <w:t>ation</w:t>
            </w:r>
            <w:r w:rsidR="00AA17FD">
              <w:t xml:space="preserve">, </w:t>
            </w:r>
            <w:r w:rsidR="001A56D6">
              <w:t xml:space="preserve">number of viable </w:t>
            </w:r>
            <w:r w:rsidR="001A56D6">
              <w:lastRenderedPageBreak/>
              <w:t>fetuses 10-11 weeks after transfer divided by number of blastocysts transferred</w:t>
            </w:r>
            <w:r w:rsidR="00AA17FD">
              <w:t xml:space="preserve"> (%)</w:t>
            </w:r>
          </w:p>
        </w:tc>
        <w:tc>
          <w:tcPr>
            <w:tcW w:w="1985" w:type="dxa"/>
          </w:tcPr>
          <w:p w14:paraId="681B9BA3" w14:textId="1501FB3C" w:rsidR="00860CC5" w:rsidRDefault="00B2655D" w:rsidP="00AA17FD">
            <w:pPr>
              <w:pStyle w:val="Tabletext1"/>
              <w:ind w:left="34"/>
            </w:pPr>
            <w:r>
              <w:lastRenderedPageBreak/>
              <w:t>206/585 (35.2)</w:t>
            </w:r>
          </w:p>
        </w:tc>
        <w:tc>
          <w:tcPr>
            <w:tcW w:w="1843" w:type="dxa"/>
          </w:tcPr>
          <w:p w14:paraId="062EA292" w14:textId="080FD6E9" w:rsidR="00860CC5" w:rsidRDefault="00B2655D" w:rsidP="00AA17FD">
            <w:pPr>
              <w:pStyle w:val="Tabletext1"/>
              <w:ind w:left="34"/>
            </w:pPr>
            <w:r>
              <w:t>209/584 (35.8)</w:t>
            </w:r>
          </w:p>
        </w:tc>
        <w:tc>
          <w:tcPr>
            <w:tcW w:w="1984" w:type="dxa"/>
          </w:tcPr>
          <w:p w14:paraId="461F7329" w14:textId="6B22239F" w:rsidR="00860CC5" w:rsidRDefault="00B2655D" w:rsidP="00AA17FD">
            <w:pPr>
              <w:pStyle w:val="Tabletext1"/>
              <w:ind w:left="33"/>
            </w:pPr>
            <w:r>
              <w:t xml:space="preserve">-0.6% </w:t>
            </w:r>
            <w:r w:rsidR="00A86754">
              <w:t>[</w:t>
            </w:r>
            <w:r>
              <w:t>-6.1</w:t>
            </w:r>
            <w:r w:rsidR="00A86754">
              <w:t>,</w:t>
            </w:r>
            <w:r>
              <w:t xml:space="preserve"> 4.8%</w:t>
            </w:r>
            <w:r w:rsidR="00A86754">
              <w:t>]</w:t>
            </w:r>
          </w:p>
        </w:tc>
      </w:tr>
      <w:tr w:rsidR="00860CC5" w14:paraId="784A9CB6" w14:textId="77777777" w:rsidTr="00B2655D">
        <w:tc>
          <w:tcPr>
            <w:tcW w:w="3397" w:type="dxa"/>
          </w:tcPr>
          <w:p w14:paraId="56A36BBC" w14:textId="7DA67EF5" w:rsidR="00860CC5" w:rsidRDefault="00860CC5" w:rsidP="00AA17FD">
            <w:pPr>
              <w:pStyle w:val="Tabletext1"/>
              <w:ind w:left="29"/>
            </w:pPr>
            <w:r>
              <w:lastRenderedPageBreak/>
              <w:t>Women with live birth</w:t>
            </w:r>
            <w:r w:rsidR="00AA17FD">
              <w:t>, n (%)</w:t>
            </w:r>
          </w:p>
        </w:tc>
        <w:tc>
          <w:tcPr>
            <w:tcW w:w="1985" w:type="dxa"/>
          </w:tcPr>
          <w:p w14:paraId="5668F0C0" w14:textId="17BD68B9" w:rsidR="00860CC5" w:rsidRDefault="00B2655D" w:rsidP="00AA17FD">
            <w:pPr>
              <w:pStyle w:val="Tabletext1"/>
              <w:ind w:left="34"/>
            </w:pPr>
            <w:r>
              <w:t>198 (29.8)</w:t>
            </w:r>
          </w:p>
        </w:tc>
        <w:tc>
          <w:tcPr>
            <w:tcW w:w="1843" w:type="dxa"/>
          </w:tcPr>
          <w:p w14:paraId="12E8CD58" w14:textId="586752A7" w:rsidR="00860CC5" w:rsidRDefault="00B2655D" w:rsidP="00AA17FD">
            <w:pPr>
              <w:pStyle w:val="Tabletext1"/>
              <w:ind w:left="34"/>
            </w:pPr>
            <w:r>
              <w:t>203 (30.7)</w:t>
            </w:r>
          </w:p>
        </w:tc>
        <w:tc>
          <w:tcPr>
            <w:tcW w:w="1984" w:type="dxa"/>
          </w:tcPr>
          <w:p w14:paraId="081A6969" w14:textId="78D44C1F" w:rsidR="00860CC5" w:rsidRDefault="00B2655D" w:rsidP="00AA17FD">
            <w:pPr>
              <w:pStyle w:val="Tabletext1"/>
              <w:ind w:left="33"/>
            </w:pPr>
            <w:r>
              <w:t xml:space="preserve">-0.9% </w:t>
            </w:r>
            <w:r w:rsidR="00A86754">
              <w:t>[</w:t>
            </w:r>
            <w:r>
              <w:t>-5.8</w:t>
            </w:r>
            <w:r w:rsidR="00A86754">
              <w:t>,</w:t>
            </w:r>
            <w:r>
              <w:t xml:space="preserve"> 4.0%</w:t>
            </w:r>
            <w:r w:rsidR="00A86754">
              <w:t>]</w:t>
            </w:r>
          </w:p>
        </w:tc>
      </w:tr>
      <w:tr w:rsidR="00860CC5" w14:paraId="745B2A81" w14:textId="77777777" w:rsidTr="00B2655D">
        <w:tc>
          <w:tcPr>
            <w:tcW w:w="3397" w:type="dxa"/>
          </w:tcPr>
          <w:p w14:paraId="616ADB77" w14:textId="75CF524D" w:rsidR="00860CC5" w:rsidRDefault="00860CC5" w:rsidP="00AA17FD">
            <w:pPr>
              <w:pStyle w:val="Tabletext1"/>
              <w:ind w:left="29"/>
            </w:pPr>
            <w:r>
              <w:t>Women with live neonate at 4 weeks after birth</w:t>
            </w:r>
            <w:r w:rsidR="00AA17FD">
              <w:t>, n (%)</w:t>
            </w:r>
          </w:p>
        </w:tc>
        <w:tc>
          <w:tcPr>
            <w:tcW w:w="1985" w:type="dxa"/>
          </w:tcPr>
          <w:p w14:paraId="5B724D0E" w14:textId="03793E2C" w:rsidR="00860CC5" w:rsidRDefault="00B2655D" w:rsidP="00AA17FD">
            <w:pPr>
              <w:pStyle w:val="Tabletext1"/>
              <w:ind w:left="34"/>
            </w:pPr>
            <w:r>
              <w:t>198 (29.8)</w:t>
            </w:r>
          </w:p>
        </w:tc>
        <w:tc>
          <w:tcPr>
            <w:tcW w:w="1843" w:type="dxa"/>
          </w:tcPr>
          <w:p w14:paraId="4B02F058" w14:textId="5D52C9AB" w:rsidR="00B2655D" w:rsidRDefault="00B2655D" w:rsidP="00AA17FD">
            <w:pPr>
              <w:pStyle w:val="Tabletext1"/>
              <w:ind w:left="34"/>
            </w:pPr>
            <w:r>
              <w:t>201 (30.4)</w:t>
            </w:r>
          </w:p>
        </w:tc>
        <w:tc>
          <w:tcPr>
            <w:tcW w:w="1984" w:type="dxa"/>
          </w:tcPr>
          <w:p w14:paraId="4ACB4D24" w14:textId="31B0EDD1" w:rsidR="00860CC5" w:rsidRDefault="00B2655D" w:rsidP="00AA17FD">
            <w:pPr>
              <w:pStyle w:val="Tabletext1"/>
              <w:ind w:left="33"/>
            </w:pPr>
            <w:r>
              <w:t xml:space="preserve">-0.6% </w:t>
            </w:r>
            <w:r w:rsidR="00A86754">
              <w:t>[</w:t>
            </w:r>
            <w:r>
              <w:t>-5.5%</w:t>
            </w:r>
            <w:r w:rsidR="00A86754">
              <w:t>,</w:t>
            </w:r>
            <w:r>
              <w:t xml:space="preserve"> 4.3%</w:t>
            </w:r>
            <w:r w:rsidR="00A86754">
              <w:t>]</w:t>
            </w:r>
          </w:p>
        </w:tc>
      </w:tr>
      <w:tr w:rsidR="009C656C" w14:paraId="7A5D8041" w14:textId="77777777" w:rsidTr="00B2655D">
        <w:tc>
          <w:tcPr>
            <w:tcW w:w="3397" w:type="dxa"/>
          </w:tcPr>
          <w:p w14:paraId="45226F5D" w14:textId="6D44FE49" w:rsidR="009C656C" w:rsidRDefault="009C656C" w:rsidP="00AA17FD">
            <w:pPr>
              <w:pStyle w:val="Tabletext1"/>
              <w:ind w:left="29"/>
            </w:pPr>
            <w:r>
              <w:t>Extreme ovarian response (</w:t>
            </w:r>
            <w:r w:rsidR="003B42B2">
              <w:t>&lt;</w:t>
            </w:r>
            <w:r>
              <w:t xml:space="preserve">4 or </w:t>
            </w:r>
            <w:r w:rsidR="003B42B2">
              <w:t>≥</w:t>
            </w:r>
            <w:r>
              <w:t>15 oocytes)</w:t>
            </w:r>
            <w:r w:rsidR="00E600FD">
              <w:t>, n (%)</w:t>
            </w:r>
          </w:p>
        </w:tc>
        <w:tc>
          <w:tcPr>
            <w:tcW w:w="1985" w:type="dxa"/>
          </w:tcPr>
          <w:p w14:paraId="551718BA" w14:textId="6BA04BA8" w:rsidR="009C656C" w:rsidRDefault="009C656C" w:rsidP="00AA17FD">
            <w:pPr>
              <w:pStyle w:val="Tabletext1"/>
              <w:ind w:left="34"/>
            </w:pPr>
            <w:r>
              <w:t>169 (26.6)</w:t>
            </w:r>
          </w:p>
        </w:tc>
        <w:tc>
          <w:tcPr>
            <w:tcW w:w="1843" w:type="dxa"/>
          </w:tcPr>
          <w:p w14:paraId="721C7E85" w14:textId="7F8358F9" w:rsidR="009C656C" w:rsidRDefault="00894EFF" w:rsidP="00AA17FD">
            <w:pPr>
              <w:pStyle w:val="Tabletext1"/>
              <w:ind w:left="34"/>
            </w:pPr>
            <w:r>
              <w:t>201 (31.3)</w:t>
            </w:r>
          </w:p>
        </w:tc>
        <w:tc>
          <w:tcPr>
            <w:tcW w:w="1984" w:type="dxa"/>
          </w:tcPr>
          <w:p w14:paraId="4A2EA42F" w14:textId="73FAD8EF" w:rsidR="009C656C" w:rsidRDefault="00894EFF" w:rsidP="00AA17FD">
            <w:pPr>
              <w:pStyle w:val="Tabletext1"/>
              <w:ind w:left="33"/>
            </w:pPr>
            <w:r>
              <w:t>0.001</w:t>
            </w:r>
          </w:p>
        </w:tc>
      </w:tr>
      <w:tr w:rsidR="00894EFF" w14:paraId="47637A52" w14:textId="77777777" w:rsidTr="00B2655D">
        <w:tc>
          <w:tcPr>
            <w:tcW w:w="3397" w:type="dxa"/>
          </w:tcPr>
          <w:p w14:paraId="027E2A01" w14:textId="6CF94CDA" w:rsidR="00894EFF" w:rsidRPr="00894EFF" w:rsidRDefault="00894EFF" w:rsidP="00E600FD">
            <w:pPr>
              <w:pStyle w:val="Tabletext1"/>
              <w:ind w:left="29"/>
            </w:pPr>
            <w:r w:rsidRPr="00894EFF">
              <w:t>Women with AMH &lt;15 pmol/L</w:t>
            </w:r>
            <w:r w:rsidR="00E600FD">
              <w:t>, n</w:t>
            </w:r>
          </w:p>
        </w:tc>
        <w:tc>
          <w:tcPr>
            <w:tcW w:w="1985" w:type="dxa"/>
          </w:tcPr>
          <w:p w14:paraId="3D1E171E" w14:textId="5C467D2A" w:rsidR="00894EFF" w:rsidRDefault="00894EFF" w:rsidP="00AA17FD">
            <w:pPr>
              <w:pStyle w:val="Tabletext1"/>
              <w:ind w:left="34"/>
            </w:pPr>
            <w:r>
              <w:t>280</w:t>
            </w:r>
          </w:p>
        </w:tc>
        <w:tc>
          <w:tcPr>
            <w:tcW w:w="1843" w:type="dxa"/>
          </w:tcPr>
          <w:p w14:paraId="4669C0ED" w14:textId="173C90CC" w:rsidR="00894EFF" w:rsidRDefault="00894EFF" w:rsidP="00AA17FD">
            <w:pPr>
              <w:pStyle w:val="Tabletext1"/>
              <w:ind w:left="34"/>
            </w:pPr>
            <w:r>
              <w:t>290</w:t>
            </w:r>
          </w:p>
        </w:tc>
        <w:tc>
          <w:tcPr>
            <w:tcW w:w="1984" w:type="dxa"/>
          </w:tcPr>
          <w:p w14:paraId="621B2B92" w14:textId="77777777" w:rsidR="00894EFF" w:rsidRDefault="00894EFF" w:rsidP="00AA17FD">
            <w:pPr>
              <w:pStyle w:val="Tabletext1"/>
              <w:ind w:left="33"/>
            </w:pPr>
          </w:p>
        </w:tc>
      </w:tr>
      <w:tr w:rsidR="00894EFF" w14:paraId="3310B9E4" w14:textId="77777777" w:rsidTr="00B2655D">
        <w:tc>
          <w:tcPr>
            <w:tcW w:w="3397" w:type="dxa"/>
          </w:tcPr>
          <w:p w14:paraId="752546C7" w14:textId="12B46864" w:rsidR="00894EFF" w:rsidRPr="00894EFF" w:rsidRDefault="00AA17FD" w:rsidP="00E600FD">
            <w:pPr>
              <w:pStyle w:val="Tabletext1"/>
              <w:tabs>
                <w:tab w:val="left" w:pos="220"/>
              </w:tabs>
              <w:ind w:left="29"/>
              <w:rPr>
                <w:i/>
              </w:rPr>
            </w:pPr>
            <w:r>
              <w:rPr>
                <w:i/>
              </w:rPr>
              <w:tab/>
            </w:r>
            <w:r w:rsidR="00E600FD">
              <w:rPr>
                <w:i/>
              </w:rPr>
              <w:t>Mean number o</w:t>
            </w:r>
            <w:r w:rsidR="00894EFF" w:rsidRPr="00894EFF">
              <w:rPr>
                <w:i/>
              </w:rPr>
              <w:t>ocytes retrieved</w:t>
            </w:r>
            <w:r w:rsidR="00E600FD">
              <w:rPr>
                <w:i/>
              </w:rPr>
              <w:t> ± SD</w:t>
            </w:r>
          </w:p>
        </w:tc>
        <w:tc>
          <w:tcPr>
            <w:tcW w:w="1985" w:type="dxa"/>
          </w:tcPr>
          <w:p w14:paraId="32193E40" w14:textId="0B7CB820" w:rsidR="00894EFF" w:rsidRPr="00894EFF" w:rsidRDefault="00894EFF" w:rsidP="00AA17FD">
            <w:pPr>
              <w:pStyle w:val="Tabletext1"/>
              <w:ind w:left="34"/>
              <w:rPr>
                <w:i/>
              </w:rPr>
            </w:pPr>
            <w:r w:rsidRPr="00894EFF">
              <w:rPr>
                <w:i/>
              </w:rPr>
              <w:t>8.0 ± 4.3</w:t>
            </w:r>
          </w:p>
        </w:tc>
        <w:tc>
          <w:tcPr>
            <w:tcW w:w="1843" w:type="dxa"/>
          </w:tcPr>
          <w:p w14:paraId="0D75DDC4" w14:textId="157BC539" w:rsidR="00894EFF" w:rsidRPr="00894EFF" w:rsidRDefault="00894EFF" w:rsidP="00AA17FD">
            <w:pPr>
              <w:pStyle w:val="Tabletext1"/>
              <w:ind w:left="34"/>
              <w:rPr>
                <w:i/>
              </w:rPr>
            </w:pPr>
            <w:r w:rsidRPr="00894EFF">
              <w:rPr>
                <w:i/>
              </w:rPr>
              <w:t>7.0 ± 3.9</w:t>
            </w:r>
          </w:p>
        </w:tc>
        <w:tc>
          <w:tcPr>
            <w:tcW w:w="1984" w:type="dxa"/>
          </w:tcPr>
          <w:p w14:paraId="7DC96ABC" w14:textId="4849EAD5" w:rsidR="00894EFF" w:rsidRPr="00894EFF" w:rsidRDefault="00894EFF" w:rsidP="00AA17FD">
            <w:pPr>
              <w:pStyle w:val="Tabletext1"/>
              <w:ind w:left="33"/>
              <w:rPr>
                <w:i/>
              </w:rPr>
            </w:pPr>
            <w:r w:rsidRPr="00894EFF">
              <w:rPr>
                <w:i/>
              </w:rPr>
              <w:t>0.004</w:t>
            </w:r>
          </w:p>
        </w:tc>
      </w:tr>
      <w:tr w:rsidR="00894EFF" w14:paraId="3E43220D" w14:textId="77777777" w:rsidTr="00B2655D">
        <w:tc>
          <w:tcPr>
            <w:tcW w:w="3397" w:type="dxa"/>
          </w:tcPr>
          <w:p w14:paraId="1A2FB7FF" w14:textId="55EC678B" w:rsidR="00894EFF" w:rsidRPr="00894EFF" w:rsidRDefault="00AA17FD" w:rsidP="00E600FD">
            <w:pPr>
              <w:pStyle w:val="Tabletext1"/>
              <w:tabs>
                <w:tab w:val="left" w:pos="177"/>
              </w:tabs>
              <w:ind w:left="29"/>
              <w:rPr>
                <w:i/>
              </w:rPr>
            </w:pPr>
            <w:r>
              <w:rPr>
                <w:i/>
              </w:rPr>
              <w:tab/>
            </w:r>
            <w:r w:rsidR="00894EFF" w:rsidRPr="00894EFF">
              <w:rPr>
                <w:i/>
              </w:rPr>
              <w:t>Poor responders (</w:t>
            </w:r>
            <w:r w:rsidR="003B42B2">
              <w:rPr>
                <w:i/>
              </w:rPr>
              <w:t>&lt;</w:t>
            </w:r>
            <w:r w:rsidR="00894EFF" w:rsidRPr="00894EFF">
              <w:rPr>
                <w:i/>
              </w:rPr>
              <w:t>4 oocytes)</w:t>
            </w:r>
            <w:r w:rsidR="00E600FD">
              <w:rPr>
                <w:i/>
              </w:rPr>
              <w:t>, n (%)</w:t>
            </w:r>
          </w:p>
        </w:tc>
        <w:tc>
          <w:tcPr>
            <w:tcW w:w="1985" w:type="dxa"/>
          </w:tcPr>
          <w:p w14:paraId="33B26CD5" w14:textId="2E158405" w:rsidR="00894EFF" w:rsidRPr="00894EFF" w:rsidRDefault="00894EFF" w:rsidP="00AA17FD">
            <w:pPr>
              <w:pStyle w:val="Tabletext1"/>
              <w:ind w:left="34"/>
              <w:rPr>
                <w:i/>
              </w:rPr>
            </w:pPr>
            <w:r>
              <w:rPr>
                <w:i/>
              </w:rPr>
              <w:t>33 (11.8)</w:t>
            </w:r>
          </w:p>
        </w:tc>
        <w:tc>
          <w:tcPr>
            <w:tcW w:w="1843" w:type="dxa"/>
          </w:tcPr>
          <w:p w14:paraId="5F05EDE3" w14:textId="0A76766E" w:rsidR="00894EFF" w:rsidRPr="00894EFF" w:rsidRDefault="00894EFF" w:rsidP="00AA17FD">
            <w:pPr>
              <w:pStyle w:val="Tabletext1"/>
              <w:ind w:left="34"/>
              <w:rPr>
                <w:i/>
              </w:rPr>
            </w:pPr>
            <w:r>
              <w:rPr>
                <w:i/>
              </w:rPr>
              <w:t>52 (17.9)</w:t>
            </w:r>
          </w:p>
        </w:tc>
        <w:tc>
          <w:tcPr>
            <w:tcW w:w="1984" w:type="dxa"/>
          </w:tcPr>
          <w:p w14:paraId="0183F463" w14:textId="73AA4835" w:rsidR="00894EFF" w:rsidRPr="00894EFF" w:rsidRDefault="00894EFF" w:rsidP="00AA17FD">
            <w:pPr>
              <w:pStyle w:val="Tabletext1"/>
              <w:ind w:left="33"/>
              <w:rPr>
                <w:i/>
              </w:rPr>
            </w:pPr>
            <w:r>
              <w:rPr>
                <w:i/>
              </w:rPr>
              <w:t>0.039</w:t>
            </w:r>
          </w:p>
        </w:tc>
      </w:tr>
      <w:tr w:rsidR="00894EFF" w:rsidRPr="00894EFF" w14:paraId="3B2AD9BB" w14:textId="77777777" w:rsidTr="00B2655D">
        <w:tc>
          <w:tcPr>
            <w:tcW w:w="3397" w:type="dxa"/>
          </w:tcPr>
          <w:p w14:paraId="03C4D0BC" w14:textId="7DAA1FCA" w:rsidR="00894EFF" w:rsidRPr="00894EFF" w:rsidRDefault="00894EFF" w:rsidP="00E600FD">
            <w:pPr>
              <w:pStyle w:val="Tabletext1"/>
              <w:ind w:left="29"/>
            </w:pPr>
            <w:r>
              <w:t xml:space="preserve">Women with AMH </w:t>
            </w:r>
            <w:r w:rsidR="003B42B2">
              <w:t>≥</w:t>
            </w:r>
            <w:r w:rsidRPr="00894EFF">
              <w:t>15 pmol/L</w:t>
            </w:r>
            <w:r w:rsidR="00E600FD">
              <w:t>, n</w:t>
            </w:r>
          </w:p>
        </w:tc>
        <w:tc>
          <w:tcPr>
            <w:tcW w:w="1985" w:type="dxa"/>
          </w:tcPr>
          <w:p w14:paraId="30886F79" w14:textId="5361E6F7" w:rsidR="00894EFF" w:rsidRPr="00894EFF" w:rsidRDefault="00894EFF" w:rsidP="00AA17FD">
            <w:pPr>
              <w:pStyle w:val="Tabletext1"/>
              <w:ind w:left="34"/>
            </w:pPr>
            <w:r>
              <w:t>355</w:t>
            </w:r>
          </w:p>
        </w:tc>
        <w:tc>
          <w:tcPr>
            <w:tcW w:w="1843" w:type="dxa"/>
          </w:tcPr>
          <w:p w14:paraId="7D29511E" w14:textId="6DE67622" w:rsidR="00894EFF" w:rsidRPr="00894EFF" w:rsidRDefault="00894EFF" w:rsidP="00AA17FD">
            <w:pPr>
              <w:pStyle w:val="Tabletext1"/>
              <w:ind w:left="34"/>
            </w:pPr>
            <w:r>
              <w:t>353</w:t>
            </w:r>
          </w:p>
        </w:tc>
        <w:tc>
          <w:tcPr>
            <w:tcW w:w="1984" w:type="dxa"/>
          </w:tcPr>
          <w:p w14:paraId="3519D5C6" w14:textId="77777777" w:rsidR="00894EFF" w:rsidRPr="00894EFF" w:rsidRDefault="00894EFF" w:rsidP="00AA17FD">
            <w:pPr>
              <w:pStyle w:val="Tabletext1"/>
              <w:ind w:left="33"/>
            </w:pPr>
          </w:p>
        </w:tc>
      </w:tr>
      <w:tr w:rsidR="00872AA2" w:rsidRPr="00872AA2" w14:paraId="5AD7C0EA" w14:textId="77777777" w:rsidTr="00B2655D">
        <w:tc>
          <w:tcPr>
            <w:tcW w:w="3397" w:type="dxa"/>
          </w:tcPr>
          <w:p w14:paraId="4D3C5C9E" w14:textId="029293AE" w:rsidR="00872AA2" w:rsidRPr="00872AA2" w:rsidRDefault="00AA17FD" w:rsidP="00AA17FD">
            <w:pPr>
              <w:pStyle w:val="Tabletext1"/>
              <w:tabs>
                <w:tab w:val="left" w:pos="188"/>
              </w:tabs>
              <w:ind w:left="29"/>
              <w:rPr>
                <w:i/>
              </w:rPr>
            </w:pPr>
            <w:r>
              <w:rPr>
                <w:i/>
              </w:rPr>
              <w:tab/>
            </w:r>
            <w:r w:rsidR="00E600FD">
              <w:rPr>
                <w:i/>
              </w:rPr>
              <w:t>Mean number o</w:t>
            </w:r>
            <w:r w:rsidR="00E600FD" w:rsidRPr="00894EFF">
              <w:rPr>
                <w:i/>
              </w:rPr>
              <w:t>ocytes retrieved</w:t>
            </w:r>
            <w:r w:rsidR="00E600FD">
              <w:rPr>
                <w:i/>
              </w:rPr>
              <w:t> ± SD</w:t>
            </w:r>
          </w:p>
        </w:tc>
        <w:tc>
          <w:tcPr>
            <w:tcW w:w="1985" w:type="dxa"/>
          </w:tcPr>
          <w:p w14:paraId="1FB9E65A" w14:textId="448181A2" w:rsidR="00872AA2" w:rsidRPr="00872AA2" w:rsidRDefault="00872AA2" w:rsidP="00AA17FD">
            <w:pPr>
              <w:pStyle w:val="Tabletext1"/>
              <w:ind w:left="34"/>
              <w:rPr>
                <w:i/>
              </w:rPr>
            </w:pPr>
            <w:r w:rsidRPr="00872AA2">
              <w:rPr>
                <w:i/>
              </w:rPr>
              <w:t xml:space="preserve">11.6 ± </w:t>
            </w:r>
            <w:r>
              <w:rPr>
                <w:i/>
              </w:rPr>
              <w:t>5.9</w:t>
            </w:r>
          </w:p>
        </w:tc>
        <w:tc>
          <w:tcPr>
            <w:tcW w:w="1843" w:type="dxa"/>
          </w:tcPr>
          <w:p w14:paraId="39C6D314" w14:textId="5B9F5856" w:rsidR="00872AA2" w:rsidRPr="00872AA2" w:rsidRDefault="00872AA2" w:rsidP="00AA17FD">
            <w:pPr>
              <w:pStyle w:val="Tabletext1"/>
              <w:ind w:left="34"/>
              <w:rPr>
                <w:i/>
              </w:rPr>
            </w:pPr>
            <w:r>
              <w:rPr>
                <w:i/>
              </w:rPr>
              <w:t>13.3 ± 6.9</w:t>
            </w:r>
          </w:p>
        </w:tc>
        <w:tc>
          <w:tcPr>
            <w:tcW w:w="1984" w:type="dxa"/>
          </w:tcPr>
          <w:p w14:paraId="1B9C6B94" w14:textId="0B0CD3A8" w:rsidR="00872AA2" w:rsidRPr="00872AA2" w:rsidRDefault="00872AA2" w:rsidP="00AA17FD">
            <w:pPr>
              <w:pStyle w:val="Tabletext1"/>
              <w:ind w:left="33"/>
              <w:rPr>
                <w:i/>
              </w:rPr>
            </w:pPr>
            <w:r>
              <w:rPr>
                <w:i/>
              </w:rPr>
              <w:t>0.002</w:t>
            </w:r>
          </w:p>
        </w:tc>
      </w:tr>
      <w:tr w:rsidR="00872AA2" w:rsidRPr="00872AA2" w14:paraId="01FCC04E" w14:textId="77777777" w:rsidTr="00872AA2">
        <w:tc>
          <w:tcPr>
            <w:tcW w:w="3397" w:type="dxa"/>
            <w:tcBorders>
              <w:bottom w:val="single" w:sz="4" w:space="0" w:color="auto"/>
            </w:tcBorders>
          </w:tcPr>
          <w:p w14:paraId="3D37358E" w14:textId="410ED404" w:rsidR="00872AA2" w:rsidRPr="00872AA2" w:rsidRDefault="00AA17FD" w:rsidP="00E600FD">
            <w:pPr>
              <w:pStyle w:val="Tabletext1"/>
              <w:tabs>
                <w:tab w:val="left" w:pos="188"/>
              </w:tabs>
              <w:ind w:left="29"/>
              <w:rPr>
                <w:i/>
              </w:rPr>
            </w:pPr>
            <w:r>
              <w:rPr>
                <w:i/>
              </w:rPr>
              <w:tab/>
            </w:r>
            <w:r w:rsidR="00872AA2" w:rsidRPr="00872AA2">
              <w:rPr>
                <w:i/>
              </w:rPr>
              <w:t>Excessive responders (≥15 oocytes)</w:t>
            </w:r>
            <w:r w:rsidR="00E600FD">
              <w:rPr>
                <w:i/>
              </w:rPr>
              <w:t>, n (%)</w:t>
            </w:r>
          </w:p>
        </w:tc>
        <w:tc>
          <w:tcPr>
            <w:tcW w:w="1985" w:type="dxa"/>
            <w:tcBorders>
              <w:bottom w:val="single" w:sz="4" w:space="0" w:color="auto"/>
            </w:tcBorders>
          </w:tcPr>
          <w:p w14:paraId="0A0E56D1" w14:textId="4C382119" w:rsidR="00872AA2" w:rsidRPr="00872AA2" w:rsidRDefault="00872AA2" w:rsidP="00E600FD">
            <w:pPr>
              <w:pStyle w:val="Tabletext1"/>
              <w:ind w:left="34"/>
              <w:rPr>
                <w:i/>
              </w:rPr>
            </w:pPr>
            <w:r>
              <w:rPr>
                <w:i/>
              </w:rPr>
              <w:t>99 (27.9)</w:t>
            </w:r>
          </w:p>
        </w:tc>
        <w:tc>
          <w:tcPr>
            <w:tcW w:w="1843" w:type="dxa"/>
            <w:tcBorders>
              <w:bottom w:val="single" w:sz="4" w:space="0" w:color="auto"/>
            </w:tcBorders>
          </w:tcPr>
          <w:p w14:paraId="63253550" w14:textId="205AA057" w:rsidR="00872AA2" w:rsidRPr="00872AA2" w:rsidRDefault="00872AA2" w:rsidP="00AA17FD">
            <w:pPr>
              <w:pStyle w:val="Tabletext1"/>
              <w:ind w:left="34"/>
              <w:rPr>
                <w:i/>
              </w:rPr>
            </w:pPr>
            <w:r>
              <w:rPr>
                <w:i/>
              </w:rPr>
              <w:t>124 (35.1)</w:t>
            </w:r>
          </w:p>
        </w:tc>
        <w:tc>
          <w:tcPr>
            <w:tcW w:w="1984" w:type="dxa"/>
            <w:tcBorders>
              <w:bottom w:val="single" w:sz="4" w:space="0" w:color="auto"/>
            </w:tcBorders>
          </w:tcPr>
          <w:p w14:paraId="257B3068" w14:textId="78D3FFBC" w:rsidR="00872AA2" w:rsidRPr="00872AA2" w:rsidRDefault="00872AA2" w:rsidP="00AA17FD">
            <w:pPr>
              <w:pStyle w:val="Tabletext1"/>
              <w:ind w:left="33"/>
              <w:rPr>
                <w:i/>
              </w:rPr>
            </w:pPr>
            <w:r>
              <w:rPr>
                <w:i/>
              </w:rPr>
              <w:t>0.038</w:t>
            </w:r>
          </w:p>
        </w:tc>
      </w:tr>
      <w:tr w:rsidR="00872AA2" w:rsidRPr="00872AA2" w14:paraId="546E4667" w14:textId="77777777" w:rsidTr="00872AA2">
        <w:tc>
          <w:tcPr>
            <w:tcW w:w="3397" w:type="dxa"/>
            <w:tcBorders>
              <w:top w:val="single" w:sz="4" w:space="0" w:color="auto"/>
              <w:left w:val="single" w:sz="4" w:space="0" w:color="auto"/>
              <w:bottom w:val="single" w:sz="4" w:space="0" w:color="auto"/>
              <w:right w:val="nil"/>
            </w:tcBorders>
          </w:tcPr>
          <w:p w14:paraId="5EC0563D" w14:textId="5AB99675" w:rsidR="00872AA2" w:rsidRPr="00872AA2" w:rsidRDefault="00872AA2" w:rsidP="00AA17FD">
            <w:pPr>
              <w:pStyle w:val="Tabletext1"/>
              <w:ind w:left="29"/>
              <w:rPr>
                <w:b/>
              </w:rPr>
            </w:pPr>
            <w:r w:rsidRPr="00872AA2">
              <w:rPr>
                <w:b/>
              </w:rPr>
              <w:t>Safety outcomes</w:t>
            </w:r>
          </w:p>
        </w:tc>
        <w:tc>
          <w:tcPr>
            <w:tcW w:w="1985" w:type="dxa"/>
            <w:tcBorders>
              <w:top w:val="single" w:sz="4" w:space="0" w:color="auto"/>
              <w:left w:val="nil"/>
              <w:bottom w:val="single" w:sz="4" w:space="0" w:color="auto"/>
              <w:right w:val="nil"/>
            </w:tcBorders>
          </w:tcPr>
          <w:p w14:paraId="13B94179" w14:textId="77777777" w:rsidR="00872AA2" w:rsidRPr="00872AA2" w:rsidRDefault="00872AA2" w:rsidP="00AA17FD">
            <w:pPr>
              <w:pStyle w:val="Tabletext1"/>
              <w:ind w:left="34"/>
              <w:rPr>
                <w:b/>
                <w:i/>
              </w:rPr>
            </w:pPr>
          </w:p>
        </w:tc>
        <w:tc>
          <w:tcPr>
            <w:tcW w:w="1843" w:type="dxa"/>
            <w:tcBorders>
              <w:top w:val="single" w:sz="4" w:space="0" w:color="auto"/>
              <w:left w:val="nil"/>
              <w:bottom w:val="single" w:sz="4" w:space="0" w:color="auto"/>
              <w:right w:val="nil"/>
            </w:tcBorders>
          </w:tcPr>
          <w:p w14:paraId="4511743B" w14:textId="77777777" w:rsidR="00872AA2" w:rsidRPr="00872AA2" w:rsidRDefault="00872AA2" w:rsidP="00AA17FD">
            <w:pPr>
              <w:pStyle w:val="Tabletext1"/>
              <w:ind w:left="34"/>
              <w:rPr>
                <w:b/>
                <w:i/>
              </w:rPr>
            </w:pPr>
          </w:p>
        </w:tc>
        <w:tc>
          <w:tcPr>
            <w:tcW w:w="1984" w:type="dxa"/>
            <w:tcBorders>
              <w:top w:val="single" w:sz="4" w:space="0" w:color="auto"/>
              <w:left w:val="nil"/>
              <w:bottom w:val="single" w:sz="4" w:space="0" w:color="auto"/>
              <w:right w:val="single" w:sz="4" w:space="0" w:color="auto"/>
            </w:tcBorders>
          </w:tcPr>
          <w:p w14:paraId="49A4DAE4" w14:textId="77777777" w:rsidR="00872AA2" w:rsidRPr="00872AA2" w:rsidRDefault="00872AA2" w:rsidP="00AA17FD">
            <w:pPr>
              <w:pStyle w:val="Tabletext1"/>
              <w:ind w:left="33"/>
              <w:rPr>
                <w:b/>
                <w:i/>
              </w:rPr>
            </w:pPr>
          </w:p>
        </w:tc>
      </w:tr>
      <w:tr w:rsidR="00872AA2" w:rsidRPr="00872AA2" w14:paraId="1D91B3E7" w14:textId="77777777" w:rsidTr="00872AA2">
        <w:tc>
          <w:tcPr>
            <w:tcW w:w="3397" w:type="dxa"/>
            <w:tcBorders>
              <w:top w:val="single" w:sz="4" w:space="0" w:color="auto"/>
            </w:tcBorders>
          </w:tcPr>
          <w:p w14:paraId="6EA707AA" w14:textId="7DBBBEE8" w:rsidR="00872AA2" w:rsidRPr="00872AA2" w:rsidRDefault="00872AA2" w:rsidP="00AA17FD">
            <w:pPr>
              <w:pStyle w:val="Tabletext1"/>
              <w:ind w:left="29"/>
            </w:pPr>
            <w:r>
              <w:t>Prevent</w:t>
            </w:r>
            <w:r w:rsidRPr="00872AA2">
              <w:t>ive interventions</w:t>
            </w:r>
            <w:r w:rsidR="00AA17FD">
              <w:t>, n (%)</w:t>
            </w:r>
          </w:p>
        </w:tc>
        <w:tc>
          <w:tcPr>
            <w:tcW w:w="1985" w:type="dxa"/>
            <w:tcBorders>
              <w:top w:val="single" w:sz="4" w:space="0" w:color="auto"/>
            </w:tcBorders>
          </w:tcPr>
          <w:p w14:paraId="18DDEF62" w14:textId="4FC5F56F" w:rsidR="00872AA2" w:rsidRPr="00872AA2" w:rsidRDefault="005E6D71" w:rsidP="00E600FD">
            <w:pPr>
              <w:pStyle w:val="Tabletext1"/>
              <w:ind w:left="34"/>
            </w:pPr>
            <w:r>
              <w:t>15 (2.3)</w:t>
            </w:r>
          </w:p>
        </w:tc>
        <w:tc>
          <w:tcPr>
            <w:tcW w:w="1843" w:type="dxa"/>
            <w:tcBorders>
              <w:top w:val="single" w:sz="4" w:space="0" w:color="auto"/>
            </w:tcBorders>
          </w:tcPr>
          <w:p w14:paraId="1535485D" w14:textId="78657644" w:rsidR="00872AA2" w:rsidRPr="00872AA2" w:rsidRDefault="005E6D71" w:rsidP="00AA17FD">
            <w:pPr>
              <w:pStyle w:val="Tabletext1"/>
              <w:ind w:left="34"/>
            </w:pPr>
            <w:r>
              <w:t>30 (4.5)</w:t>
            </w:r>
          </w:p>
        </w:tc>
        <w:tc>
          <w:tcPr>
            <w:tcW w:w="1984" w:type="dxa"/>
            <w:tcBorders>
              <w:top w:val="single" w:sz="4" w:space="0" w:color="auto"/>
            </w:tcBorders>
          </w:tcPr>
          <w:p w14:paraId="3825CF62" w14:textId="46238339" w:rsidR="00872AA2" w:rsidRPr="00872AA2" w:rsidRDefault="005E6D71" w:rsidP="00AA17FD">
            <w:pPr>
              <w:pStyle w:val="Tabletext1"/>
              <w:ind w:left="33"/>
            </w:pPr>
            <w:r>
              <w:t>0.005</w:t>
            </w:r>
          </w:p>
        </w:tc>
      </w:tr>
      <w:tr w:rsidR="00872AA2" w:rsidRPr="00872AA2" w14:paraId="4D6299F8" w14:textId="77777777" w:rsidTr="00B2655D">
        <w:tc>
          <w:tcPr>
            <w:tcW w:w="3397" w:type="dxa"/>
          </w:tcPr>
          <w:p w14:paraId="38A93950" w14:textId="206E23F0" w:rsidR="00872AA2" w:rsidRPr="00872AA2" w:rsidRDefault="00D823A0" w:rsidP="00AA17FD">
            <w:pPr>
              <w:pStyle w:val="Tabletext1"/>
              <w:ind w:left="29"/>
            </w:pPr>
            <w:r>
              <w:t>Early OHSS (any grade)</w:t>
            </w:r>
            <w:r w:rsidR="00AA17FD">
              <w:t>, n (%)</w:t>
            </w:r>
          </w:p>
        </w:tc>
        <w:tc>
          <w:tcPr>
            <w:tcW w:w="1985" w:type="dxa"/>
          </w:tcPr>
          <w:p w14:paraId="4F08725A" w14:textId="677711D3" w:rsidR="00872AA2" w:rsidRPr="00872AA2" w:rsidRDefault="00D823A0" w:rsidP="00AA17FD">
            <w:pPr>
              <w:pStyle w:val="Tabletext1"/>
              <w:ind w:left="34"/>
            </w:pPr>
            <w:r>
              <w:t>17 (2.6)</w:t>
            </w:r>
          </w:p>
        </w:tc>
        <w:tc>
          <w:tcPr>
            <w:tcW w:w="1843" w:type="dxa"/>
          </w:tcPr>
          <w:p w14:paraId="1217BAB1" w14:textId="5DF3C70F" w:rsidR="00872AA2" w:rsidRPr="00872AA2" w:rsidRDefault="00D823A0" w:rsidP="00AA17FD">
            <w:pPr>
              <w:pStyle w:val="Tabletext1"/>
              <w:ind w:left="34"/>
            </w:pPr>
            <w:r>
              <w:t>20 (3.0)</w:t>
            </w:r>
          </w:p>
        </w:tc>
        <w:tc>
          <w:tcPr>
            <w:tcW w:w="1984" w:type="dxa"/>
          </w:tcPr>
          <w:p w14:paraId="3361E388" w14:textId="1005B87C" w:rsidR="00872AA2" w:rsidRPr="00872AA2" w:rsidRDefault="00D823A0" w:rsidP="00AA17FD">
            <w:pPr>
              <w:pStyle w:val="Tabletext1"/>
              <w:ind w:left="33"/>
            </w:pPr>
            <w:r>
              <w:t>0.291</w:t>
            </w:r>
          </w:p>
        </w:tc>
      </w:tr>
      <w:tr w:rsidR="00872AA2" w:rsidRPr="00872AA2" w14:paraId="5392E268" w14:textId="77777777" w:rsidTr="00B2655D">
        <w:tc>
          <w:tcPr>
            <w:tcW w:w="3397" w:type="dxa"/>
          </w:tcPr>
          <w:p w14:paraId="1EEDFDE1" w14:textId="49036CFE" w:rsidR="00872AA2" w:rsidRPr="00872AA2" w:rsidRDefault="00D823A0" w:rsidP="00AA17FD">
            <w:pPr>
              <w:pStyle w:val="Tabletext1"/>
              <w:ind w:left="29"/>
            </w:pPr>
            <w:r>
              <w:t>All OHSS (any grade)</w:t>
            </w:r>
            <w:r w:rsidR="00AA17FD">
              <w:t>, n (%)</w:t>
            </w:r>
          </w:p>
        </w:tc>
        <w:tc>
          <w:tcPr>
            <w:tcW w:w="1985" w:type="dxa"/>
          </w:tcPr>
          <w:p w14:paraId="2B3157D0" w14:textId="6C286A81" w:rsidR="00872AA2" w:rsidRPr="00872AA2" w:rsidRDefault="00D823A0" w:rsidP="00AA17FD">
            <w:pPr>
              <w:pStyle w:val="Tabletext1"/>
              <w:ind w:left="34"/>
            </w:pPr>
            <w:r>
              <w:t>23 (3.5)</w:t>
            </w:r>
          </w:p>
        </w:tc>
        <w:tc>
          <w:tcPr>
            <w:tcW w:w="1843" w:type="dxa"/>
          </w:tcPr>
          <w:p w14:paraId="1F028D72" w14:textId="658AD1D2" w:rsidR="00872AA2" w:rsidRPr="00872AA2" w:rsidRDefault="00D823A0" w:rsidP="00AA17FD">
            <w:pPr>
              <w:pStyle w:val="Tabletext1"/>
              <w:ind w:left="34"/>
            </w:pPr>
            <w:r>
              <w:t>32 (4.8)</w:t>
            </w:r>
          </w:p>
        </w:tc>
        <w:tc>
          <w:tcPr>
            <w:tcW w:w="1984" w:type="dxa"/>
          </w:tcPr>
          <w:p w14:paraId="3FF921CF" w14:textId="56B9F08F" w:rsidR="00872AA2" w:rsidRPr="00872AA2" w:rsidRDefault="00D823A0" w:rsidP="00AA17FD">
            <w:pPr>
              <w:pStyle w:val="Tabletext1"/>
              <w:ind w:left="33"/>
            </w:pPr>
            <w:r>
              <w:t>0.238</w:t>
            </w:r>
          </w:p>
        </w:tc>
      </w:tr>
      <w:tr w:rsidR="00D823A0" w:rsidRPr="00872AA2" w14:paraId="3322DDA5" w14:textId="77777777" w:rsidTr="00B2655D">
        <w:tc>
          <w:tcPr>
            <w:tcW w:w="3397" w:type="dxa"/>
          </w:tcPr>
          <w:p w14:paraId="574A0BE2" w14:textId="4F1C6899" w:rsidR="00D823A0" w:rsidRDefault="00D823A0" w:rsidP="00AA17FD">
            <w:pPr>
              <w:pStyle w:val="Tabletext1"/>
              <w:ind w:left="29"/>
            </w:pPr>
            <w:r>
              <w:t>Hospitalisation due to OHSS</w:t>
            </w:r>
            <w:r w:rsidR="00AA17FD">
              <w:t>, n (%)</w:t>
            </w:r>
          </w:p>
        </w:tc>
        <w:tc>
          <w:tcPr>
            <w:tcW w:w="1985" w:type="dxa"/>
          </w:tcPr>
          <w:p w14:paraId="4EB6C57A" w14:textId="19A041FA" w:rsidR="00D823A0" w:rsidRDefault="00D823A0" w:rsidP="00AA17FD">
            <w:pPr>
              <w:pStyle w:val="Tabletext1"/>
              <w:ind w:left="34"/>
            </w:pPr>
            <w:r>
              <w:t>2 (0.3)</w:t>
            </w:r>
          </w:p>
        </w:tc>
        <w:tc>
          <w:tcPr>
            <w:tcW w:w="1843" w:type="dxa"/>
          </w:tcPr>
          <w:p w14:paraId="54C2B422" w14:textId="340FE1BF" w:rsidR="00D823A0" w:rsidRDefault="00D823A0" w:rsidP="00AA17FD">
            <w:pPr>
              <w:pStyle w:val="Tabletext1"/>
              <w:ind w:left="34"/>
            </w:pPr>
            <w:r>
              <w:t>6 (0.9)</w:t>
            </w:r>
          </w:p>
        </w:tc>
        <w:tc>
          <w:tcPr>
            <w:tcW w:w="1984" w:type="dxa"/>
          </w:tcPr>
          <w:p w14:paraId="4C855BE2" w14:textId="24C29942" w:rsidR="00D823A0" w:rsidRDefault="00D823A0" w:rsidP="00AA17FD">
            <w:pPr>
              <w:pStyle w:val="Tabletext1"/>
              <w:ind w:left="33"/>
            </w:pPr>
            <w:r>
              <w:t>0.108</w:t>
            </w:r>
          </w:p>
        </w:tc>
      </w:tr>
    </w:tbl>
    <w:p w14:paraId="75120670" w14:textId="334BCB43" w:rsidR="007743CC" w:rsidRPr="00811281" w:rsidRDefault="007743CC" w:rsidP="009C25E2">
      <w:pPr>
        <w:pStyle w:val="Tabletext1"/>
        <w:spacing w:before="0" w:after="0"/>
        <w:rPr>
          <w:sz w:val="18"/>
          <w:szCs w:val="18"/>
        </w:rPr>
      </w:pPr>
      <w:r w:rsidRPr="00811281">
        <w:rPr>
          <w:sz w:val="18"/>
          <w:szCs w:val="18"/>
        </w:rPr>
        <w:t xml:space="preserve">AMH = </w:t>
      </w:r>
      <w:r w:rsidR="00C22392" w:rsidRPr="00811281">
        <w:rPr>
          <w:sz w:val="18"/>
          <w:szCs w:val="18"/>
        </w:rPr>
        <w:t>anti-Müllerian hormone</w:t>
      </w:r>
      <w:r w:rsidR="00811281" w:rsidRPr="00811281">
        <w:rPr>
          <w:sz w:val="18"/>
          <w:szCs w:val="18"/>
        </w:rPr>
        <w:t>;</w:t>
      </w:r>
      <w:r w:rsidR="0082391C" w:rsidRPr="00811281">
        <w:rPr>
          <w:sz w:val="18"/>
          <w:szCs w:val="18"/>
        </w:rPr>
        <w:t xml:space="preserve"> </w:t>
      </w:r>
      <w:r w:rsidR="00811281" w:rsidRPr="00811281">
        <w:rPr>
          <w:sz w:val="18"/>
          <w:szCs w:val="18"/>
        </w:rPr>
        <w:t>CI = confidence interval;</w:t>
      </w:r>
      <w:r w:rsidR="004B258B" w:rsidRPr="00811281">
        <w:rPr>
          <w:sz w:val="18"/>
          <w:szCs w:val="18"/>
        </w:rPr>
        <w:t xml:space="preserve"> </w:t>
      </w:r>
      <w:r w:rsidR="0082391C" w:rsidRPr="00811281">
        <w:rPr>
          <w:sz w:val="18"/>
          <w:szCs w:val="18"/>
        </w:rPr>
        <w:t>OHSS = ovarian hyperstimulation syndrome</w:t>
      </w:r>
    </w:p>
    <w:p w14:paraId="4FB15E93" w14:textId="10BDEDFB" w:rsidR="00811281" w:rsidRPr="00811281" w:rsidRDefault="00811281" w:rsidP="009C25E2">
      <w:pPr>
        <w:pStyle w:val="Tabletext1"/>
        <w:spacing w:before="0" w:after="240"/>
        <w:rPr>
          <w:sz w:val="18"/>
          <w:szCs w:val="18"/>
        </w:rPr>
      </w:pPr>
      <w:r w:rsidRPr="00811281">
        <w:rPr>
          <w:sz w:val="18"/>
          <w:szCs w:val="18"/>
        </w:rPr>
        <w:t xml:space="preserve">Source: </w:t>
      </w:r>
      <w:r w:rsidRPr="00811281">
        <w:rPr>
          <w:sz w:val="18"/>
          <w:szCs w:val="18"/>
        </w:rPr>
        <w:fldChar w:fldCharType="begin">
          <w:fldData xml:space="preserve">PEVuZE5vdGU+PENpdGU+PEF1dGhvcj5OeWJvZSBBbmRlcnNlbjwvQXV0aG9yPjxZZWFyPjIwMTc8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</w:fldData>
        </w:fldChar>
      </w:r>
      <w:r w:rsidRPr="00811281">
        <w:rPr>
          <w:sz w:val="18"/>
          <w:szCs w:val="18"/>
        </w:rPr>
        <w:instrText xml:space="preserve"> ADDIN EN.CITE </w:instrText>
      </w:r>
      <w:r w:rsidRPr="00811281">
        <w:rPr>
          <w:sz w:val="18"/>
          <w:szCs w:val="18"/>
        </w:rPr>
        <w:fldChar w:fldCharType="begin">
          <w:fldData xml:space="preserve">PEVuZE5vdGU+PENpdGU+PEF1dGhvcj5OeWJvZSBBbmRlcnNlbjwvQXV0aG9yPjxZZWFyPjIwMTc8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</w:fldData>
        </w:fldChar>
      </w:r>
      <w:r w:rsidRPr="00811281">
        <w:rPr>
          <w:sz w:val="18"/>
          <w:szCs w:val="18"/>
        </w:rPr>
        <w:instrText xml:space="preserve"> ADDIN EN.CITE.DATA </w:instrText>
      </w:r>
      <w:r w:rsidRPr="00811281">
        <w:rPr>
          <w:sz w:val="18"/>
          <w:szCs w:val="18"/>
        </w:rPr>
      </w:r>
      <w:r w:rsidRPr="00811281">
        <w:rPr>
          <w:sz w:val="18"/>
          <w:szCs w:val="18"/>
        </w:rPr>
        <w:fldChar w:fldCharType="end"/>
      </w:r>
      <w:r w:rsidRPr="00811281">
        <w:rPr>
          <w:sz w:val="18"/>
          <w:szCs w:val="18"/>
        </w:rPr>
      </w:r>
      <w:r w:rsidRPr="00811281">
        <w:rPr>
          <w:sz w:val="18"/>
          <w:szCs w:val="18"/>
        </w:rPr>
        <w:fldChar w:fldCharType="separate"/>
      </w:r>
      <w:r w:rsidRPr="00811281">
        <w:rPr>
          <w:noProof/>
          <w:sz w:val="18"/>
          <w:szCs w:val="18"/>
        </w:rPr>
        <w:t>(</w:t>
      </w:r>
      <w:hyperlink w:anchor="_ENREF_49" w:tooltip="Nyboe Andersen, 2017 #276" w:history="1">
        <w:r w:rsidR="00835BA6" w:rsidRPr="00811281">
          <w:rPr>
            <w:noProof/>
            <w:sz w:val="18"/>
            <w:szCs w:val="18"/>
          </w:rPr>
          <w:t>Nyboe Andersen et al. 2017</w:t>
        </w:r>
      </w:hyperlink>
      <w:r w:rsidRPr="00811281">
        <w:rPr>
          <w:noProof/>
          <w:sz w:val="18"/>
          <w:szCs w:val="18"/>
        </w:rPr>
        <w:t>)</w:t>
      </w:r>
      <w:r w:rsidRPr="00811281">
        <w:rPr>
          <w:sz w:val="18"/>
          <w:szCs w:val="18"/>
        </w:rPr>
        <w:fldChar w:fldCharType="end"/>
      </w:r>
    </w:p>
    <w:p w14:paraId="6BC48AE3" w14:textId="0ED4C30B" w:rsidR="00FD6A0B" w:rsidRDefault="00B436E3" w:rsidP="00C2106E">
      <w:pPr>
        <w:jc w:val="both"/>
      </w:pPr>
      <w:r>
        <w:t xml:space="preserve">This evidence corresponds with the recently published </w:t>
      </w:r>
      <w:r w:rsidR="00C3675A">
        <w:t>study</w:t>
      </w:r>
      <w:r>
        <w:t xml:space="preserve"> by the OPTIMIST study group</w:t>
      </w:r>
      <w:r w:rsidR="00C3675A">
        <w:t xml:space="preserve"> </w:t>
      </w:r>
      <w:r w:rsidR="00577E24">
        <w:fldChar w:fldCharType="begin">
          <w:fldData xml:space="preserve">PEVuZE5vdGU+PENpdGU+PEF1dGhvcj52YW4gVGlsYm9yZzwvQXV0aG9yPjxZZWFyPjIwMTc8L1ll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</w:fldData>
        </w:fldChar>
      </w:r>
      <w:r w:rsidR="004308C4">
        <w:instrText xml:space="preserve"> ADDIN EN.CITE </w:instrText>
      </w:r>
      <w:r w:rsidR="004308C4">
        <w:fldChar w:fldCharType="begin">
          <w:fldData xml:space="preserve">PEVuZE5vdGU+PENpdGU+PEF1dGhvcj52YW4gVGlsYm9yZzwvQXV0aG9yPjxZZWFyPjIwMTc8L1ll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</w:fldData>
        </w:fldChar>
      </w:r>
      <w:r w:rsidR="004308C4">
        <w:instrText xml:space="preserve"> ADDIN EN.CITE.DATA </w:instrText>
      </w:r>
      <w:r w:rsidR="004308C4">
        <w:fldChar w:fldCharType="end"/>
      </w:r>
      <w:r w:rsidR="00577E24">
        <w:fldChar w:fldCharType="separate"/>
      </w:r>
      <w:r w:rsidR="00577E24">
        <w:rPr>
          <w:noProof/>
        </w:rPr>
        <w:t>(</w:t>
      </w:r>
      <w:hyperlink w:anchor="_ENREF_73" w:tooltip="van Tilborg, 2017 #399" w:history="1">
        <w:r w:rsidR="00835BA6">
          <w:rPr>
            <w:noProof/>
          </w:rPr>
          <w:t>van Tilborg et al. 2017</w:t>
        </w:r>
      </w:hyperlink>
      <w:r w:rsidR="00577E24">
        <w:rPr>
          <w:noProof/>
        </w:rPr>
        <w:t>)</w:t>
      </w:r>
      <w:r w:rsidR="00577E24">
        <w:fldChar w:fldCharType="end"/>
      </w:r>
      <w:r w:rsidR="004A06E2">
        <w:t>. In this study FSH dosage was based on AFC counts</w:t>
      </w:r>
      <w:r w:rsidR="00C2106E">
        <w:t xml:space="preserve"> in women with infertili</w:t>
      </w:r>
      <w:r w:rsidR="002713B8">
        <w:t>ty problems undergoing IFV/ICSI</w:t>
      </w:r>
      <w:r w:rsidR="004A06E2">
        <w:t>, and an individualised FSH dose did not result in better live birth rates (n=1</w:t>
      </w:r>
      <w:r w:rsidR="008063FA">
        <w:t>,</w:t>
      </w:r>
      <w:r w:rsidR="004A06E2">
        <w:t>515). They did observe a reduction of the rate of mild and moderate OHSS with individualised dosing. When a post-hoc analysis was done with AMH</w:t>
      </w:r>
      <w:r w:rsidR="00C2106E">
        <w:t xml:space="preserve"> levels</w:t>
      </w:r>
      <w:r w:rsidR="004A06E2">
        <w:t xml:space="preserve"> as the ovarian reserve test, </w:t>
      </w:r>
      <w:r w:rsidR="00C2106E">
        <w:t>using the statistical method of standardisation to correct for non-concordant test results, comparable results were observed.</w:t>
      </w:r>
    </w:p>
    <w:p w14:paraId="40FA7845" w14:textId="43096B71" w:rsidR="00D81B08" w:rsidRDefault="00D81B08">
      <w:pPr>
        <w:spacing w:after="0" w:line="240" w:lineRule="auto"/>
      </w:pPr>
      <w:r>
        <w:br w:type="page"/>
      </w:r>
    </w:p>
    <w:p w14:paraId="6EF2C67C" w14:textId="3E91B4A0" w:rsidR="00F54E7C" w:rsidRDefault="00F54E7C" w:rsidP="00190673">
      <w:pPr>
        <w:pStyle w:val="Heading1"/>
        <w:ind w:left="1134" w:hanging="1134"/>
      </w:pPr>
      <w:bookmarkStart w:id="370" w:name="_Toc502832970"/>
      <w:r>
        <w:lastRenderedPageBreak/>
        <w:t>B6</w:t>
      </w:r>
      <w:r>
        <w:tab/>
        <w:t>Impact of repeat testing</w:t>
      </w:r>
      <w:r w:rsidR="00420BF7">
        <w:t xml:space="preserve"> </w:t>
      </w:r>
      <w:r>
        <w:t>/</w:t>
      </w:r>
      <w:r w:rsidR="00420BF7">
        <w:t xml:space="preserve"> </w:t>
      </w:r>
      <w:r>
        <w:t>monitoring</w:t>
      </w:r>
      <w:bookmarkEnd w:id="370"/>
    </w:p>
    <w:p w14:paraId="5C9478D6" w14:textId="2BECFE1C" w:rsidR="00EC0F2F" w:rsidRDefault="00FD6A0B" w:rsidP="006172B1">
      <w:pPr>
        <w:jc w:val="both"/>
      </w:pPr>
      <w:r w:rsidRPr="00FD6A0B">
        <w:t>The</w:t>
      </w:r>
      <w:r>
        <w:t xml:space="preserve"> proposed MBS item descriptor indicates that repeat AMH testing will be </w:t>
      </w:r>
      <w:r w:rsidR="003B64B1">
        <w:t>performed</w:t>
      </w:r>
      <w:r>
        <w:t xml:space="preserve"> </w:t>
      </w:r>
      <w:r w:rsidR="003B64B1">
        <w:t>for</w:t>
      </w:r>
      <w:r>
        <w:t xml:space="preserve"> patients</w:t>
      </w:r>
      <w:r w:rsidR="008A2E53">
        <w:t xml:space="preserve"> who have had gonado</w:t>
      </w:r>
      <w:r w:rsidR="007B52BC">
        <w:t>tox</w:t>
      </w:r>
      <w:r w:rsidR="008A2E53">
        <w:t>ic treatment, “to assess the gonadotoxic effects of the treatment, to assess pubertal delay, to assess ovarian failure, to assess the need for fertility preservation following treatment, and to assess the need for assisted reproductive treatment for family planning”.</w:t>
      </w:r>
    </w:p>
    <w:p w14:paraId="66D67837" w14:textId="6657C7D2" w:rsidR="003E2C62" w:rsidRDefault="00EC0F2F" w:rsidP="006172B1">
      <w:pPr>
        <w:jc w:val="both"/>
      </w:pPr>
      <w:r>
        <w:t>S</w:t>
      </w:r>
      <w:r w:rsidR="008A2E53">
        <w:t xml:space="preserve">tudies have been identified in which AMH is used to monitor the decline or recovery of AMH during and after gonadotoxic treatment </w:t>
      </w:r>
      <w:r w:rsidR="00577E24">
        <w:fldChar w:fldCharType="begin">
          <w:fldData xml:space="preserve">PEVuZE5vdGU+PENpdGU+PEF1dGhvcj5EZWNhbnRlcjwvQXV0aG9yPjxZZWFyPjIwMTA8L1llYXI+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</w:fldData>
        </w:fldChar>
      </w:r>
      <w:r w:rsidR="00577E24">
        <w:instrText xml:space="preserve"> ADDIN EN.CITE </w:instrText>
      </w:r>
      <w:r w:rsidR="00577E24">
        <w:fldChar w:fldCharType="begin">
          <w:fldData xml:space="preserve">PEVuZE5vdGU+PENpdGU+PEF1dGhvcj5EZWNhbnRlcjwvQXV0aG9yPjxZZWFyPjIwMTA8L1llYXI+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</w:fldData>
        </w:fldChar>
      </w:r>
      <w:r w:rsidR="00577E24">
        <w:instrText xml:space="preserve"> ADDIN EN.CITE.DATA </w:instrText>
      </w:r>
      <w:r w:rsidR="00577E24">
        <w:fldChar w:fldCharType="end"/>
      </w:r>
      <w:r w:rsidR="00577E24">
        <w:fldChar w:fldCharType="separate"/>
      </w:r>
      <w:r w:rsidR="00577E24">
        <w:rPr>
          <w:noProof/>
        </w:rPr>
        <w:t>(</w:t>
      </w:r>
      <w:hyperlink w:anchor="_ENREF_17" w:tooltip="Decanter, 2010 #113" w:history="1">
        <w:r w:rsidR="00835BA6">
          <w:rPr>
            <w:noProof/>
          </w:rPr>
          <w:t>Decanter et al. 2010</w:t>
        </w:r>
      </w:hyperlink>
      <w:r w:rsidR="00577E24">
        <w:rPr>
          <w:noProof/>
        </w:rPr>
        <w:t xml:space="preserve">; </w:t>
      </w:r>
      <w:hyperlink w:anchor="_ENREF_21" w:tooltip="Dillon, 2013 #403" w:history="1">
        <w:r w:rsidR="00835BA6">
          <w:rPr>
            <w:noProof/>
          </w:rPr>
          <w:t>Dillon et al. 2013</w:t>
        </w:r>
      </w:hyperlink>
      <w:r w:rsidR="00577E24">
        <w:rPr>
          <w:noProof/>
        </w:rPr>
        <w:t xml:space="preserve">; </w:t>
      </w:r>
      <w:hyperlink w:anchor="_ENREF_22" w:tooltip="Everhov, 2014 #139" w:history="1">
        <w:r w:rsidR="00835BA6">
          <w:rPr>
            <w:noProof/>
          </w:rPr>
          <w:t>Everhov et al. 2014</w:t>
        </w:r>
      </w:hyperlink>
      <w:r w:rsidR="00577E24">
        <w:rPr>
          <w:noProof/>
        </w:rPr>
        <w:t xml:space="preserve">; </w:t>
      </w:r>
      <w:hyperlink w:anchor="_ENREF_26" w:tooltip="Hamy, 2014 #174" w:history="1">
        <w:r w:rsidR="00835BA6">
          <w:rPr>
            <w:noProof/>
          </w:rPr>
          <w:t>Hamy et al. 2014</w:t>
        </w:r>
      </w:hyperlink>
      <w:r w:rsidR="00577E24">
        <w:rPr>
          <w:noProof/>
        </w:rPr>
        <w:t xml:space="preserve">; </w:t>
      </w:r>
      <w:hyperlink w:anchor="_ENREF_34" w:tooltip="Kim, 2017 #204" w:history="1">
        <w:r w:rsidR="00835BA6">
          <w:rPr>
            <w:noProof/>
          </w:rPr>
          <w:t>Kim, YJ, Cha &amp; Kim 2017</w:t>
        </w:r>
      </w:hyperlink>
      <w:r w:rsidR="00577E24">
        <w:rPr>
          <w:noProof/>
        </w:rPr>
        <w:t xml:space="preserve">; </w:t>
      </w:r>
      <w:hyperlink w:anchor="_ENREF_60" w:tooltip="Somigliana, 2012 #324" w:history="1">
        <w:r w:rsidR="00835BA6">
          <w:rPr>
            <w:noProof/>
          </w:rPr>
          <w:t>Somigliana et al. 2012</w:t>
        </w:r>
      </w:hyperlink>
      <w:r w:rsidR="00577E24">
        <w:rPr>
          <w:noProof/>
        </w:rPr>
        <w:t xml:space="preserve">; </w:t>
      </w:r>
      <w:hyperlink w:anchor="_ENREF_72" w:tooltip="van der Kooi, 2017 #402" w:history="1">
        <w:r w:rsidR="00835BA6">
          <w:rPr>
            <w:noProof/>
          </w:rPr>
          <w:t>van der Kooi et al. 2017</w:t>
        </w:r>
      </w:hyperlink>
      <w:r w:rsidR="00577E24">
        <w:rPr>
          <w:noProof/>
        </w:rPr>
        <w:t>)</w:t>
      </w:r>
      <w:r w:rsidR="00577E24">
        <w:fldChar w:fldCharType="end"/>
      </w:r>
      <w:r w:rsidR="008A2E53">
        <w:t xml:space="preserve">. </w:t>
      </w:r>
      <w:r w:rsidR="009C68F4">
        <w:t>The aim of these studies was to determine the gonadotoxic effects of certain treatments.</w:t>
      </w:r>
    </w:p>
    <w:p w14:paraId="35B9DCAD" w14:textId="17657580" w:rsidR="007518CF" w:rsidRDefault="00EC0F2F" w:rsidP="008220FB">
      <w:pPr>
        <w:jc w:val="both"/>
      </w:pPr>
      <w:r>
        <w:t xml:space="preserve">Decanter et al. </w:t>
      </w:r>
      <w:r w:rsidR="00577E24">
        <w:fldChar w:fldCharType="begin"/>
      </w:r>
      <w:r w:rsidR="00577E24">
        <w:instrText xml:space="preserve"> ADDIN EN.CITE &lt;EndNote&gt;&lt;Cite ExcludeAuth="1"&gt;&lt;Author&gt;Decanter&lt;/Author&gt;&lt;Year&gt;2010&lt;/Year&gt;&lt;RecNum&gt;113&lt;/RecNum&gt;&lt;IDText&gt;280-5&lt;/IDText&gt;&lt;DisplayText&gt;(2010)&lt;/DisplayText&gt;&lt;record&gt;&lt;rec-number&gt;113&lt;/rec-number&gt;&lt;foreign-keys&gt;&lt;key app="EN" db-id="s2dftfxw1fvsr1efx58vfvxtvfwzxea0td02" timestamp="1511748069"&gt;113&lt;/key&gt;&lt;/foreign-keys&gt;&lt;ref-type name="Journal Article"&gt;17&lt;/ref-type&gt;&lt;contributors&gt;&lt;authors&gt;&lt;author&gt;Decanter, C.&lt;/author&gt;&lt;author&gt;Morschhauser, F.&lt;/author&gt;&lt;author&gt;Pigny, P.&lt;/author&gt;&lt;author&gt;Lefebvre, C.&lt;/author&gt;&lt;author&gt;Gallo, C.&lt;/author&gt;&lt;author&gt;Dewailly, D.&lt;/author&gt;&lt;/authors&gt;&lt;/contributors&gt;&lt;titles&gt;&lt;title&gt;Anti-Mullerian hormone follow-up in young women treated by chemotherapy for lymphoma: preliminary results&lt;/title&gt;&lt;secondary-title&gt;Reprod Biomed Online&lt;/secondary-title&gt;&lt;/titles&gt;&lt;periodical&gt;&lt;full-title&gt;Reprod Biomed Online&lt;/full-title&gt;&lt;/periodical&gt;&lt;pages&gt;280-5&lt;/pages&gt;&lt;volume&gt;20&lt;/volume&gt;&lt;number&gt;2&lt;/number&gt;&lt;keywords&gt;&lt;keyword&gt;Lymphoma&lt;/keyword&gt;&lt;/keywords&gt;&lt;dates&gt;&lt;year&gt;2010&lt;/year&gt;&lt;pub-dates&gt;&lt;date&gt;2010-1-1&lt;/date&gt;&lt;/pub-dates&gt;&lt;/dates&gt;&lt;isbn&gt;1472-6483 (Print) 1472-6483&lt;/isbn&gt;&lt;accession-num&gt;rayyan-6673587&lt;/accession-num&gt;&lt;urls&gt;&lt;/urls&gt;&lt;custom1&gt;RAYYAN-INCLUSION: {&amp;quot;Sharon&amp;quot;=&amp;gt;true, &amp;quot;Joanne&amp;quot;=&amp;gt;true}&lt;/custom1&gt;&lt;language&gt;eng&lt;/language&gt;&lt;/record&gt;&lt;/Cite&gt;&lt;/EndNote&gt;</w:instrText>
      </w:r>
      <w:r w:rsidR="00577E24">
        <w:fldChar w:fldCharType="separate"/>
      </w:r>
      <w:r w:rsidR="00577E24">
        <w:rPr>
          <w:noProof/>
        </w:rPr>
        <w:t>(</w:t>
      </w:r>
      <w:hyperlink w:anchor="_ENREF_17" w:tooltip="Decanter, 2010 #113" w:history="1">
        <w:r w:rsidR="00835BA6">
          <w:rPr>
            <w:noProof/>
          </w:rPr>
          <w:t>2010</w:t>
        </w:r>
      </w:hyperlink>
      <w:r w:rsidR="00577E24">
        <w:rPr>
          <w:noProof/>
        </w:rPr>
        <w:t>)</w:t>
      </w:r>
      <w:r w:rsidR="00577E24">
        <w:fldChar w:fldCharType="end"/>
      </w:r>
      <w:r w:rsidR="00344FE9">
        <w:t xml:space="preserve">, Hamy et al. </w:t>
      </w:r>
      <w:r w:rsidR="00577E24">
        <w:fldChar w:fldCharType="begin"/>
      </w:r>
      <w:r w:rsidR="00577E24">
        <w:instrText xml:space="preserve"> ADDIN EN.CITE &lt;EndNote&gt;&lt;Cite ExcludeAuth="1"&gt;&lt;Author&gt;Hamy&lt;/Author&gt;&lt;Year&gt;2014&lt;/Year&gt;&lt;RecNum&gt;174&lt;/RecNum&gt;&lt;IDText&gt;573-580&lt;/IDText&gt;&lt;DisplayText&gt;(2014)&lt;/DisplayText&gt;&lt;record&gt;&lt;rec-number&gt;174&lt;/rec-number&gt;&lt;foreign-keys&gt;&lt;key app="EN" db-id="s2dftfxw1fvsr1efx58vfvxtvfwzxea0td02" timestamp="1511748076"&gt;174&lt;/key&gt;&lt;/foreign-keys&gt;&lt;ref-type name="Journal Article"&gt;17&lt;/ref-type&gt;&lt;contributors&gt;&lt;authors&gt;&lt;author&gt;Hamy, A. S.&lt;/author&gt;&lt;author&gt;Porcher, R.&lt;/author&gt;&lt;author&gt;Cuvier, C.&lt;/author&gt;&lt;author&gt;Giacchetti, S.&lt;/author&gt;&lt;author&gt;Schlageter, M. H.&lt;/author&gt;&lt;author&gt;Coussieu, C.&lt;/author&gt;&lt;author&gt;Gronier, H.&lt;/author&gt;&lt;author&gt;Feugeas, J. P.&lt;/author&gt;&lt;author&gt;Adoui, N.&lt;/author&gt;&lt;author&gt;Lacorte, J. M.&lt;/author&gt;&lt;author&gt;Poirot, C.&lt;/author&gt;&lt;author&gt;Habdous, M.&lt;/author&gt;&lt;author&gt;Espie, M.&lt;/author&gt;&lt;/authors&gt;&lt;/contributors&gt;&lt;titles&gt;&lt;title&gt;Ovarian reserve in breast cancer: assessment with anti-Mullerian hormone&lt;/title&gt;&lt;secondary-title&gt;Reproductive Biomedicine Online&lt;/secondary-title&gt;&lt;/titles&gt;&lt;periodical&gt;&lt;full-title&gt;Reproductive BioMedicine Online&lt;/full-title&gt;&lt;/periodical&gt;&lt;pages&gt;573-580&lt;/pages&gt;&lt;volume&gt;29&lt;/volume&gt;&lt;number&gt;5&lt;/number&gt;&lt;keywords&gt;&lt;keyword&gt;Breast Neoplasms&lt;/keyword&gt;&lt;/keywords&gt;&lt;dates&gt;&lt;year&gt;2014&lt;/year&gt;&lt;pub-dates&gt;&lt;date&gt;2014-1-1&lt;/date&gt;&lt;/pub-dates&gt;&lt;/dates&gt;&lt;accession-num&gt;rayyan-6674818&lt;/accession-num&gt;&lt;urls&gt;&lt;related-urls&gt;&lt;url&gt;&amp;lt;Go to ISI&amp;gt;://WOS:000344883900010&lt;/url&gt;&lt;/related-urls&gt;&lt;/urls&gt;&lt;custom1&gt;RAYYAN-INCLUSION: {&amp;quot;Sharon&amp;quot;=&amp;gt;true, &amp;quot;Joanne&amp;quot;=&amp;gt;true}&lt;/custom1&gt;&lt;/record&gt;&lt;/Cite&gt;&lt;/EndNote&gt;</w:instrText>
      </w:r>
      <w:r w:rsidR="00577E24">
        <w:fldChar w:fldCharType="separate"/>
      </w:r>
      <w:r w:rsidR="00577E24">
        <w:rPr>
          <w:noProof/>
        </w:rPr>
        <w:t>(</w:t>
      </w:r>
      <w:hyperlink w:anchor="_ENREF_26" w:tooltip="Hamy, 2014 #174" w:history="1">
        <w:r w:rsidR="00835BA6">
          <w:rPr>
            <w:noProof/>
          </w:rPr>
          <w:t>2014</w:t>
        </w:r>
      </w:hyperlink>
      <w:r w:rsidR="00577E24">
        <w:rPr>
          <w:noProof/>
        </w:rPr>
        <w:t>)</w:t>
      </w:r>
      <w:r w:rsidR="00577E24">
        <w:fldChar w:fldCharType="end"/>
      </w:r>
      <w:r w:rsidR="008220FB">
        <w:t xml:space="preserve"> and Dillon et al. </w:t>
      </w:r>
      <w:r w:rsidR="00577E24">
        <w:fldChar w:fldCharType="begin"/>
      </w:r>
      <w:r w:rsidR="00577E24">
        <w:instrText xml:space="preserve"> ADDIN EN.CITE &lt;EndNote&gt;&lt;Cite ExcludeAuth="1"&gt;&lt;Author&gt;Dillon&lt;/Author&gt;&lt;Year&gt;2013&lt;/Year&gt;&lt;RecNum&gt;403&lt;/RecNum&gt;&lt;IDText&gt;477-83&lt;/IDText&gt;&lt;DisplayText&gt;(2013)&lt;/DisplayText&gt;&lt;record&gt;&lt;rec-number&gt;403&lt;/rec-number&gt;&lt;foreign-keys&gt;&lt;key app="EN" db-id="s2dftfxw1fvsr1efx58vfvxtvfwzxea0td02" timestamp="1512012524"&gt;403&lt;/key&gt;&lt;/foreign-keys&gt;&lt;ref-type name="Journal Article"&gt;17&lt;/ref-type&gt;&lt;contributors&gt;&lt;authors&gt;&lt;author&gt;Dillon, K. E.&lt;/author&gt;&lt;author&gt;Sammel, M. D.&lt;/author&gt;&lt;author&gt;Prewitt, M.&lt;/author&gt;&lt;author&gt;Ginsberg, J. P.&lt;/author&gt;&lt;author&gt;Walker, D.&lt;/author&gt;&lt;author&gt;Mersereau, J. E.&lt;/author&gt;&lt;author&gt;Gosiengfiao, Y.&lt;/author&gt;&lt;author&gt;Gracia, C. R.&lt;/author&gt;&lt;/authors&gt;&lt;/contributors&gt;&lt;titles&gt;&lt;title&gt;Pretreatment antimullerian hormone levels determine rate of posttherapy ovarian reserve recovery: acute changes in ovarian reserve during and after chemotherapy&lt;/title&gt;&lt;secondary-title&gt;Fertil Steril&lt;/secondary-title&gt;&lt;/titles&gt;&lt;periodical&gt;&lt;full-title&gt;Fertil Steril&lt;/full-title&gt;&lt;/periodical&gt;&lt;pages&gt;477-83&lt;/pages&gt;&lt;volume&gt;99&lt;/volume&gt;&lt;number&gt;2&lt;/number&gt;&lt;keywords&gt;&lt;keyword&gt;Anti-Mullerian Hormone&lt;/keyword&gt;&lt;/keywords&gt;&lt;dates&gt;&lt;year&gt;2013&lt;/year&gt;&lt;pub-dates&gt;&lt;date&gt;2013-1-1&lt;/date&gt;&lt;/pub-dates&gt;&lt;/dates&gt;&lt;isbn&gt;0015-0282&lt;/isbn&gt;&lt;accession-num&gt;rayyan-6673743&lt;/accession-num&gt;&lt;urls&gt;&lt;related-urls&gt;&lt;url&gt;https://www.ncbi.nlm.nih.gov/pmc/articles/PMC3661215/pdf/nihms464059.pdf&lt;/url&gt;&lt;/related-urls&gt;&lt;/urls&gt;&lt;custom1&gt;RAYYAN-INCLUSION: {&amp;quot;Sharon&amp;quot;=&amp;gt;true, &amp;quot;Joanne&amp;quot;=&amp;gt;true}&lt;/custom1&gt;&lt;language&gt;eng&lt;/language&gt;&lt;/record&gt;&lt;/Cite&gt;&lt;/EndNote&gt;</w:instrText>
      </w:r>
      <w:r w:rsidR="00577E24">
        <w:fldChar w:fldCharType="separate"/>
      </w:r>
      <w:r w:rsidR="00577E24">
        <w:rPr>
          <w:noProof/>
        </w:rPr>
        <w:t>(</w:t>
      </w:r>
      <w:hyperlink w:anchor="_ENREF_21" w:tooltip="Dillon, 2013 #403" w:history="1">
        <w:r w:rsidR="00835BA6">
          <w:rPr>
            <w:noProof/>
          </w:rPr>
          <w:t>2013</w:t>
        </w:r>
      </w:hyperlink>
      <w:r w:rsidR="00577E24">
        <w:rPr>
          <w:noProof/>
        </w:rPr>
        <w:t>)</w:t>
      </w:r>
      <w:r w:rsidR="00577E24">
        <w:fldChar w:fldCharType="end"/>
      </w:r>
      <w:r w:rsidR="008220FB">
        <w:t xml:space="preserve"> aimed to </w:t>
      </w:r>
      <w:r>
        <w:t xml:space="preserve">investigate </w:t>
      </w:r>
      <w:r w:rsidR="008220FB">
        <w:t>the</w:t>
      </w:r>
      <w:r w:rsidR="00AB29D4">
        <w:t xml:space="preserve"> effects of </w:t>
      </w:r>
      <w:r w:rsidR="008220FB">
        <w:t>chemotherapy</w:t>
      </w:r>
      <w:r w:rsidR="00AB29D4">
        <w:t xml:space="preserve"> on the ovarian follicles</w:t>
      </w:r>
      <w:r w:rsidR="008220FB">
        <w:t xml:space="preserve"> and measures of ovarian reserve</w:t>
      </w:r>
      <w:r w:rsidR="00AB29D4">
        <w:t>, with repeated AMH measurements which were performed prior to, during and after treatment in</w:t>
      </w:r>
      <w:r w:rsidR="008220FB">
        <w:t xml:space="preserve"> cancer patients</w:t>
      </w:r>
      <w:r w:rsidR="00AB29D4">
        <w:t>.</w:t>
      </w:r>
      <w:r w:rsidR="008220FB">
        <w:t xml:space="preserve"> Dillon et al.</w:t>
      </w:r>
      <w:r w:rsidR="00F5311D">
        <w:t xml:space="preserve"> and Hamy et al.</w:t>
      </w:r>
      <w:r w:rsidR="008220FB">
        <w:t xml:space="preserve"> reported an acute impaired ovarian reserve during treatment and a </w:t>
      </w:r>
      <w:r w:rsidR="008063FA">
        <w:t xml:space="preserve">degree </w:t>
      </w:r>
      <w:r w:rsidR="008220FB">
        <w:t xml:space="preserve">of recovery post-treatment. Decanter reported similar results, with a strong decrease in AMH concentrations after the start of chemotherapy. Post-treatment AMH concentrations increased by the third month of follow-up, with the degree of recovery dependent on the toxicity of the chemotherapy drugs used. </w:t>
      </w:r>
      <w:r w:rsidR="00584A3A">
        <w:t xml:space="preserve">The study by Everhov et al. </w:t>
      </w:r>
      <w:r w:rsidR="00577E24">
        <w:fldChar w:fldCharType="begin"/>
      </w:r>
      <w:r w:rsidR="00577E24">
        <w:instrText xml:space="preserve"> ADDIN EN.CITE &lt;EndNote&gt;&lt;Cite ExcludeAuth="1"&gt;&lt;Author&gt;Everhov&lt;/Author&gt;&lt;Year&gt;2014&lt;/Year&gt;&lt;RecNum&gt;139&lt;/RecNum&gt;&lt;IDText&gt;949-953&lt;/IDText&gt;&lt;DisplayText&gt;(2014)&lt;/DisplayText&gt;&lt;record&gt;&lt;rec-number&gt;139&lt;/rec-number&gt;&lt;foreign-keys&gt;&lt;key app="EN" db-id="s2dftfxw1fvsr1efx58vfvxtvfwzxea0td02" timestamp="1511748072"&gt;139&lt;/key&gt;&lt;/foreign-keys&gt;&lt;ref-type name="Journal Article"&gt;17&lt;/ref-type&gt;&lt;contributors&gt;&lt;authors&gt;&lt;author&gt;Everhov, A. H.&lt;/author&gt;&lt;author&gt;Bergmark, K.&lt;/author&gt;&lt;author&gt;Smedby, K. E.&lt;/author&gt;&lt;author&gt;Hirschberg, A. L.&lt;/author&gt;&lt;author&gt;Radestad, A. F.&lt;/author&gt;&lt;/authors&gt;&lt;/contributors&gt;&lt;titles&gt;&lt;title&gt;Anti-Mullerian hormone in premenopausal women following treatment of uterine cervical cancer&lt;/title&gt;&lt;secondary-title&gt;Acta Obstetricia Et Gynecologica Scandinavica&lt;/secondary-title&gt;&lt;/titles&gt;&lt;periodical&gt;&lt;full-title&gt;Acta Obstetricia Et Gynecologica Scandinavica&lt;/full-title&gt;&lt;/periodical&gt;&lt;pages&gt;949-953&lt;/pages&gt;&lt;volume&gt;93&lt;/volume&gt;&lt;number&gt;9&lt;/number&gt;&lt;keywords&gt;&lt;keyword&gt;Anti-Mullerian Hormone&lt;/keyword&gt;&lt;keyword&gt;Longitudinal Studies&lt;/keyword&gt;&lt;keyword&gt;Uterine Cervical Neoplasms&lt;/keyword&gt;&lt;keyword&gt;Hysterectomy&lt;/keyword&gt;&lt;keyword&gt;Premenopause&lt;/keyword&gt;&lt;keyword&gt;Estradiol&lt;/keyword&gt;&lt;keyword&gt;Follicle Stimulating Hormone&lt;/keyword&gt;&lt;/keywords&gt;&lt;dates&gt;&lt;year&gt;2014&lt;/year&gt;&lt;pub-dates&gt;&lt;date&gt;2014-1-1&lt;/date&gt;&lt;/pub-dates&gt;&lt;/dates&gt;&lt;isbn&gt;0001-6349&lt;/isbn&gt;&lt;accession-num&gt;rayyan-6674071&lt;/accession-num&gt;&lt;urls&gt;&lt;related-urls&gt;&lt;url&gt;&amp;lt;Go to ISI&amp;gt;://WOS:000340618400017&lt;/url&gt;&lt;/related-urls&gt;&lt;/urls&gt;&lt;custom1&gt;RAYYAN-INCLUSION: {&amp;quot;Sharon&amp;quot;=&amp;gt;true, &amp;quot;Joanne&amp;quot;=&amp;gt;true}&lt;/custom1&gt;&lt;/record&gt;&lt;/Cite&gt;&lt;/EndNote&gt;</w:instrText>
      </w:r>
      <w:r w:rsidR="00577E24">
        <w:fldChar w:fldCharType="separate"/>
      </w:r>
      <w:r w:rsidR="00577E24">
        <w:rPr>
          <w:noProof/>
        </w:rPr>
        <w:t>(</w:t>
      </w:r>
      <w:hyperlink w:anchor="_ENREF_22" w:tooltip="Everhov, 2014 #139" w:history="1">
        <w:r w:rsidR="00835BA6">
          <w:rPr>
            <w:noProof/>
          </w:rPr>
          <w:t>2014</w:t>
        </w:r>
      </w:hyperlink>
      <w:r w:rsidR="00577E24">
        <w:rPr>
          <w:noProof/>
        </w:rPr>
        <w:t>)</w:t>
      </w:r>
      <w:r w:rsidR="00577E24">
        <w:fldChar w:fldCharType="end"/>
      </w:r>
      <w:r w:rsidR="008220FB">
        <w:t xml:space="preserve"> </w:t>
      </w:r>
      <w:r w:rsidR="00584A3A">
        <w:t>followed pre</w:t>
      </w:r>
      <w:r w:rsidR="003036C4">
        <w:t>-menopausal</w:t>
      </w:r>
      <w:r w:rsidR="00584A3A">
        <w:t xml:space="preserve"> women with cervical cancer, investigating the effects of surgery and o</w:t>
      </w:r>
      <w:r w:rsidR="00344FE9">
        <w:t>r chemoradiation on AMH levels.</w:t>
      </w:r>
      <w:r w:rsidR="00584A3A">
        <w:t xml:space="preserve"> </w:t>
      </w:r>
      <w:r w:rsidR="00344FE9">
        <w:t>In women undergoing radical hysterectomy, pelvis lymphadenectomy and salpingo-oophorectomy and/or chemoradiation, levels of AMH were undetectable in all women (n=23) after treatment. A 45% reduction in AMH levels was seen in the women undergoing radical hysterectomy and pelvic lymphadenectomy with ovarian preservation (n=9).</w:t>
      </w:r>
    </w:p>
    <w:p w14:paraId="3FFB89A6" w14:textId="6B7DB0ED" w:rsidR="007518CF" w:rsidRDefault="006172B1" w:rsidP="006172B1">
      <w:pPr>
        <w:jc w:val="both"/>
      </w:pPr>
      <w:r>
        <w:t xml:space="preserve">The study by van der Kooi et al. </w:t>
      </w:r>
      <w:r w:rsidR="00577E24">
        <w:fldChar w:fldCharType="begin">
          <w:fldData xml:space="preserve">PEVuZE5vdGU+PENpdGUgRXhjbHVkZUF1dGg9IjEiPjxBdXRob3I+dmFuIGRlciBLb29pPC9BdXRo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</w:fldData>
        </w:fldChar>
      </w:r>
      <w:r w:rsidR="00577E24">
        <w:instrText xml:space="preserve"> ADDIN EN.CITE </w:instrText>
      </w:r>
      <w:r w:rsidR="00577E24">
        <w:fldChar w:fldCharType="begin">
          <w:fldData xml:space="preserve">PEVuZE5vdGU+PENpdGUgRXhjbHVkZUF1dGg9IjEiPjxBdXRob3I+dmFuIGRlciBLb29pPC9BdXRo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</w:fldData>
        </w:fldChar>
      </w:r>
      <w:r w:rsidR="00577E24">
        <w:instrText xml:space="preserve"> ADDIN EN.CITE.DATA </w:instrText>
      </w:r>
      <w:r w:rsidR="00577E24">
        <w:fldChar w:fldCharType="end"/>
      </w:r>
      <w:r w:rsidR="00577E24">
        <w:fldChar w:fldCharType="separate"/>
      </w:r>
      <w:r w:rsidR="00577E24">
        <w:rPr>
          <w:noProof/>
        </w:rPr>
        <w:t>(</w:t>
      </w:r>
      <w:hyperlink w:anchor="_ENREF_72" w:tooltip="van der Kooi, 2017 #402" w:history="1">
        <w:r w:rsidR="00835BA6">
          <w:rPr>
            <w:noProof/>
          </w:rPr>
          <w:t>2017</w:t>
        </w:r>
      </w:hyperlink>
      <w:r w:rsidR="00577E24">
        <w:rPr>
          <w:noProof/>
        </w:rPr>
        <w:t>)</w:t>
      </w:r>
      <w:r w:rsidR="00577E24">
        <w:fldChar w:fldCharType="end"/>
      </w:r>
      <w:r w:rsidR="00AB29D4">
        <w:t xml:space="preserve"> </w:t>
      </w:r>
      <w:r>
        <w:t xml:space="preserve">investigated whether the decline in AMH levels in childhood cancer survivors differed from that observed </w:t>
      </w:r>
      <w:r w:rsidR="003B64B1">
        <w:t xml:space="preserve">in a healthy normal population. In this </w:t>
      </w:r>
      <w:r>
        <w:t xml:space="preserve">investigation of longitudinal changes in ovarian function </w:t>
      </w:r>
      <w:r w:rsidR="003B64B1">
        <w:t>over time, m</w:t>
      </w:r>
      <w:r w:rsidR="00DA1BD1">
        <w:t>edian AMH levels in cancer survivors were below the 50</w:t>
      </w:r>
      <w:r w:rsidR="00DA1BD1" w:rsidRPr="00DA1BD1">
        <w:rPr>
          <w:vertAlign w:val="superscript"/>
        </w:rPr>
        <w:t>th</w:t>
      </w:r>
      <w:r w:rsidR="00DA1BD1">
        <w:t xml:space="preserve"> percentile in a healthy population, at 5 years after cessation of treatment and at a second follow-up visit (median 3.2 years after the first visit). In women with a sustained ovarian function, the decline in AMH levels were similar to that in the normal, healthy population.</w:t>
      </w:r>
    </w:p>
    <w:p w14:paraId="3A59B0DA" w14:textId="46858C39" w:rsidR="007518CF" w:rsidRDefault="00145F28" w:rsidP="006172B1">
      <w:pPr>
        <w:jc w:val="both"/>
      </w:pPr>
      <w:r>
        <w:t>One systematic review was identified on serum AMH level modification after surgical excision of ovarian endometriomas</w:t>
      </w:r>
      <w:r w:rsidR="00953255">
        <w:t xml:space="preserve"> </w:t>
      </w:r>
      <w:r w:rsidR="00577E24">
        <w:fldChar w:fldCharType="begin"/>
      </w:r>
      <w:r w:rsidR="00577E24">
        <w:instrText xml:space="preserve"> ADDIN EN.CITE &lt;EndNote&gt;&lt;Cite&gt;&lt;Author&gt;Somigliana&lt;/Author&gt;&lt;Year&gt;2012&lt;/Year&gt;&lt;RecNum&gt;324&lt;/RecNum&gt;&lt;IDText&gt;1531-1538&lt;/IDText&gt;&lt;DisplayText&gt;(Somigliana et al. 2012)&lt;/DisplayText&gt;&lt;record&gt;&lt;rec-number&gt;324&lt;/rec-number&gt;&lt;foreign-keys&gt;&lt;key app="EN" db-id="s2dftfxw1fvsr1efx58vfvxtvfwzxea0td02" timestamp="1511748096"&gt;324&lt;/key&gt;&lt;/foreign-keys&gt;&lt;ref-type name="Journal Article"&gt;17&lt;/ref-type&gt;&lt;contributors&gt;&lt;authors&gt;&lt;author&gt;Somigliana, E.&lt;/author&gt;&lt;author&gt;, Berl&lt;/author&gt;&lt;author&gt;a, N.&lt;/author&gt;&lt;author&gt;Benaglia, L.&lt;/author&gt;&lt;author&gt;Viganò, P.&lt;/author&gt;&lt;author&gt;Vercellini, P.&lt;/author&gt;&lt;author&gt;Fedele, L.&lt;/author&gt;&lt;/authors&gt;&lt;/contributors&gt;&lt;titles&gt;&lt;title&gt;Surgical excision of endometriomas and ovarian reserve: A systematic review on serum antimüllerian hormone level modifications&lt;/title&gt;&lt;secondary-title&gt;Fertility and Sterility&lt;/secondary-title&gt;&lt;/titles&gt;&lt;periodical&gt;&lt;full-title&gt;Fertility and Sterility&lt;/full-title&gt;&lt;/periodical&gt;&lt;pages&gt;1531-1538&lt;/pages&gt;&lt;volume&gt;98&lt;/volume&gt;&lt;number&gt;6&lt;/number&gt;&lt;keywords&gt;&lt;keyword&gt;Meta-Analysis as Topic&lt;/keyword&gt;&lt;keyword&gt;Endometriosis&lt;/keyword&gt;&lt;/keywords&gt;&lt;dates&gt;&lt;year&gt;2012&lt;/year&gt;&lt;pub-dates&gt;&lt;date&gt;2012-1-1&lt;/date&gt;&lt;/pub-dates&gt;&lt;/dates&gt;&lt;isbn&gt;0015-0282&lt;/isbn&gt;&lt;accession-num&gt;rayyan-6678685&lt;/accession-num&gt;&lt;urls&gt;&lt;related-urls&gt;&lt;url&gt;http://www.embase.com/search/results?subaction=viewrecord&amp;amp;from=export&amp;amp;id=L52201807 http://dx.doi.org/10.1016/j.fertnstert.2012.08.009&lt;/url&gt;&lt;/related-urls&gt;&lt;/urls&gt;&lt;custom1&gt;RAYYAN-INCLUSION: {&amp;quot;Sharon&amp;quot;=&amp;gt;true}&lt;/custom1&gt;&lt;/record&gt;&lt;/Cite&gt;&lt;/EndNote&gt;</w:instrText>
      </w:r>
      <w:r w:rsidR="00577E24">
        <w:fldChar w:fldCharType="separate"/>
      </w:r>
      <w:r w:rsidR="00577E24">
        <w:rPr>
          <w:noProof/>
        </w:rPr>
        <w:t>(</w:t>
      </w:r>
      <w:hyperlink w:anchor="_ENREF_60" w:tooltip="Somigliana, 2012 #324" w:history="1">
        <w:r w:rsidR="00835BA6">
          <w:rPr>
            <w:noProof/>
          </w:rPr>
          <w:t>Somigliana et al. 2012</w:t>
        </w:r>
      </w:hyperlink>
      <w:r w:rsidR="00577E24">
        <w:rPr>
          <w:noProof/>
        </w:rPr>
        <w:t>)</w:t>
      </w:r>
      <w:r w:rsidR="00577E24">
        <w:fldChar w:fldCharType="end"/>
      </w:r>
      <w:r>
        <w:t xml:space="preserve">. Nine of 11 studies showed a significant decrease in serum AMH levels </w:t>
      </w:r>
      <w:r w:rsidR="00DA6542">
        <w:t>after</w:t>
      </w:r>
      <w:r w:rsidR="0022342C">
        <w:t xml:space="preserve"> surgery. </w:t>
      </w:r>
      <w:r w:rsidR="00953255">
        <w:t>The study by</w:t>
      </w:r>
      <w:r w:rsidR="006172B1">
        <w:t xml:space="preserve"> Kim et al. </w:t>
      </w:r>
      <w:r w:rsidR="00577E24">
        <w:fldChar w:fldCharType="begin"/>
      </w:r>
      <w:r w:rsidR="00577E24">
        <w:instrText xml:space="preserve"> ADDIN EN.CITE &lt;EndNote&gt;&lt;Cite ExcludeAuth="1"&gt;&lt;Author&gt;Kim&lt;/Author&gt;&lt;Year&gt;2017&lt;/Year&gt;&lt;RecNum&gt;204&lt;/RecNum&gt;&lt;IDText&gt;342-346&lt;/IDText&gt;&lt;DisplayText&gt;(2017)&lt;/DisplayText&gt;&lt;record&gt;&lt;rec-number&gt;204&lt;/rec-number&gt;&lt;foreign-keys&gt;&lt;key app="EN" db-id="s2dftfxw1fvsr1efx58vfvxtvfwzxea0td02" timestamp="1511748081"&gt;204&lt;/key&gt;&lt;/foreign-keys&gt;&lt;ref-type name="Journal Article"&gt;17&lt;/ref-type&gt;&lt;contributors&gt;&lt;authors&gt;&lt;author&gt;Kim, Y. J.&lt;/author&gt;&lt;author&gt;Cha, S. W.&lt;/author&gt;&lt;author&gt;Kim, H. O.&lt;/author&gt;&lt;/authors&gt;&lt;/contributors&gt;&lt;titles&gt;&lt;title&gt;Serum anti-Müllerian hormone levels decrease after endometriosis surgery&lt;/title&gt;&lt;secondary-title&gt;Journal of Obstetrics and Gynaecology&lt;/secondary-title&gt;&lt;/titles&gt;&lt;periodical&gt;&lt;full-title&gt;Journal of Obstetrics and Gynaecology&lt;/full-title&gt;&lt;/periodical&gt;&lt;pages&gt;342-346&lt;/pages&gt;&lt;volume&gt;37&lt;/volume&gt;&lt;number&gt;3&lt;/number&gt;&lt;keywords&gt;&lt;keyword&gt;Cysts&lt;/keyword&gt;&lt;keyword&gt;Endometriosis&lt;/keyword&gt;&lt;/keywords&gt;&lt;dates&gt;&lt;year&gt;2017&lt;/year&gt;&lt;pub-dates&gt;&lt;date&gt;2017-1-1&lt;/date&gt;&lt;/pub-dates&gt;&lt;/dates&gt;&lt;accession-num&gt;rayyan-6675623&lt;/accession-num&gt;&lt;urls&gt;&lt;related-urls&gt;&lt;url&gt;http://www.embase.com/search/results?subaction=viewrecord&amp;amp;from=export&amp;amp;id=L614255587 http://dx.doi.org/10.1080/01443615.2016.1239071&lt;/url&gt;&lt;url&gt;http://www.tandfonline.com/doi/pdf/10.1080/01443615.2016.1239071?needAccess=true&lt;/url&gt;&lt;/related-urls&gt;&lt;/urls&gt;&lt;custom1&gt;RAYYAN-INCLUSION: {&amp;quot;Sharon&amp;quot;=&amp;gt;true}&lt;/custom1&gt;&lt;/record&gt;&lt;/Cite&gt;&lt;/EndNote&gt;</w:instrText>
      </w:r>
      <w:r w:rsidR="00577E24">
        <w:fldChar w:fldCharType="separate"/>
      </w:r>
      <w:r w:rsidR="00577E24">
        <w:rPr>
          <w:noProof/>
        </w:rPr>
        <w:t>(</w:t>
      </w:r>
      <w:hyperlink w:anchor="_ENREF_34" w:tooltip="Kim, 2017 #204" w:history="1">
        <w:r w:rsidR="00835BA6">
          <w:rPr>
            <w:noProof/>
          </w:rPr>
          <w:t>2017</w:t>
        </w:r>
      </w:hyperlink>
      <w:r w:rsidR="00577E24">
        <w:rPr>
          <w:noProof/>
        </w:rPr>
        <w:t>)</w:t>
      </w:r>
      <w:r w:rsidR="00577E24">
        <w:fldChar w:fldCharType="end"/>
      </w:r>
      <w:r w:rsidR="00953255">
        <w:t xml:space="preserve"> also</w:t>
      </w:r>
      <w:r w:rsidR="006172B1">
        <w:t xml:space="preserve"> measured</w:t>
      </w:r>
      <w:r w:rsidR="006172B1" w:rsidRPr="006172B1">
        <w:t xml:space="preserve"> </w:t>
      </w:r>
      <w:r w:rsidR="006172B1">
        <w:t>preoperative and post</w:t>
      </w:r>
      <w:r w:rsidR="00415491">
        <w:t>-operative</w:t>
      </w:r>
      <w:r w:rsidR="006172B1">
        <w:t xml:space="preserve"> AMH levels to assess the effect of cystectomy on ovarian reserve in patients with endometrioma and other benign cysts</w:t>
      </w:r>
      <w:r w:rsidR="00953255">
        <w:t xml:space="preserve"> (n=75)</w:t>
      </w:r>
      <w:r w:rsidR="007F4459">
        <w:t xml:space="preserve">. </w:t>
      </w:r>
      <w:r w:rsidR="003B64B1">
        <w:t>A</w:t>
      </w:r>
      <w:r w:rsidR="00953255">
        <w:t xml:space="preserve"> significant decline in AMH levels was observed in the group with endometriosis when comparing pre- and post</w:t>
      </w:r>
      <w:r w:rsidR="00415491">
        <w:t>-operative</w:t>
      </w:r>
      <w:r w:rsidR="00953255">
        <w:t xml:space="preserve"> AMH levels, </w:t>
      </w:r>
      <w:r w:rsidR="003B64B1">
        <w:t>similar to</w:t>
      </w:r>
      <w:r w:rsidR="00953255">
        <w:t xml:space="preserve"> the systematic review</w:t>
      </w:r>
      <w:r w:rsidR="003B64B1">
        <w:t xml:space="preserve"> by Somigliana et al</w:t>
      </w:r>
      <w:r w:rsidR="00953255">
        <w:t>.</w:t>
      </w:r>
    </w:p>
    <w:p w14:paraId="33FB33BA" w14:textId="0E0E17AA" w:rsidR="00084D5C" w:rsidRPr="00FB7885" w:rsidRDefault="00F3101E" w:rsidP="00FB7885">
      <w:pPr>
        <w:jc w:val="both"/>
      </w:pPr>
      <w:r>
        <w:lastRenderedPageBreak/>
        <w:t xml:space="preserve">In conclusion, the evidence identified a decline in AMH levels after gonadotoxic treatments, with the possibility of recovery of AMH levels over time based on level of toxicity, the woman’s age and other factors. </w:t>
      </w:r>
      <w:r w:rsidR="00365E1D">
        <w:t xml:space="preserve">However, no evidence was identified on how </w:t>
      </w:r>
      <w:r w:rsidR="00190032">
        <w:t xml:space="preserve">the AMH </w:t>
      </w:r>
      <w:r w:rsidR="00552E3D">
        <w:t xml:space="preserve">test results </w:t>
      </w:r>
      <w:r w:rsidR="00190032">
        <w:t xml:space="preserve">obtained </w:t>
      </w:r>
      <w:r>
        <w:t>after completion of gonadotoxic treatment</w:t>
      </w:r>
      <w:r w:rsidR="00190032">
        <w:t xml:space="preserve"> </w:t>
      </w:r>
      <w:r w:rsidR="00552E3D">
        <w:t>were used in clinical practice</w:t>
      </w:r>
      <w:r>
        <w:t>.</w:t>
      </w:r>
      <w:r w:rsidR="00552E3D">
        <w:t xml:space="preserve"> </w:t>
      </w:r>
      <w:r>
        <w:t>Evidence is lacking on h</w:t>
      </w:r>
      <w:r w:rsidR="00552E3D">
        <w:t>ow</w:t>
      </w:r>
      <w:r w:rsidR="003B64B1">
        <w:t xml:space="preserve"> repeat testing or </w:t>
      </w:r>
      <w:r>
        <w:t>monitoring</w:t>
      </w:r>
      <w:r w:rsidR="00552E3D">
        <w:t xml:space="preserve"> </w:t>
      </w:r>
      <w:r w:rsidR="003B64B1">
        <w:t xml:space="preserve">AMH levels </w:t>
      </w:r>
      <w:r>
        <w:t xml:space="preserve">changes patient </w:t>
      </w:r>
      <w:r w:rsidR="00552E3D">
        <w:t>management.</w:t>
      </w:r>
    </w:p>
    <w:p w14:paraId="46FC45CE" w14:textId="77777777" w:rsidR="006563F3" w:rsidRDefault="006563F3" w:rsidP="006563F3">
      <w:pPr>
        <w:pStyle w:val="Heading1"/>
        <w:tabs>
          <w:tab w:val="left" w:pos="1134"/>
        </w:tabs>
      </w:pPr>
      <w:bookmarkStart w:id="371" w:name="_Toc502832971"/>
      <w:r>
        <w:lastRenderedPageBreak/>
        <w:t>B7</w:t>
      </w:r>
      <w:r>
        <w:tab/>
        <w:t>Extended assessment of comparative harms</w:t>
      </w:r>
      <w:bookmarkEnd w:id="371"/>
    </w:p>
    <w:p w14:paraId="4925AD38" w14:textId="6C721464" w:rsidR="007518CF" w:rsidRDefault="00634F1E" w:rsidP="004D28BD">
      <w:r>
        <w:t>For an add-on investigation</w:t>
      </w:r>
      <w:r w:rsidR="004D28BD">
        <w:t xml:space="preserve">, </w:t>
      </w:r>
      <w:r>
        <w:t>any additional</w:t>
      </w:r>
      <w:r w:rsidR="004D28BD">
        <w:t xml:space="preserve"> harms are </w:t>
      </w:r>
      <w:r>
        <w:t>those</w:t>
      </w:r>
      <w:r w:rsidR="004D28BD">
        <w:t xml:space="preserve"> associated with </w:t>
      </w:r>
      <w:r>
        <w:t>the add-on test itself</w:t>
      </w:r>
      <w:r w:rsidR="004D28BD">
        <w:t xml:space="preserve">. As </w:t>
      </w:r>
      <w:r>
        <w:t>AMH testing</w:t>
      </w:r>
      <w:r w:rsidR="004D28BD">
        <w:t xml:space="preserve"> </w:t>
      </w:r>
      <w:r>
        <w:t>can be undertaken as</w:t>
      </w:r>
      <w:r w:rsidR="007E1128">
        <w:t xml:space="preserve"> part of a routine</w:t>
      </w:r>
      <w:r w:rsidR="004D28BD">
        <w:t xml:space="preserve"> a blood test</w:t>
      </w:r>
      <w:r w:rsidR="007E1128">
        <w:t xml:space="preserve">, no additional </w:t>
      </w:r>
      <w:r w:rsidR="004D28BD">
        <w:t xml:space="preserve">harms due to the addition of AMH </w:t>
      </w:r>
      <w:r w:rsidR="007E1128">
        <w:t>testing are</w:t>
      </w:r>
      <w:r w:rsidR="004D28BD">
        <w:t xml:space="preserve"> expected.</w:t>
      </w:r>
    </w:p>
    <w:p w14:paraId="6AFCBB5D" w14:textId="5B34A21D" w:rsidR="007518CF" w:rsidRDefault="00A01CEF" w:rsidP="00693FCA">
      <w:pPr>
        <w:jc w:val="both"/>
      </w:pPr>
      <w:r>
        <w:t>There are theoretical ha</w:t>
      </w:r>
      <w:r w:rsidR="00634F1E">
        <w:t>rms which may result downstream</w:t>
      </w:r>
      <w:r>
        <w:t xml:space="preserve"> if the results of an AMH </w:t>
      </w:r>
      <w:r w:rsidR="00634F1E">
        <w:t xml:space="preserve">test </w:t>
      </w:r>
      <w:r>
        <w:t>are used</w:t>
      </w:r>
      <w:r w:rsidR="00634F1E">
        <w:t xml:space="preserve"> to guide</w:t>
      </w:r>
      <w:r>
        <w:t xml:space="preserve"> decisions or treatments which are more harmful than </w:t>
      </w:r>
      <w:r w:rsidR="00634F1E">
        <w:t>management</w:t>
      </w:r>
      <w:r>
        <w:t xml:space="preserve"> in the absence of </w:t>
      </w:r>
      <w:r w:rsidR="00634F1E">
        <w:t xml:space="preserve">information provided by </w:t>
      </w:r>
      <w:r>
        <w:t xml:space="preserve">AMH </w:t>
      </w:r>
      <w:r w:rsidR="00634F1E">
        <w:t>testing</w:t>
      </w:r>
      <w:r>
        <w:t xml:space="preserve">. For example, if </w:t>
      </w:r>
      <w:r w:rsidR="00634F1E">
        <w:t xml:space="preserve">a </w:t>
      </w:r>
      <w:r>
        <w:t xml:space="preserve">low AMH </w:t>
      </w:r>
      <w:r w:rsidR="00634F1E">
        <w:t>test result</w:t>
      </w:r>
      <w:r>
        <w:t xml:space="preserve"> means that a patient is more likely to undergo fertility preservation procedures such as ovarian tissue, oocyte or embryo cryopreservation, the patient may delay treatment by a short interval. If it were found that this interval negatively affected their health, then this could be a downstream harm of AMH. However, there was no evidence of AMH influencing decisions or management of patients prior to or following gonadotoxic treatment. In the broader population of those undergoing IVF for male or female infertility</w:t>
      </w:r>
      <w:r w:rsidR="00634F1E">
        <w:t xml:space="preserve">, use of individualised dosing, </w:t>
      </w:r>
      <w:r>
        <w:t>incorporating AMH levels to determine use of go</w:t>
      </w:r>
      <w:r w:rsidR="00634F1E">
        <w:t>nadotropins</w:t>
      </w:r>
      <w:r>
        <w:t xml:space="preserve">, was associated with a reduced risk of </w:t>
      </w:r>
      <w:r w:rsidR="00634F1E">
        <w:t>OHSS</w:t>
      </w:r>
      <w:r>
        <w:t xml:space="preserve"> than the group with standardised dosing. It is therefore hypothesised that use of AMH testing may result in superior safety</w:t>
      </w:r>
      <w:r w:rsidR="00A06CF4">
        <w:t xml:space="preserve"> than not using AMH testing</w:t>
      </w:r>
      <w:r>
        <w:t>, if this information is used to influence dosing of gonadotropins.</w:t>
      </w:r>
    </w:p>
    <w:p w14:paraId="6C956C71" w14:textId="45731516" w:rsidR="006563F3" w:rsidRDefault="00FD29A1" w:rsidP="00190673">
      <w:pPr>
        <w:pStyle w:val="Heading1"/>
        <w:tabs>
          <w:tab w:val="left" w:pos="1134"/>
        </w:tabs>
      </w:pPr>
      <w:bookmarkStart w:id="372" w:name="_Toc502832972"/>
      <w:r>
        <w:lastRenderedPageBreak/>
        <w:t>B8</w:t>
      </w:r>
      <w:r w:rsidR="00E96446">
        <w:tab/>
        <w:t>Interpretation of the clinical evidence</w:t>
      </w:r>
      <w:bookmarkEnd w:id="372"/>
    </w:p>
    <w:p w14:paraId="57CB6810" w14:textId="38380BBC" w:rsidR="007518CF" w:rsidRDefault="00E96446" w:rsidP="008F664F">
      <w:pPr>
        <w:jc w:val="both"/>
      </w:pPr>
      <w:r w:rsidRPr="002E2A40">
        <w:t xml:space="preserve">It is important to classify the therapeutic profile </w:t>
      </w:r>
      <w:r w:rsidRPr="00F90BF5">
        <w:t>of the proposed investigative test and associated interventions</w:t>
      </w:r>
      <w:r w:rsidRPr="00B11E70">
        <w:t xml:space="preserve"> in relati</w:t>
      </w:r>
      <w:r>
        <w:t xml:space="preserve">on </w:t>
      </w:r>
      <w:r w:rsidRPr="00F90BF5">
        <w:t xml:space="preserve">to </w:t>
      </w:r>
      <w:r w:rsidR="00634F1E">
        <w:t xml:space="preserve">the main comparators, </w:t>
      </w:r>
      <w:r w:rsidRPr="00F90BF5">
        <w:t>i.e.</w:t>
      </w:r>
      <w:r>
        <w:t xml:space="preserve"> </w:t>
      </w:r>
      <w:r w:rsidRPr="000319A4">
        <w:t>whether it i</w:t>
      </w:r>
      <w:r>
        <w:t xml:space="preserve">s therapeutically superior, inferior </w:t>
      </w:r>
      <w:r w:rsidR="00634F1E">
        <w:t>or equivalent to the comparators</w:t>
      </w:r>
      <w:r>
        <w:t>.</w:t>
      </w:r>
    </w:p>
    <w:p w14:paraId="090BB5FE" w14:textId="6E73264E" w:rsidR="00E96446" w:rsidRPr="008F664F" w:rsidRDefault="00634F1E" w:rsidP="008F664F">
      <w:pPr>
        <w:jc w:val="both"/>
      </w:pPr>
      <w:r>
        <w:t xml:space="preserve">The evidence profile </w:t>
      </w:r>
      <w:r w:rsidR="00E96446">
        <w:t>summarised in</w:t>
      </w:r>
      <w:r w:rsidR="007E7F41">
        <w:t xml:space="preserve"> </w:t>
      </w:r>
      <w:r w:rsidR="00ED4010">
        <w:fldChar w:fldCharType="begin"/>
      </w:r>
      <w:r w:rsidR="00ED4010">
        <w:instrText xml:space="preserve"> REF _Ref497983153 \h </w:instrText>
      </w:r>
      <w:r w:rsidR="00ED4010">
        <w:fldChar w:fldCharType="separate"/>
      </w:r>
      <w:r w:rsidR="00AC4BE5">
        <w:t xml:space="preserve">Table </w:t>
      </w:r>
      <w:r w:rsidR="00AC4BE5">
        <w:rPr>
          <w:noProof/>
        </w:rPr>
        <w:t>60</w:t>
      </w:r>
      <w:r w:rsidR="00ED4010">
        <w:fldChar w:fldCharType="end"/>
      </w:r>
      <w:r>
        <w:t xml:space="preserve"> suggests that</w:t>
      </w:r>
      <w:r w:rsidR="00E96446" w:rsidRPr="00634F1E">
        <w:t xml:space="preserve"> </w:t>
      </w:r>
      <w:r w:rsidR="00E96446" w:rsidRPr="008B6EBE">
        <w:rPr>
          <w:b/>
        </w:rPr>
        <w:t xml:space="preserve">relative to </w:t>
      </w:r>
      <w:r w:rsidR="008F664F">
        <w:rPr>
          <w:b/>
        </w:rPr>
        <w:t>other ovarian reserve tests alone</w:t>
      </w:r>
      <w:r w:rsidR="00E96446" w:rsidRPr="008B6EBE">
        <w:rPr>
          <w:b/>
        </w:rPr>
        <w:t xml:space="preserve">, </w:t>
      </w:r>
      <w:r w:rsidR="008F664F">
        <w:rPr>
          <w:b/>
        </w:rPr>
        <w:t xml:space="preserve">the AMH </w:t>
      </w:r>
      <w:r w:rsidR="00E96446">
        <w:rPr>
          <w:b/>
        </w:rPr>
        <w:t xml:space="preserve">test and associated </w:t>
      </w:r>
      <w:r w:rsidR="00C55CAD">
        <w:rPr>
          <w:b/>
        </w:rPr>
        <w:t>interventions have</w:t>
      </w:r>
      <w:r w:rsidR="00E96446" w:rsidRPr="003146D7">
        <w:rPr>
          <w:b/>
        </w:rPr>
        <w:t xml:space="preserve"> non-inferior</w:t>
      </w:r>
      <w:r w:rsidR="00A73F39">
        <w:rPr>
          <w:b/>
        </w:rPr>
        <w:t xml:space="preserve"> </w:t>
      </w:r>
      <w:r w:rsidR="00E96446" w:rsidRPr="008B6EBE">
        <w:rPr>
          <w:b/>
        </w:rPr>
        <w:t xml:space="preserve">safety and </w:t>
      </w:r>
      <w:r w:rsidR="00E96446" w:rsidRPr="003146D7">
        <w:rPr>
          <w:b/>
        </w:rPr>
        <w:t>u</w:t>
      </w:r>
      <w:r w:rsidR="008F664F" w:rsidRPr="003146D7">
        <w:rPr>
          <w:b/>
        </w:rPr>
        <w:t xml:space="preserve">ncertain incremental </w:t>
      </w:r>
      <w:r w:rsidR="00E96446" w:rsidRPr="0026261C">
        <w:rPr>
          <w:b/>
        </w:rPr>
        <w:t>effectiveness.</w:t>
      </w:r>
    </w:p>
    <w:p w14:paraId="6C9DF14B" w14:textId="7453207D" w:rsidR="00757A69" w:rsidRDefault="00DF3B30" w:rsidP="00C55CAD">
      <w:pPr>
        <w:jc w:val="both"/>
      </w:pPr>
      <w:r>
        <w:t>No direct</w:t>
      </w:r>
      <w:r w:rsidR="00711A44">
        <w:t xml:space="preserve"> evidence was identified </w:t>
      </w:r>
      <w:r>
        <w:t xml:space="preserve">to determine the </w:t>
      </w:r>
      <w:r w:rsidR="00B61115">
        <w:t>e</w:t>
      </w:r>
      <w:r>
        <w:t>ffectiveness of AMH testing in addition to other standard tests, compared to other standard tests alone, in patients prior to or following completion of gonadotoxic therapy.</w:t>
      </w:r>
      <w:r w:rsidR="00C55CAD">
        <w:t xml:space="preserve"> </w:t>
      </w:r>
      <w:r w:rsidR="009B3DCB">
        <w:t>N</w:t>
      </w:r>
      <w:r w:rsidR="00B61115">
        <w:t>o studies meeting the PICO criteria regarding safety of AMH testing were identified. However, the test is done through a routine blood test and this is generally considered safe.</w:t>
      </w:r>
    </w:p>
    <w:p w14:paraId="4A9C9FAC" w14:textId="76187E29" w:rsidR="007518CF" w:rsidRDefault="000C354A" w:rsidP="003146D7">
      <w:pPr>
        <w:jc w:val="both"/>
      </w:pPr>
      <w:r>
        <w:t xml:space="preserve">AMH testing was proposed by the applicants to be an additional </w:t>
      </w:r>
      <w:r w:rsidR="00C55CAD">
        <w:t>investigation</w:t>
      </w:r>
      <w:r>
        <w:t xml:space="preserve"> to those alr</w:t>
      </w:r>
      <w:r w:rsidR="00C55CAD">
        <w:t xml:space="preserve">eady used in clinical practice for </w:t>
      </w:r>
      <w:r>
        <w:t>women who are at ri</w:t>
      </w:r>
      <w:r w:rsidR="00C55CAD">
        <w:t>sk of premature ovarian failure</w:t>
      </w:r>
      <w:r>
        <w:t xml:space="preserve"> due to gonadotoxic treatment. </w:t>
      </w:r>
      <w:r w:rsidR="00C55CAD">
        <w:t>Therefore</w:t>
      </w:r>
      <w:r>
        <w:t xml:space="preserve">, in order to demonstrate the </w:t>
      </w:r>
      <w:r w:rsidR="00C55CAD">
        <w:t>benefit of AMH testing</w:t>
      </w:r>
      <w:r>
        <w:t xml:space="preserve">, </w:t>
      </w:r>
      <w:r w:rsidR="00C55CAD">
        <w:t xml:space="preserve">evidence of incremental benefit </w:t>
      </w:r>
      <w:r>
        <w:t>over and above th</w:t>
      </w:r>
      <w:r w:rsidR="00DE3310">
        <w:t>e tests already being performed</w:t>
      </w:r>
      <w:r>
        <w:t xml:space="preserve"> is required</w:t>
      </w:r>
      <w:r w:rsidR="007F4459">
        <w:t xml:space="preserve">. </w:t>
      </w:r>
      <w:r>
        <w:t>AMH testing prior to gonadotoxic treatment was found to be a predictor of amenorrhea or menses after gonadotoxic treatment, even when other prognostic factors such as age and FSH were controlled for in multivariate analyses. This suggests that AMH does provide some additional useful information for</w:t>
      </w:r>
      <w:r w:rsidR="0013727A">
        <w:t xml:space="preserve"> predicting ovarian functioning. However, the relationship between AMH testing and the most clinically relevant outcome of a live birth was not significant. </w:t>
      </w:r>
      <w:r w:rsidR="00F30BC4">
        <w:t>No studies were identified which actually reported on how the prognostic information is being used in the population undergoing gonadotoxic treatment.</w:t>
      </w:r>
    </w:p>
    <w:p w14:paraId="09DE889B" w14:textId="18F9A222" w:rsidR="007518CF" w:rsidRDefault="0013727A" w:rsidP="003146D7">
      <w:pPr>
        <w:jc w:val="both"/>
      </w:pPr>
      <w:r>
        <w:t xml:space="preserve">AMH levels do significantly relate to the number of oocytes which are able to be retrieved for IVF. In the broader population, there is evidence that this information can be used to prevent cases of </w:t>
      </w:r>
      <w:r w:rsidR="00DE3310">
        <w:t>OHSS</w:t>
      </w:r>
      <w:r>
        <w:t xml:space="preserve">, although the study which demonstrated this was confounded by a change in </w:t>
      </w:r>
      <w:r w:rsidR="00DE3310">
        <w:t>FSH,</w:t>
      </w:r>
      <w:r>
        <w:t xml:space="preserve"> </w:t>
      </w:r>
      <w:r w:rsidR="00DE3310">
        <w:t>and the method used to determine dosage</w:t>
      </w:r>
      <w:r>
        <w:t>.</w:t>
      </w:r>
    </w:p>
    <w:p w14:paraId="4F10CB7C" w14:textId="4298120D" w:rsidR="007518CF" w:rsidRDefault="00F30BC4" w:rsidP="003146D7">
      <w:pPr>
        <w:jc w:val="both"/>
      </w:pPr>
      <w:r>
        <w:t xml:space="preserve">Studies on the analytical validity of the AMH test suggest </w:t>
      </w:r>
      <w:r w:rsidR="004B50AA">
        <w:t xml:space="preserve">AMH levels </w:t>
      </w:r>
      <w:r w:rsidR="00DE3310">
        <w:t>have a moderate to strong positive correlation</w:t>
      </w:r>
      <w:r w:rsidR="004B50AA">
        <w:t xml:space="preserve"> with AFC and inhibin B levels. This is not surprising, as these counts and hormone levels trend downwards as women approach menopause (</w:t>
      </w:r>
      <w:r w:rsidR="00A42B1E">
        <w:rPr>
          <w:color w:val="000000" w:themeColor="text1"/>
        </w:rPr>
        <w:fldChar w:fldCharType="begin"/>
      </w:r>
      <w:r w:rsidR="00A42B1E">
        <w:rPr>
          <w:color w:val="000000" w:themeColor="text1"/>
        </w:rPr>
        <w:instrText xml:space="preserve"> REF _Ref502758420 \h </w:instrText>
      </w:r>
      <w:r w:rsidR="00A42B1E">
        <w:rPr>
          <w:color w:val="000000" w:themeColor="text1"/>
        </w:rPr>
      </w:r>
      <w:r w:rsidR="00A42B1E">
        <w:rPr>
          <w:color w:val="000000" w:themeColor="text1"/>
        </w:rPr>
        <w:fldChar w:fldCharType="separate"/>
      </w:r>
      <w:r w:rsidR="00AC4BE5">
        <w:t xml:space="preserve">Figure </w:t>
      </w:r>
      <w:r w:rsidR="00AC4BE5">
        <w:rPr>
          <w:noProof/>
        </w:rPr>
        <w:t>1</w:t>
      </w:r>
      <w:r w:rsidR="00A42B1E">
        <w:rPr>
          <w:color w:val="000000" w:themeColor="text1"/>
        </w:rPr>
        <w:fldChar w:fldCharType="end"/>
      </w:r>
      <w:r w:rsidR="004B50AA">
        <w:t>)</w:t>
      </w:r>
      <w:r w:rsidR="007F4459">
        <w:t xml:space="preserve">. </w:t>
      </w:r>
      <w:r>
        <w:t xml:space="preserve">Different AMH assays correlated highly with each other, although they differed greatly in how sensitive they were. </w:t>
      </w:r>
      <w:r w:rsidR="00D44FFF">
        <w:t>This leads to concerns that different thresholds will need to be determined for each assay, as the interpretation of scores will differ.</w:t>
      </w:r>
    </w:p>
    <w:p w14:paraId="61D66B3C" w14:textId="77777777" w:rsidR="00604A86" w:rsidRDefault="00604A86" w:rsidP="00E96446">
      <w:pPr>
        <w:jc w:val="both"/>
        <w:sectPr w:rsidR="00604A86" w:rsidSect="00034A79">
          <w:pgSz w:w="11906" w:h="16838"/>
          <w:pgMar w:top="1440" w:right="1440" w:bottom="1440" w:left="1440" w:header="720" w:footer="720" w:gutter="0"/>
          <w:paperSrc w:first="1512" w:other="1512"/>
          <w:cols w:space="720"/>
          <w:docGrid w:linePitch="299"/>
        </w:sectPr>
      </w:pPr>
    </w:p>
    <w:p w14:paraId="61A0F712" w14:textId="46D7DA16" w:rsidR="00085E9D" w:rsidRDefault="00085E9D" w:rsidP="00E96446">
      <w:pPr>
        <w:jc w:val="both"/>
      </w:pPr>
    </w:p>
    <w:p w14:paraId="6A32C4C8" w14:textId="0E4449EE" w:rsidR="00223E8F" w:rsidRDefault="00223E8F" w:rsidP="00223E8F">
      <w:pPr>
        <w:pStyle w:val="Caption"/>
      </w:pPr>
      <w:bookmarkStart w:id="373" w:name="_Ref497983153"/>
      <w:bookmarkStart w:id="374" w:name="_Toc502833078"/>
      <w:r>
        <w:t xml:space="preserve">Table </w:t>
      </w:r>
      <w:r w:rsidR="00AC4BE5">
        <w:fldChar w:fldCharType="begin"/>
      </w:r>
      <w:r w:rsidR="00AC4BE5">
        <w:instrText xml:space="preserve"> SEQ Table \* ARABIC </w:instrText>
      </w:r>
      <w:r w:rsidR="00AC4BE5">
        <w:fldChar w:fldCharType="separate"/>
      </w:r>
      <w:r w:rsidR="00AC4BE5">
        <w:rPr>
          <w:noProof/>
        </w:rPr>
        <w:t>60</w:t>
      </w:r>
      <w:r w:rsidR="00AC4BE5">
        <w:rPr>
          <w:noProof/>
        </w:rPr>
        <w:fldChar w:fldCharType="end"/>
      </w:r>
      <w:bookmarkEnd w:id="373"/>
      <w:r w:rsidR="00283CAD">
        <w:tab/>
      </w:r>
      <w:r>
        <w:t>Summary of findings table</w:t>
      </w:r>
      <w:bookmarkEnd w:id="374"/>
    </w:p>
    <w:tbl>
      <w:tblPr>
        <w:tblStyle w:val="TableGrid"/>
        <w:tblW w:w="5183" w:type="pct"/>
        <w:tblInd w:w="-147" w:type="dxa"/>
        <w:tblLayout w:type="fixed"/>
        <w:tblLook w:val="04A0" w:firstRow="1" w:lastRow="0" w:firstColumn="1" w:lastColumn="0" w:noHBand="0" w:noVBand="1"/>
        <w:tblCaption w:val="Table 42"/>
        <w:tblDescription w:val="Balance of clinical benefits and harms of CMR, relative to stress ECHO, SPECT and CTCA"/>
      </w:tblPr>
      <w:tblGrid>
        <w:gridCol w:w="1873"/>
        <w:gridCol w:w="1873"/>
        <w:gridCol w:w="1297"/>
        <w:gridCol w:w="2016"/>
        <w:gridCol w:w="3313"/>
        <w:gridCol w:w="2881"/>
        <w:gridCol w:w="1440"/>
      </w:tblGrid>
      <w:tr w:rsidR="00DF2319" w:rsidRPr="001B2E40" w14:paraId="597D96FE" w14:textId="77777777" w:rsidTr="00AC6E6F">
        <w:trPr>
          <w:trHeight w:val="60"/>
          <w:tblHeader/>
        </w:trPr>
        <w:tc>
          <w:tcPr>
            <w:tcW w:w="1843" w:type="dxa"/>
          </w:tcPr>
          <w:p w14:paraId="4BD3D444" w14:textId="77777777" w:rsidR="00DF2319" w:rsidRPr="001B2E40" w:rsidRDefault="00DF2319" w:rsidP="00223E8F">
            <w:pPr>
              <w:pStyle w:val="TableHeading"/>
              <w:keepNext w:val="0"/>
              <w:ind w:left="4"/>
            </w:pPr>
            <w:r>
              <w:t>Section in report</w:t>
            </w:r>
          </w:p>
        </w:tc>
        <w:tc>
          <w:tcPr>
            <w:tcW w:w="1843" w:type="dxa"/>
          </w:tcPr>
          <w:p w14:paraId="1883016F" w14:textId="339A4651" w:rsidR="00DF2319" w:rsidRPr="001B2E40" w:rsidRDefault="008E7AA6" w:rsidP="00223E8F">
            <w:pPr>
              <w:pStyle w:val="TableHeading"/>
              <w:keepNext w:val="0"/>
              <w:ind w:left="4"/>
            </w:pPr>
            <w:r>
              <w:t xml:space="preserve">Aim / </w:t>
            </w:r>
            <w:r w:rsidR="00811281">
              <w:t>o</w:t>
            </w:r>
            <w:r w:rsidR="00DF2319" w:rsidRPr="001B2E40">
              <w:t>utcomes</w:t>
            </w:r>
            <w:r w:rsidR="00DF2319">
              <w:t xml:space="preserve"> </w:t>
            </w:r>
          </w:p>
        </w:tc>
        <w:tc>
          <w:tcPr>
            <w:tcW w:w="1276" w:type="dxa"/>
          </w:tcPr>
          <w:p w14:paraId="74DAB2CC" w14:textId="7A4CF26E" w:rsidR="00DF2319" w:rsidRPr="001B2E40" w:rsidRDefault="00DF2319" w:rsidP="00223E8F">
            <w:pPr>
              <w:pStyle w:val="TableHeading"/>
              <w:keepNext w:val="0"/>
              <w:ind w:left="4"/>
            </w:pPr>
            <w:r>
              <w:t>Participants (studies)</w:t>
            </w:r>
          </w:p>
        </w:tc>
        <w:tc>
          <w:tcPr>
            <w:tcW w:w="1984" w:type="dxa"/>
          </w:tcPr>
          <w:p w14:paraId="45DF1D79" w14:textId="579EF1B3" w:rsidR="00DF2319" w:rsidRPr="001B2E40" w:rsidRDefault="00DF2319" w:rsidP="00223E8F">
            <w:pPr>
              <w:pStyle w:val="TableHeading"/>
              <w:keepNext w:val="0"/>
              <w:ind w:left="4"/>
            </w:pPr>
            <w:r w:rsidRPr="001B2E40">
              <w:t>Quality of evidence</w:t>
            </w:r>
          </w:p>
        </w:tc>
        <w:tc>
          <w:tcPr>
            <w:tcW w:w="3260" w:type="dxa"/>
          </w:tcPr>
          <w:p w14:paraId="050A3426" w14:textId="79B59341" w:rsidR="00DF2319" w:rsidRPr="001B2E40" w:rsidRDefault="00DF2319" w:rsidP="00223E8F">
            <w:pPr>
              <w:pStyle w:val="TableHeading"/>
              <w:keepNext w:val="0"/>
              <w:ind w:left="4"/>
            </w:pPr>
            <w:r w:rsidRPr="001B2E40">
              <w:t>Results</w:t>
            </w:r>
          </w:p>
        </w:tc>
        <w:tc>
          <w:tcPr>
            <w:tcW w:w="2835" w:type="dxa"/>
          </w:tcPr>
          <w:p w14:paraId="737F48FA" w14:textId="77777777" w:rsidR="00DF2319" w:rsidRPr="001B2E40" w:rsidRDefault="00DF2319" w:rsidP="00223E8F">
            <w:pPr>
              <w:pStyle w:val="TableHeading"/>
              <w:keepNext w:val="0"/>
              <w:ind w:left="4"/>
            </w:pPr>
            <w:r w:rsidRPr="001B2E40">
              <w:t>Interpretation</w:t>
            </w:r>
          </w:p>
        </w:tc>
        <w:tc>
          <w:tcPr>
            <w:tcW w:w="1417" w:type="dxa"/>
          </w:tcPr>
          <w:p w14:paraId="751FA158" w14:textId="77777777" w:rsidR="00DF2319" w:rsidRPr="001B2E40" w:rsidRDefault="00DF2319" w:rsidP="00223E8F">
            <w:pPr>
              <w:pStyle w:val="TableHeading"/>
              <w:keepNext w:val="0"/>
              <w:ind w:left="4"/>
            </w:pPr>
            <w:r>
              <w:t xml:space="preserve">Quality of evidence using </w:t>
            </w:r>
            <w:r w:rsidRPr="001B2E40">
              <w:t>GRADE</w:t>
            </w:r>
          </w:p>
        </w:tc>
      </w:tr>
      <w:tr w:rsidR="00DF2319" w:rsidRPr="00DF2319" w14:paraId="361AE56B" w14:textId="77777777" w:rsidTr="00AC6E6F">
        <w:trPr>
          <w:trHeight w:val="60"/>
        </w:trPr>
        <w:tc>
          <w:tcPr>
            <w:tcW w:w="1843" w:type="dxa"/>
            <w:tcBorders>
              <w:bottom w:val="single" w:sz="4" w:space="0" w:color="auto"/>
            </w:tcBorders>
          </w:tcPr>
          <w:p w14:paraId="05C58823" w14:textId="4D7CE898" w:rsidR="00DF2319" w:rsidRPr="00DF2319" w:rsidRDefault="00DF2319" w:rsidP="00223E8F">
            <w:pPr>
              <w:pStyle w:val="TableHeading"/>
              <w:keepNext w:val="0"/>
              <w:ind w:left="4" w:right="-80"/>
              <w:rPr>
                <w:b w:val="0"/>
              </w:rPr>
            </w:pPr>
            <w:r>
              <w:rPr>
                <w:b w:val="0"/>
              </w:rPr>
              <w:t>B1 Direct evidence</w:t>
            </w:r>
          </w:p>
        </w:tc>
        <w:tc>
          <w:tcPr>
            <w:tcW w:w="1843" w:type="dxa"/>
          </w:tcPr>
          <w:p w14:paraId="060467AE" w14:textId="5B9E3520" w:rsidR="00DF2319" w:rsidRPr="00DF2319" w:rsidRDefault="00DF2319" w:rsidP="00223E8F">
            <w:pPr>
              <w:pStyle w:val="TableHeading"/>
              <w:keepNext w:val="0"/>
              <w:ind w:left="4"/>
              <w:rPr>
                <w:b w:val="0"/>
              </w:rPr>
            </w:pPr>
            <w:r>
              <w:rPr>
                <w:b w:val="0"/>
              </w:rPr>
              <w:t>Direct effectiveness and safety of AMH testing and comparative tests</w:t>
            </w:r>
          </w:p>
        </w:tc>
        <w:tc>
          <w:tcPr>
            <w:tcW w:w="1276" w:type="dxa"/>
          </w:tcPr>
          <w:p w14:paraId="4A23D70B" w14:textId="77777777" w:rsidR="00DF2319" w:rsidRDefault="00DF2319" w:rsidP="00223E8F">
            <w:pPr>
              <w:pStyle w:val="TableHeading"/>
              <w:keepNext w:val="0"/>
              <w:ind w:left="4"/>
              <w:rPr>
                <w:b w:val="0"/>
              </w:rPr>
            </w:pPr>
            <w:r>
              <w:rPr>
                <w:b w:val="0"/>
              </w:rPr>
              <w:t>K=0</w:t>
            </w:r>
          </w:p>
          <w:p w14:paraId="720A4431" w14:textId="34874CE0" w:rsidR="007E5032" w:rsidRPr="00DF2319" w:rsidRDefault="007E5032" w:rsidP="00223E8F">
            <w:pPr>
              <w:pStyle w:val="TableHeading"/>
              <w:keepNext w:val="0"/>
              <w:ind w:left="4"/>
              <w:rPr>
                <w:b w:val="0"/>
              </w:rPr>
            </w:pPr>
            <w:r>
              <w:rPr>
                <w:b w:val="0"/>
              </w:rPr>
              <w:t>N=</w:t>
            </w:r>
            <w:r w:rsidR="007C0944">
              <w:rPr>
                <w:b w:val="0"/>
              </w:rPr>
              <w:t>0</w:t>
            </w:r>
          </w:p>
        </w:tc>
        <w:tc>
          <w:tcPr>
            <w:tcW w:w="1984" w:type="dxa"/>
          </w:tcPr>
          <w:p w14:paraId="4634188F" w14:textId="1D3B5B05" w:rsidR="00DF2319" w:rsidRPr="00DF2319" w:rsidRDefault="00283CAD" w:rsidP="00223E8F">
            <w:pPr>
              <w:pStyle w:val="TableHeading"/>
              <w:keepNext w:val="0"/>
              <w:ind w:left="4"/>
              <w:rPr>
                <w:b w:val="0"/>
              </w:rPr>
            </w:pPr>
            <w:r>
              <w:rPr>
                <w:rFonts w:cs="Arial"/>
                <w:b w:val="0"/>
              </w:rPr>
              <w:t>NA</w:t>
            </w:r>
          </w:p>
        </w:tc>
        <w:tc>
          <w:tcPr>
            <w:tcW w:w="3260" w:type="dxa"/>
          </w:tcPr>
          <w:p w14:paraId="0EE6FEAB" w14:textId="4F503394" w:rsidR="00DF2319" w:rsidRPr="00DF2319" w:rsidRDefault="00DF2319" w:rsidP="00223E8F">
            <w:pPr>
              <w:pStyle w:val="TableHeading"/>
              <w:keepNext w:val="0"/>
              <w:ind w:left="4"/>
              <w:rPr>
                <w:b w:val="0"/>
              </w:rPr>
            </w:pPr>
            <w:r>
              <w:rPr>
                <w:b w:val="0"/>
              </w:rPr>
              <w:t xml:space="preserve">No </w:t>
            </w:r>
            <w:r w:rsidR="003D73D0">
              <w:rPr>
                <w:b w:val="0"/>
              </w:rPr>
              <w:t>evidence was</w:t>
            </w:r>
            <w:r>
              <w:rPr>
                <w:b w:val="0"/>
              </w:rPr>
              <w:t xml:space="preserve"> identified on the direct effectiveness or harms of AMH testing in women undergoing gonadotoxic treatment.</w:t>
            </w:r>
          </w:p>
        </w:tc>
        <w:tc>
          <w:tcPr>
            <w:tcW w:w="2835" w:type="dxa"/>
          </w:tcPr>
          <w:p w14:paraId="4EC4AB21" w14:textId="3487BF5A" w:rsidR="00DF2319" w:rsidRPr="00DF2319" w:rsidRDefault="003D73D0" w:rsidP="00223E8F">
            <w:pPr>
              <w:pStyle w:val="TableHeading"/>
              <w:keepNext w:val="0"/>
              <w:ind w:left="4"/>
              <w:rPr>
                <w:b w:val="0"/>
              </w:rPr>
            </w:pPr>
            <w:r>
              <w:rPr>
                <w:b w:val="0"/>
              </w:rPr>
              <w:t>No conclusions can be made on direct effectiveness. No safety concerns were raised</w:t>
            </w:r>
            <w:r w:rsidR="007F4459">
              <w:rPr>
                <w:b w:val="0"/>
              </w:rPr>
              <w:t xml:space="preserve">. </w:t>
            </w:r>
            <w:r w:rsidR="00DF2319">
              <w:rPr>
                <w:b w:val="0"/>
              </w:rPr>
              <w:t>AMH is measured through a routine blood test and this is generally considered safe.</w:t>
            </w:r>
          </w:p>
        </w:tc>
        <w:tc>
          <w:tcPr>
            <w:tcW w:w="1417" w:type="dxa"/>
          </w:tcPr>
          <w:p w14:paraId="69E5F5FD" w14:textId="131B28C0" w:rsidR="00DF2319" w:rsidRPr="00DF2319" w:rsidRDefault="00283CAD" w:rsidP="00223E8F">
            <w:pPr>
              <w:pStyle w:val="TableHeading"/>
              <w:keepNext w:val="0"/>
              <w:ind w:left="4"/>
              <w:rPr>
                <w:b w:val="0"/>
              </w:rPr>
            </w:pPr>
            <w:r>
              <w:rPr>
                <w:b w:val="0"/>
              </w:rPr>
              <w:t>N</w:t>
            </w:r>
            <w:r w:rsidR="00DF2319">
              <w:rPr>
                <w:b w:val="0"/>
              </w:rPr>
              <w:t>A</w:t>
            </w:r>
          </w:p>
        </w:tc>
      </w:tr>
      <w:tr w:rsidR="00DF2319" w:rsidRPr="00DF2319" w14:paraId="3D15DE98" w14:textId="77777777" w:rsidTr="00AC6E6F">
        <w:trPr>
          <w:trHeight w:val="60"/>
        </w:trPr>
        <w:tc>
          <w:tcPr>
            <w:tcW w:w="1843" w:type="dxa"/>
            <w:tcBorders>
              <w:top w:val="single" w:sz="4" w:space="0" w:color="auto"/>
              <w:left w:val="single" w:sz="4" w:space="0" w:color="auto"/>
              <w:bottom w:val="nil"/>
              <w:right w:val="single" w:sz="4" w:space="0" w:color="auto"/>
            </w:tcBorders>
          </w:tcPr>
          <w:p w14:paraId="41675759" w14:textId="366E4CA6" w:rsidR="00DF2319" w:rsidRPr="00DF2319" w:rsidRDefault="00DF2319" w:rsidP="00223E8F">
            <w:pPr>
              <w:pStyle w:val="TableHeading"/>
              <w:keepNext w:val="0"/>
              <w:ind w:left="4" w:right="-80"/>
              <w:rPr>
                <w:b w:val="0"/>
              </w:rPr>
            </w:pPr>
            <w:r>
              <w:rPr>
                <w:b w:val="0"/>
              </w:rPr>
              <w:t xml:space="preserve">B3 </w:t>
            </w:r>
            <w:r w:rsidR="00C94CF5">
              <w:rPr>
                <w:b w:val="0"/>
              </w:rPr>
              <w:t>Analytical validity</w:t>
            </w:r>
          </w:p>
        </w:tc>
        <w:tc>
          <w:tcPr>
            <w:tcW w:w="1843" w:type="dxa"/>
            <w:tcBorders>
              <w:left w:val="single" w:sz="4" w:space="0" w:color="auto"/>
            </w:tcBorders>
          </w:tcPr>
          <w:p w14:paraId="348ED570" w14:textId="2EA2DADC" w:rsidR="00DF2319" w:rsidRPr="00DF2319" w:rsidRDefault="00DF2319" w:rsidP="00223E8F">
            <w:pPr>
              <w:pStyle w:val="TableHeading"/>
              <w:keepNext w:val="0"/>
              <w:ind w:left="4"/>
              <w:rPr>
                <w:b w:val="0"/>
              </w:rPr>
            </w:pPr>
            <w:r>
              <w:rPr>
                <w:b w:val="0"/>
              </w:rPr>
              <w:t>Accuracy of AMH in diagnosing ovarian failure</w:t>
            </w:r>
            <w:r w:rsidR="005C5842">
              <w:rPr>
                <w:b w:val="0"/>
              </w:rPr>
              <w:t xml:space="preserve"> (compared to other test(s))</w:t>
            </w:r>
          </w:p>
        </w:tc>
        <w:tc>
          <w:tcPr>
            <w:tcW w:w="1276" w:type="dxa"/>
          </w:tcPr>
          <w:p w14:paraId="7023F913" w14:textId="77777777" w:rsidR="00DF2319" w:rsidRDefault="005C5842" w:rsidP="00223E8F">
            <w:pPr>
              <w:spacing w:after="40" w:line="240" w:lineRule="auto"/>
              <w:ind w:left="4"/>
              <w:rPr>
                <w:rFonts w:ascii="Arial Narrow" w:hAnsi="Arial Narrow" w:cs="Arial"/>
                <w:sz w:val="20"/>
                <w:szCs w:val="20"/>
              </w:rPr>
            </w:pPr>
            <w:r>
              <w:rPr>
                <w:rFonts w:ascii="Arial Narrow" w:hAnsi="Arial Narrow" w:cs="Arial"/>
                <w:sz w:val="20"/>
                <w:szCs w:val="20"/>
              </w:rPr>
              <w:t>K=2</w:t>
            </w:r>
          </w:p>
          <w:p w14:paraId="669EF6F0" w14:textId="5AC8A2F9" w:rsidR="007E5032" w:rsidRPr="00DF2319" w:rsidRDefault="007E5032" w:rsidP="00223E8F">
            <w:pPr>
              <w:spacing w:after="40" w:line="240" w:lineRule="auto"/>
              <w:ind w:left="4"/>
              <w:rPr>
                <w:rFonts w:ascii="Arial Narrow" w:hAnsi="Arial Narrow" w:cs="Arial"/>
                <w:sz w:val="20"/>
                <w:szCs w:val="20"/>
              </w:rPr>
            </w:pPr>
            <w:r>
              <w:rPr>
                <w:rFonts w:ascii="Arial Narrow" w:hAnsi="Arial Narrow" w:cs="Arial"/>
                <w:sz w:val="20"/>
                <w:szCs w:val="20"/>
              </w:rPr>
              <w:t>N=</w:t>
            </w:r>
            <w:r w:rsidR="007C0944">
              <w:rPr>
                <w:rFonts w:ascii="Arial Narrow" w:hAnsi="Arial Narrow" w:cs="Arial"/>
                <w:sz w:val="20"/>
                <w:szCs w:val="20"/>
              </w:rPr>
              <w:t>113</w:t>
            </w:r>
          </w:p>
        </w:tc>
        <w:tc>
          <w:tcPr>
            <w:tcW w:w="1984" w:type="dxa"/>
          </w:tcPr>
          <w:p w14:paraId="0B0946B0" w14:textId="619AAFEF" w:rsidR="00DF2319" w:rsidRPr="00DF2319" w:rsidRDefault="00DF2319"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Risk of bias: </w:t>
            </w:r>
            <w:r w:rsidR="008A1873">
              <w:rPr>
                <w:rFonts w:ascii="Arial Narrow" w:hAnsi="Arial Narrow" w:cs="Arial"/>
                <w:sz w:val="20"/>
                <w:szCs w:val="20"/>
              </w:rPr>
              <w:t>0</w:t>
            </w:r>
          </w:p>
          <w:p w14:paraId="7DE97CC4" w14:textId="2562BFB6" w:rsidR="00DF2319" w:rsidRPr="00DF2319" w:rsidRDefault="00DF2319"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Inconsistency:</w:t>
            </w:r>
          </w:p>
          <w:p w14:paraId="01645934" w14:textId="0B28A4C2" w:rsidR="00DF2319" w:rsidRPr="00DF2319" w:rsidRDefault="00DF2319"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Indirectness: </w:t>
            </w:r>
            <w:r w:rsidR="00F03182">
              <w:rPr>
                <w:rFonts w:ascii="Arial Narrow" w:hAnsi="Arial Narrow" w:cs="Arial"/>
                <w:sz w:val="20"/>
                <w:szCs w:val="20"/>
              </w:rPr>
              <w:t>-1</w:t>
            </w:r>
          </w:p>
          <w:p w14:paraId="01BEC5E2" w14:textId="04AC2129" w:rsidR="00DF2319" w:rsidRPr="00DF2319" w:rsidRDefault="00DF2319"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Imprecision:</w:t>
            </w:r>
            <w:r w:rsidR="00CE6D8E">
              <w:rPr>
                <w:rFonts w:ascii="Arial Narrow" w:hAnsi="Arial Narrow" w:cs="Arial"/>
                <w:sz w:val="20"/>
                <w:szCs w:val="20"/>
              </w:rPr>
              <w:t xml:space="preserve"> 0</w:t>
            </w:r>
          </w:p>
          <w:p w14:paraId="7B743970" w14:textId="760437E8" w:rsidR="00DF2319" w:rsidRPr="00DF2319" w:rsidRDefault="007E73EA" w:rsidP="00223E8F">
            <w:pPr>
              <w:spacing w:after="40" w:line="240" w:lineRule="auto"/>
              <w:ind w:left="4"/>
              <w:rPr>
                <w:rFonts w:ascii="Arial Narrow" w:hAnsi="Arial Narrow" w:cs="Arial"/>
                <w:sz w:val="20"/>
                <w:szCs w:val="20"/>
              </w:rPr>
            </w:pPr>
            <w:r>
              <w:rPr>
                <w:rFonts w:ascii="Arial Narrow" w:hAnsi="Arial Narrow" w:cs="Arial"/>
                <w:sz w:val="20"/>
                <w:szCs w:val="20"/>
              </w:rPr>
              <w:t>Other considerations</w:t>
            </w:r>
            <w:r w:rsidR="00DF2319" w:rsidRPr="00DF2319">
              <w:rPr>
                <w:rFonts w:ascii="Arial Narrow" w:hAnsi="Arial Narrow" w:cs="Arial"/>
                <w:sz w:val="20"/>
                <w:szCs w:val="20"/>
              </w:rPr>
              <w:t>:</w:t>
            </w:r>
            <w:r>
              <w:rPr>
                <w:rFonts w:ascii="Arial Narrow" w:hAnsi="Arial Narrow" w:cs="Arial"/>
                <w:sz w:val="20"/>
                <w:szCs w:val="20"/>
              </w:rPr>
              <w:t xml:space="preserve"> 0</w:t>
            </w:r>
          </w:p>
        </w:tc>
        <w:tc>
          <w:tcPr>
            <w:tcW w:w="3260" w:type="dxa"/>
          </w:tcPr>
          <w:p w14:paraId="34CC7F3D" w14:textId="483C729C" w:rsidR="00DF2319" w:rsidRPr="00DF2319" w:rsidRDefault="00CE6D8E" w:rsidP="00223E8F">
            <w:pPr>
              <w:pStyle w:val="TableHeading"/>
              <w:keepNext w:val="0"/>
              <w:ind w:left="4"/>
              <w:rPr>
                <w:b w:val="0"/>
              </w:rPr>
            </w:pPr>
            <w:r>
              <w:rPr>
                <w:b w:val="0"/>
              </w:rPr>
              <w:t xml:space="preserve">One study reported that sensitivity of AFC, AMH and FSH tests did not vary greatly however AFC was more specific than AMH, FSH and inhibin B. </w:t>
            </w:r>
            <w:r w:rsidR="009B2020">
              <w:rPr>
                <w:b w:val="0"/>
              </w:rPr>
              <w:t xml:space="preserve">One study reported </w:t>
            </w:r>
            <w:r w:rsidR="009B2020" w:rsidRPr="009B2020">
              <w:rPr>
                <w:b w:val="0"/>
              </w:rPr>
              <w:t>a 40-fold difference in the lev</w:t>
            </w:r>
            <w:r w:rsidR="009B2020">
              <w:rPr>
                <w:b w:val="0"/>
              </w:rPr>
              <w:t>el of detectable AMH between</w:t>
            </w:r>
            <w:r w:rsidR="009B2020" w:rsidRPr="009B2020">
              <w:rPr>
                <w:b w:val="0"/>
              </w:rPr>
              <w:t xml:space="preserve"> two</w:t>
            </w:r>
            <w:r w:rsidR="009B2020">
              <w:rPr>
                <w:b w:val="0"/>
              </w:rPr>
              <w:t xml:space="preserve"> different</w:t>
            </w:r>
            <w:r w:rsidR="009B2020" w:rsidRPr="009B2020">
              <w:rPr>
                <w:b w:val="0"/>
              </w:rPr>
              <w:t xml:space="preserve"> AMH tests</w:t>
            </w:r>
            <w:r w:rsidR="009B2020">
              <w:rPr>
                <w:b w:val="0"/>
              </w:rPr>
              <w:t>.</w:t>
            </w:r>
          </w:p>
        </w:tc>
        <w:tc>
          <w:tcPr>
            <w:tcW w:w="2835" w:type="dxa"/>
          </w:tcPr>
          <w:p w14:paraId="0E04FA43" w14:textId="77777777" w:rsidR="007518CF" w:rsidRDefault="00C94CF5" w:rsidP="00223E8F">
            <w:pPr>
              <w:pStyle w:val="TableHeading"/>
              <w:keepNext w:val="0"/>
              <w:ind w:left="4"/>
              <w:rPr>
                <w:b w:val="0"/>
              </w:rPr>
            </w:pPr>
            <w:r>
              <w:rPr>
                <w:b w:val="0"/>
              </w:rPr>
              <w:t>Analytical validity</w:t>
            </w:r>
            <w:r w:rsidR="009B2020">
              <w:rPr>
                <w:b w:val="0"/>
              </w:rPr>
              <w:t xml:space="preserve"> can be highly impacted by the type of assay/test used.</w:t>
            </w:r>
          </w:p>
          <w:p w14:paraId="243A2340" w14:textId="525B2771" w:rsidR="009B2020" w:rsidRPr="00DF2319" w:rsidRDefault="009B2020" w:rsidP="00223E8F">
            <w:pPr>
              <w:pStyle w:val="TableHeading"/>
              <w:keepNext w:val="0"/>
              <w:ind w:left="4"/>
              <w:rPr>
                <w:b w:val="0"/>
              </w:rPr>
            </w:pPr>
            <w:r>
              <w:rPr>
                <w:b w:val="0"/>
              </w:rPr>
              <w:t>No conclusions can be drawn on the incremental diagnostic value of AMH testing</w:t>
            </w:r>
            <w:r w:rsidR="00143BE4">
              <w:rPr>
                <w:b w:val="0"/>
              </w:rPr>
              <w:t xml:space="preserve"> in diagnosing ovarian failure</w:t>
            </w:r>
            <w:r>
              <w:rPr>
                <w:b w:val="0"/>
              </w:rPr>
              <w:t>.</w:t>
            </w:r>
          </w:p>
        </w:tc>
        <w:tc>
          <w:tcPr>
            <w:tcW w:w="1417" w:type="dxa"/>
          </w:tcPr>
          <w:p w14:paraId="4C39CBBB" w14:textId="77777777" w:rsidR="00DF2319" w:rsidRDefault="00997450" w:rsidP="00223E8F">
            <w:pPr>
              <w:pStyle w:val="TableHeading"/>
              <w:keepNext w:val="0"/>
              <w:ind w:left="4"/>
              <w:rPr>
                <w:rFonts w:ascii="Cambria Math" w:hAnsi="Cambria Math" w:cs="Cambria Math"/>
                <w:color w:val="C00000"/>
              </w:rPr>
            </w:pPr>
            <w:r w:rsidRPr="00BA56CC">
              <w:rPr>
                <w:rFonts w:ascii="Cambria Math" w:hAnsi="Cambria Math"/>
                <w:color w:val="00B050"/>
              </w:rPr>
              <w:t>⨁</w:t>
            </w:r>
            <w:r w:rsidRPr="00BA56CC">
              <w:rPr>
                <w:rFonts w:ascii="Cambria Math" w:hAnsi="Cambria Math" w:cs="Cambria Math"/>
                <w:color w:val="C00000"/>
              </w:rPr>
              <w:t>⨀⨀⨀</w:t>
            </w:r>
          </w:p>
          <w:p w14:paraId="65670ACA" w14:textId="201F5445" w:rsidR="00413649" w:rsidRPr="00DF2319" w:rsidRDefault="00413649" w:rsidP="00811281">
            <w:pPr>
              <w:pStyle w:val="TableHeading"/>
              <w:keepNext w:val="0"/>
              <w:ind w:left="4"/>
              <w:rPr>
                <w:b w:val="0"/>
              </w:rPr>
            </w:pPr>
            <w:r w:rsidRPr="00413649">
              <w:rPr>
                <w:b w:val="0"/>
              </w:rPr>
              <w:t>Very low quality</w:t>
            </w:r>
          </w:p>
        </w:tc>
      </w:tr>
      <w:tr w:rsidR="00DF2319" w:rsidRPr="00DF2319" w14:paraId="3953FF40" w14:textId="77777777" w:rsidTr="00AC6E6F">
        <w:trPr>
          <w:trHeight w:val="60"/>
        </w:trPr>
        <w:tc>
          <w:tcPr>
            <w:tcW w:w="1843" w:type="dxa"/>
            <w:tcBorders>
              <w:top w:val="nil"/>
              <w:left w:val="single" w:sz="4" w:space="0" w:color="auto"/>
              <w:bottom w:val="nil"/>
              <w:right w:val="single" w:sz="4" w:space="0" w:color="auto"/>
            </w:tcBorders>
          </w:tcPr>
          <w:p w14:paraId="4F2BA116" w14:textId="77777777" w:rsidR="00DF2319" w:rsidRDefault="00DF2319" w:rsidP="00223E8F">
            <w:pPr>
              <w:pStyle w:val="TableHeading"/>
              <w:keepNext w:val="0"/>
              <w:ind w:left="4" w:right="-80"/>
              <w:rPr>
                <w:b w:val="0"/>
              </w:rPr>
            </w:pPr>
          </w:p>
        </w:tc>
        <w:tc>
          <w:tcPr>
            <w:tcW w:w="1843" w:type="dxa"/>
            <w:tcBorders>
              <w:left w:val="single" w:sz="4" w:space="0" w:color="auto"/>
            </w:tcBorders>
          </w:tcPr>
          <w:p w14:paraId="57CFA30E" w14:textId="36DD5A56" w:rsidR="00DF2319" w:rsidRDefault="003D73D0" w:rsidP="00223E8F">
            <w:pPr>
              <w:pStyle w:val="TableHeading"/>
              <w:keepNext w:val="0"/>
              <w:tabs>
                <w:tab w:val="left" w:pos="842"/>
              </w:tabs>
              <w:ind w:left="4"/>
              <w:rPr>
                <w:b w:val="0"/>
              </w:rPr>
            </w:pPr>
            <w:r>
              <w:rPr>
                <w:b w:val="0"/>
              </w:rPr>
              <w:t>Concordance</w:t>
            </w:r>
            <w:r w:rsidR="005C5842">
              <w:rPr>
                <w:b w:val="0"/>
              </w:rPr>
              <w:t xml:space="preserve"> / correlation</w:t>
            </w:r>
            <w:r>
              <w:rPr>
                <w:b w:val="0"/>
              </w:rPr>
              <w:t xml:space="preserve"> of AMH with comparator tests</w:t>
            </w:r>
            <w:r w:rsidR="00CE6D8E">
              <w:rPr>
                <w:b w:val="0"/>
              </w:rPr>
              <w:t xml:space="preserve"> </w:t>
            </w:r>
          </w:p>
        </w:tc>
        <w:tc>
          <w:tcPr>
            <w:tcW w:w="1276" w:type="dxa"/>
          </w:tcPr>
          <w:p w14:paraId="2E32CED8" w14:textId="77777777" w:rsidR="00DF2319" w:rsidRDefault="005C5842" w:rsidP="00223E8F">
            <w:pPr>
              <w:spacing w:after="40" w:line="240" w:lineRule="auto"/>
              <w:ind w:left="4"/>
              <w:rPr>
                <w:rFonts w:ascii="Arial Narrow" w:hAnsi="Arial Narrow" w:cs="Arial"/>
                <w:sz w:val="20"/>
                <w:szCs w:val="20"/>
              </w:rPr>
            </w:pPr>
            <w:r>
              <w:rPr>
                <w:rFonts w:ascii="Arial Narrow" w:hAnsi="Arial Narrow" w:cs="Arial"/>
                <w:sz w:val="20"/>
                <w:szCs w:val="20"/>
              </w:rPr>
              <w:t>K=12</w:t>
            </w:r>
          </w:p>
          <w:p w14:paraId="53AF36A9" w14:textId="74345C78" w:rsidR="007E5032" w:rsidRPr="00DF2319" w:rsidRDefault="007E5032" w:rsidP="00223E8F">
            <w:pPr>
              <w:spacing w:after="40" w:line="240" w:lineRule="auto"/>
              <w:ind w:left="4"/>
              <w:rPr>
                <w:rFonts w:ascii="Arial Narrow" w:hAnsi="Arial Narrow" w:cs="Arial"/>
                <w:sz w:val="20"/>
                <w:szCs w:val="20"/>
              </w:rPr>
            </w:pPr>
            <w:r>
              <w:rPr>
                <w:rFonts w:ascii="Arial Narrow" w:hAnsi="Arial Narrow" w:cs="Arial"/>
                <w:sz w:val="20"/>
                <w:szCs w:val="20"/>
              </w:rPr>
              <w:t>N=</w:t>
            </w:r>
            <w:r w:rsidR="007C0944">
              <w:rPr>
                <w:rFonts w:ascii="Arial Narrow" w:hAnsi="Arial Narrow" w:cs="Arial"/>
                <w:sz w:val="20"/>
                <w:szCs w:val="20"/>
              </w:rPr>
              <w:t>703</w:t>
            </w:r>
          </w:p>
        </w:tc>
        <w:tc>
          <w:tcPr>
            <w:tcW w:w="1984" w:type="dxa"/>
          </w:tcPr>
          <w:p w14:paraId="20596558" w14:textId="789C8C2F" w:rsidR="007E73EA" w:rsidRPr="00DF2319" w:rsidRDefault="007E73EA"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Risk of bias: </w:t>
            </w:r>
            <w:r w:rsidR="00DC52C0">
              <w:rPr>
                <w:rFonts w:ascii="Arial Narrow" w:hAnsi="Arial Narrow" w:cs="Arial"/>
                <w:sz w:val="20"/>
                <w:szCs w:val="20"/>
              </w:rPr>
              <w:t>0</w:t>
            </w:r>
          </w:p>
          <w:p w14:paraId="2091987E" w14:textId="35184A80" w:rsidR="007E73EA" w:rsidRPr="00DF2319" w:rsidRDefault="007E73EA"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Inconsistency:</w:t>
            </w:r>
            <w:r w:rsidR="003F48B0">
              <w:rPr>
                <w:rFonts w:ascii="Arial Narrow" w:hAnsi="Arial Narrow" w:cs="Arial"/>
                <w:sz w:val="20"/>
                <w:szCs w:val="20"/>
              </w:rPr>
              <w:t xml:space="preserve"> -1</w:t>
            </w:r>
          </w:p>
          <w:p w14:paraId="0C93E41B" w14:textId="77777777" w:rsidR="007E73EA" w:rsidRPr="00DF2319" w:rsidRDefault="007E73EA"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Indirectness: </w:t>
            </w:r>
            <w:r>
              <w:rPr>
                <w:rFonts w:ascii="Arial Narrow" w:hAnsi="Arial Narrow" w:cs="Arial"/>
                <w:sz w:val="20"/>
                <w:szCs w:val="20"/>
              </w:rPr>
              <w:t>-1</w:t>
            </w:r>
          </w:p>
          <w:p w14:paraId="20A29A7B" w14:textId="4636E33A" w:rsidR="007E73EA" w:rsidRPr="00DF2319" w:rsidRDefault="007E73EA"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Imprecision:</w:t>
            </w:r>
            <w:r w:rsidR="00EF6778">
              <w:rPr>
                <w:rFonts w:ascii="Arial Narrow" w:hAnsi="Arial Narrow" w:cs="Arial"/>
                <w:sz w:val="20"/>
                <w:szCs w:val="20"/>
              </w:rPr>
              <w:t xml:space="preserve"> 0</w:t>
            </w:r>
          </w:p>
          <w:p w14:paraId="03D0E4CA" w14:textId="40978B4D" w:rsidR="00DF2319" w:rsidRPr="00DF2319" w:rsidRDefault="007E73EA" w:rsidP="00223E8F">
            <w:pPr>
              <w:spacing w:after="40" w:line="240" w:lineRule="auto"/>
              <w:ind w:left="4"/>
              <w:rPr>
                <w:rFonts w:ascii="Arial Narrow" w:hAnsi="Arial Narrow" w:cs="Arial"/>
                <w:sz w:val="20"/>
                <w:szCs w:val="20"/>
              </w:rPr>
            </w:pPr>
            <w:r>
              <w:rPr>
                <w:rFonts w:ascii="Arial Narrow" w:hAnsi="Arial Narrow" w:cs="Arial"/>
                <w:sz w:val="20"/>
                <w:szCs w:val="20"/>
              </w:rPr>
              <w:t>Other considerations</w:t>
            </w:r>
            <w:r w:rsidRPr="00DF2319">
              <w:rPr>
                <w:rFonts w:ascii="Arial Narrow" w:hAnsi="Arial Narrow" w:cs="Arial"/>
                <w:sz w:val="20"/>
                <w:szCs w:val="20"/>
              </w:rPr>
              <w:t>:</w:t>
            </w:r>
            <w:r w:rsidR="00EF6778">
              <w:rPr>
                <w:rFonts w:ascii="Arial Narrow" w:hAnsi="Arial Narrow" w:cs="Arial"/>
                <w:sz w:val="20"/>
                <w:szCs w:val="20"/>
              </w:rPr>
              <w:t xml:space="preserve"> 0</w:t>
            </w:r>
          </w:p>
        </w:tc>
        <w:tc>
          <w:tcPr>
            <w:tcW w:w="3260" w:type="dxa"/>
          </w:tcPr>
          <w:p w14:paraId="7FE5C25D" w14:textId="4CCE4C64" w:rsidR="00DF2319" w:rsidRPr="00DF2319" w:rsidRDefault="003F48B0" w:rsidP="00223E8F">
            <w:pPr>
              <w:pStyle w:val="TableHeading"/>
              <w:keepNext w:val="0"/>
              <w:ind w:left="4"/>
              <w:rPr>
                <w:b w:val="0"/>
              </w:rPr>
            </w:pPr>
            <w:r w:rsidRPr="003F48B0">
              <w:rPr>
                <w:b w:val="0"/>
              </w:rPr>
              <w:t>AMH levels are positively correlated with AFC, density of primordial follicles, and inhibin B serum levels. The correlations between AMH and FSH or E2 were inconsistent</w:t>
            </w:r>
            <w:r>
              <w:rPr>
                <w:b w:val="0"/>
              </w:rPr>
              <w:t>.</w:t>
            </w:r>
          </w:p>
        </w:tc>
        <w:tc>
          <w:tcPr>
            <w:tcW w:w="2835" w:type="dxa"/>
          </w:tcPr>
          <w:p w14:paraId="2C5E77B3" w14:textId="1A87F39F" w:rsidR="00DF2319" w:rsidRPr="00DF2319" w:rsidRDefault="00202F42" w:rsidP="00223E8F">
            <w:pPr>
              <w:pStyle w:val="TableHeading"/>
              <w:keepNext w:val="0"/>
              <w:ind w:left="4"/>
              <w:rPr>
                <w:b w:val="0"/>
              </w:rPr>
            </w:pPr>
            <w:r>
              <w:rPr>
                <w:b w:val="0"/>
              </w:rPr>
              <w:t xml:space="preserve">Correlations were observed between AMH and the comparator tests. </w:t>
            </w:r>
          </w:p>
        </w:tc>
        <w:tc>
          <w:tcPr>
            <w:tcW w:w="1417" w:type="dxa"/>
          </w:tcPr>
          <w:p w14:paraId="0E141BC8" w14:textId="77777777" w:rsidR="00DF2319" w:rsidRDefault="00F175C7" w:rsidP="00223E8F">
            <w:pPr>
              <w:pStyle w:val="TableHeading"/>
              <w:keepNext w:val="0"/>
              <w:ind w:left="4"/>
              <w:rPr>
                <w:rFonts w:ascii="Cambria Math" w:hAnsi="Cambria Math" w:cs="Cambria Math"/>
                <w:color w:val="C00000"/>
              </w:rPr>
            </w:pPr>
            <w:r w:rsidRPr="00BA56CC">
              <w:rPr>
                <w:rFonts w:ascii="Cambria Math" w:hAnsi="Cambria Math"/>
                <w:color w:val="00B050"/>
              </w:rPr>
              <w:t>⨁</w:t>
            </w:r>
            <w:r w:rsidRPr="00BA56CC">
              <w:rPr>
                <w:rFonts w:ascii="Cambria Math" w:hAnsi="Cambria Math" w:cs="Cambria Math"/>
                <w:color w:val="C00000"/>
              </w:rPr>
              <w:t>⨀⨀⨀</w:t>
            </w:r>
          </w:p>
          <w:p w14:paraId="3F22E911" w14:textId="347A8D7E" w:rsidR="00413649" w:rsidRPr="00DF2319" w:rsidRDefault="00413649" w:rsidP="00223E8F">
            <w:pPr>
              <w:pStyle w:val="TableHeading"/>
              <w:keepNext w:val="0"/>
              <w:ind w:left="4"/>
              <w:rPr>
                <w:b w:val="0"/>
              </w:rPr>
            </w:pPr>
            <w:r w:rsidRPr="00413649">
              <w:rPr>
                <w:b w:val="0"/>
              </w:rPr>
              <w:t>Very low quality</w:t>
            </w:r>
          </w:p>
        </w:tc>
      </w:tr>
      <w:tr w:rsidR="003A06C2" w:rsidRPr="00DF2319" w14:paraId="27EFCB23" w14:textId="77777777" w:rsidTr="00AC6E6F">
        <w:trPr>
          <w:trHeight w:val="60"/>
        </w:trPr>
        <w:tc>
          <w:tcPr>
            <w:tcW w:w="1843" w:type="dxa"/>
            <w:tcBorders>
              <w:top w:val="nil"/>
              <w:left w:val="single" w:sz="4" w:space="0" w:color="auto"/>
              <w:bottom w:val="single" w:sz="4" w:space="0" w:color="auto"/>
              <w:right w:val="single" w:sz="4" w:space="0" w:color="auto"/>
            </w:tcBorders>
          </w:tcPr>
          <w:p w14:paraId="11C62A06" w14:textId="77777777" w:rsidR="003A06C2" w:rsidRDefault="003A06C2" w:rsidP="00223E8F">
            <w:pPr>
              <w:pStyle w:val="TableHeading"/>
              <w:keepNext w:val="0"/>
              <w:ind w:left="4" w:right="-80"/>
              <w:rPr>
                <w:b w:val="0"/>
              </w:rPr>
            </w:pPr>
          </w:p>
        </w:tc>
        <w:tc>
          <w:tcPr>
            <w:tcW w:w="1843" w:type="dxa"/>
            <w:tcBorders>
              <w:left w:val="single" w:sz="4" w:space="0" w:color="auto"/>
            </w:tcBorders>
          </w:tcPr>
          <w:p w14:paraId="7A46EB89" w14:textId="17B5CBE3" w:rsidR="003A06C2" w:rsidRDefault="003A06C2" w:rsidP="00223E8F">
            <w:pPr>
              <w:pStyle w:val="TableHeading"/>
              <w:keepNext w:val="0"/>
              <w:tabs>
                <w:tab w:val="left" w:pos="842"/>
              </w:tabs>
              <w:ind w:left="4"/>
              <w:rPr>
                <w:b w:val="0"/>
              </w:rPr>
            </w:pPr>
            <w:r>
              <w:rPr>
                <w:b w:val="0"/>
              </w:rPr>
              <w:t>Correlation between AMH assays</w:t>
            </w:r>
          </w:p>
        </w:tc>
        <w:tc>
          <w:tcPr>
            <w:tcW w:w="1276" w:type="dxa"/>
          </w:tcPr>
          <w:p w14:paraId="417B546B" w14:textId="77777777" w:rsidR="003A06C2"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K=2</w:t>
            </w:r>
          </w:p>
          <w:p w14:paraId="0DC6F24A" w14:textId="408633BE" w:rsidR="007E5032" w:rsidRPr="00DF2319" w:rsidRDefault="007E5032" w:rsidP="00811281">
            <w:pPr>
              <w:spacing w:after="40" w:line="240" w:lineRule="auto"/>
              <w:ind w:left="4"/>
              <w:rPr>
                <w:rFonts w:ascii="Arial Narrow" w:hAnsi="Arial Narrow" w:cs="Arial"/>
                <w:sz w:val="20"/>
                <w:szCs w:val="20"/>
              </w:rPr>
            </w:pPr>
            <w:r>
              <w:rPr>
                <w:rFonts w:ascii="Arial Narrow" w:hAnsi="Arial Narrow" w:cs="Arial"/>
                <w:sz w:val="20"/>
                <w:szCs w:val="20"/>
              </w:rPr>
              <w:t>N=</w:t>
            </w:r>
            <w:r w:rsidR="003C7B6E">
              <w:rPr>
                <w:rFonts w:ascii="Arial Narrow" w:hAnsi="Arial Narrow" w:cs="Arial"/>
                <w:sz w:val="20"/>
                <w:szCs w:val="20"/>
              </w:rPr>
              <w:t>98</w:t>
            </w:r>
          </w:p>
        </w:tc>
        <w:tc>
          <w:tcPr>
            <w:tcW w:w="1984" w:type="dxa"/>
          </w:tcPr>
          <w:p w14:paraId="60E37C73" w14:textId="3A621FA1"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Risk of bias: </w:t>
            </w:r>
            <w:r w:rsidR="001C2A57">
              <w:rPr>
                <w:rFonts w:ascii="Arial Narrow" w:hAnsi="Arial Narrow" w:cs="Arial"/>
                <w:sz w:val="20"/>
                <w:szCs w:val="20"/>
              </w:rPr>
              <w:t>0</w:t>
            </w:r>
          </w:p>
          <w:p w14:paraId="122A290A" w14:textId="58EB9F44"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Inconsistency:</w:t>
            </w:r>
            <w:r w:rsidR="003F48B0">
              <w:rPr>
                <w:rFonts w:ascii="Arial Narrow" w:hAnsi="Arial Narrow" w:cs="Arial"/>
                <w:sz w:val="20"/>
                <w:szCs w:val="20"/>
              </w:rPr>
              <w:t xml:space="preserve"> 0</w:t>
            </w:r>
          </w:p>
          <w:p w14:paraId="76750F44" w14:textId="5D0A42B6"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Indirectness: </w:t>
            </w:r>
            <w:r>
              <w:rPr>
                <w:rFonts w:ascii="Arial Narrow" w:hAnsi="Arial Narrow" w:cs="Arial"/>
                <w:sz w:val="20"/>
                <w:szCs w:val="20"/>
              </w:rPr>
              <w:t>-1</w:t>
            </w:r>
          </w:p>
          <w:p w14:paraId="03D78B1C" w14:textId="1214592C"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Imprecision:</w:t>
            </w:r>
            <w:r w:rsidR="001C2A57">
              <w:rPr>
                <w:rFonts w:ascii="Arial Narrow" w:hAnsi="Arial Narrow" w:cs="Arial"/>
                <w:sz w:val="20"/>
                <w:szCs w:val="20"/>
              </w:rPr>
              <w:t xml:space="preserve"> 0</w:t>
            </w:r>
          </w:p>
          <w:p w14:paraId="2449BCC1" w14:textId="5DFF0027" w:rsidR="003A06C2" w:rsidRPr="00DF2319"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Other considerations</w:t>
            </w:r>
            <w:r w:rsidRPr="00DF2319">
              <w:rPr>
                <w:rFonts w:ascii="Arial Narrow" w:hAnsi="Arial Narrow" w:cs="Arial"/>
                <w:sz w:val="20"/>
                <w:szCs w:val="20"/>
              </w:rPr>
              <w:t>:</w:t>
            </w:r>
            <w:r w:rsidR="001C2A57">
              <w:rPr>
                <w:rFonts w:ascii="Arial Narrow" w:hAnsi="Arial Narrow" w:cs="Arial"/>
                <w:sz w:val="20"/>
                <w:szCs w:val="20"/>
              </w:rPr>
              <w:t xml:space="preserve"> 0</w:t>
            </w:r>
          </w:p>
        </w:tc>
        <w:tc>
          <w:tcPr>
            <w:tcW w:w="3260" w:type="dxa"/>
          </w:tcPr>
          <w:p w14:paraId="3BDAF09C" w14:textId="76D2B7E5" w:rsidR="003A06C2" w:rsidRPr="00DF2319" w:rsidRDefault="003A06C2" w:rsidP="00223E8F">
            <w:pPr>
              <w:pStyle w:val="TableHeading"/>
              <w:keepNext w:val="0"/>
              <w:ind w:left="4"/>
              <w:rPr>
                <w:b w:val="0"/>
              </w:rPr>
            </w:pPr>
            <w:r>
              <w:rPr>
                <w:b w:val="0"/>
              </w:rPr>
              <w:t>There was a high degree of correlation between</w:t>
            </w:r>
            <w:r w:rsidR="00143BE4">
              <w:rPr>
                <w:b w:val="0"/>
              </w:rPr>
              <w:t xml:space="preserve"> the different</w:t>
            </w:r>
            <w:r>
              <w:rPr>
                <w:b w:val="0"/>
              </w:rPr>
              <w:t xml:space="preserve"> AMH tests (rho &gt;0.</w:t>
            </w:r>
            <w:r w:rsidR="0064098D">
              <w:rPr>
                <w:b w:val="0"/>
              </w:rPr>
              <w:t>9).</w:t>
            </w:r>
          </w:p>
        </w:tc>
        <w:tc>
          <w:tcPr>
            <w:tcW w:w="2835" w:type="dxa"/>
          </w:tcPr>
          <w:p w14:paraId="594D68DC" w14:textId="31002209" w:rsidR="003A06C2" w:rsidRPr="00DF2319" w:rsidRDefault="003A06C2" w:rsidP="00223E8F">
            <w:pPr>
              <w:pStyle w:val="TableHeading"/>
              <w:keepNext w:val="0"/>
              <w:ind w:left="4"/>
              <w:rPr>
                <w:b w:val="0"/>
              </w:rPr>
            </w:pPr>
            <w:r>
              <w:rPr>
                <w:b w:val="0"/>
              </w:rPr>
              <w:t>Different AMH tests are highly correlated, but there may be systemic biases when converting AMH values between assays.</w:t>
            </w:r>
          </w:p>
        </w:tc>
        <w:tc>
          <w:tcPr>
            <w:tcW w:w="1417" w:type="dxa"/>
          </w:tcPr>
          <w:p w14:paraId="5C92D956" w14:textId="77777777" w:rsidR="003A06C2" w:rsidRDefault="003A06C2" w:rsidP="00223E8F">
            <w:pPr>
              <w:pStyle w:val="TableHeading"/>
              <w:keepNext w:val="0"/>
              <w:ind w:left="4"/>
              <w:rPr>
                <w:rFonts w:ascii="Cambria Math" w:hAnsi="Cambria Math" w:cs="Cambria Math"/>
                <w:color w:val="C00000"/>
              </w:rPr>
            </w:pPr>
            <w:r w:rsidRPr="00BA56CC">
              <w:rPr>
                <w:rFonts w:ascii="Cambria Math" w:hAnsi="Cambria Math"/>
                <w:color w:val="00B050"/>
              </w:rPr>
              <w:t>⨁</w:t>
            </w:r>
            <w:r w:rsidRPr="00BA56CC">
              <w:rPr>
                <w:rFonts w:ascii="Cambria Math" w:hAnsi="Cambria Math" w:cs="Cambria Math"/>
                <w:color w:val="C00000"/>
              </w:rPr>
              <w:t>⨀⨀⨀</w:t>
            </w:r>
          </w:p>
          <w:p w14:paraId="09BCB81C" w14:textId="3D0BA0DC" w:rsidR="00413649" w:rsidRPr="00DF2319" w:rsidRDefault="00413649" w:rsidP="00223E8F">
            <w:pPr>
              <w:pStyle w:val="TableHeading"/>
              <w:keepNext w:val="0"/>
              <w:ind w:left="4"/>
              <w:rPr>
                <w:b w:val="0"/>
              </w:rPr>
            </w:pPr>
            <w:r w:rsidRPr="00413649">
              <w:rPr>
                <w:b w:val="0"/>
              </w:rPr>
              <w:t>Very low quality</w:t>
            </w:r>
          </w:p>
        </w:tc>
      </w:tr>
      <w:tr w:rsidR="003A06C2" w:rsidRPr="00DF2319" w14:paraId="4BB061B3" w14:textId="77777777" w:rsidTr="00AC6E6F">
        <w:trPr>
          <w:trHeight w:val="804"/>
        </w:trPr>
        <w:tc>
          <w:tcPr>
            <w:tcW w:w="1843" w:type="dxa"/>
            <w:tcBorders>
              <w:top w:val="single" w:sz="4" w:space="0" w:color="auto"/>
              <w:left w:val="single" w:sz="4" w:space="0" w:color="auto"/>
              <w:bottom w:val="single" w:sz="4" w:space="0" w:color="auto"/>
              <w:right w:val="single" w:sz="4" w:space="0" w:color="auto"/>
            </w:tcBorders>
          </w:tcPr>
          <w:p w14:paraId="674ED632" w14:textId="1EA9E132" w:rsidR="003A06C2" w:rsidRDefault="003A06C2" w:rsidP="00223E8F">
            <w:pPr>
              <w:pStyle w:val="TableHeading"/>
              <w:keepNext w:val="0"/>
              <w:ind w:left="4" w:right="-80"/>
              <w:rPr>
                <w:b w:val="0"/>
              </w:rPr>
            </w:pPr>
            <w:r>
              <w:rPr>
                <w:b w:val="0"/>
              </w:rPr>
              <w:t xml:space="preserve">B4 Prognostic and predictive value </w:t>
            </w:r>
          </w:p>
        </w:tc>
        <w:tc>
          <w:tcPr>
            <w:tcW w:w="1843" w:type="dxa"/>
            <w:tcBorders>
              <w:left w:val="single" w:sz="4" w:space="0" w:color="auto"/>
            </w:tcBorders>
          </w:tcPr>
          <w:p w14:paraId="567C1F4B" w14:textId="4B33A83B" w:rsidR="003A06C2" w:rsidRDefault="003A06C2" w:rsidP="00223E8F">
            <w:pPr>
              <w:pStyle w:val="TableHeading"/>
              <w:keepNext w:val="0"/>
              <w:tabs>
                <w:tab w:val="left" w:pos="842"/>
              </w:tabs>
              <w:ind w:left="4"/>
              <w:rPr>
                <w:b w:val="0"/>
              </w:rPr>
            </w:pPr>
            <w:r>
              <w:rPr>
                <w:b w:val="0"/>
              </w:rPr>
              <w:t>Prognostic value: AMH predicting ovarian failure</w:t>
            </w:r>
          </w:p>
        </w:tc>
        <w:tc>
          <w:tcPr>
            <w:tcW w:w="1276" w:type="dxa"/>
          </w:tcPr>
          <w:p w14:paraId="51792BA2" w14:textId="77777777" w:rsidR="003A06C2"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K=11</w:t>
            </w:r>
          </w:p>
          <w:p w14:paraId="72C965FF" w14:textId="41A2B2E5" w:rsidR="007E5032" w:rsidRPr="00DF2319" w:rsidRDefault="007E5032" w:rsidP="00811281">
            <w:pPr>
              <w:spacing w:after="40" w:line="240" w:lineRule="auto"/>
              <w:ind w:left="4"/>
              <w:rPr>
                <w:rFonts w:ascii="Arial Narrow" w:hAnsi="Arial Narrow" w:cs="Arial"/>
                <w:sz w:val="20"/>
                <w:szCs w:val="20"/>
              </w:rPr>
            </w:pPr>
            <w:r>
              <w:rPr>
                <w:rFonts w:ascii="Arial Narrow" w:hAnsi="Arial Narrow" w:cs="Arial"/>
                <w:sz w:val="20"/>
                <w:szCs w:val="20"/>
              </w:rPr>
              <w:t>N=</w:t>
            </w:r>
            <w:r w:rsidR="00426020">
              <w:rPr>
                <w:rFonts w:ascii="Arial Narrow" w:hAnsi="Arial Narrow" w:cs="Arial"/>
                <w:sz w:val="20"/>
                <w:szCs w:val="20"/>
              </w:rPr>
              <w:t>861</w:t>
            </w:r>
          </w:p>
        </w:tc>
        <w:tc>
          <w:tcPr>
            <w:tcW w:w="1984" w:type="dxa"/>
          </w:tcPr>
          <w:p w14:paraId="6AA42A0D" w14:textId="72830FE4"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Risk of bias: </w:t>
            </w:r>
            <w:r w:rsidR="00B94382">
              <w:rPr>
                <w:rFonts w:ascii="Arial Narrow" w:hAnsi="Arial Narrow" w:cs="Arial"/>
                <w:sz w:val="20"/>
                <w:szCs w:val="20"/>
              </w:rPr>
              <w:t>0</w:t>
            </w:r>
          </w:p>
          <w:p w14:paraId="36EE1635" w14:textId="64AF038C"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Inconsistency:</w:t>
            </w:r>
            <w:r>
              <w:rPr>
                <w:rFonts w:ascii="Arial Narrow" w:hAnsi="Arial Narrow" w:cs="Arial"/>
                <w:sz w:val="20"/>
                <w:szCs w:val="20"/>
              </w:rPr>
              <w:t xml:space="preserve"> </w:t>
            </w:r>
            <w:r w:rsidR="00B94382">
              <w:rPr>
                <w:rFonts w:ascii="Arial Narrow" w:hAnsi="Arial Narrow" w:cs="Arial"/>
                <w:sz w:val="20"/>
                <w:szCs w:val="20"/>
              </w:rPr>
              <w:t>0</w:t>
            </w:r>
          </w:p>
          <w:p w14:paraId="66D6AECB" w14:textId="5C38BBEA"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Indirectness: </w:t>
            </w:r>
            <w:r w:rsidR="00ED4010">
              <w:rPr>
                <w:rFonts w:ascii="Arial Narrow" w:hAnsi="Arial Narrow" w:cs="Arial"/>
                <w:sz w:val="20"/>
                <w:szCs w:val="20"/>
              </w:rPr>
              <w:t>0</w:t>
            </w:r>
          </w:p>
          <w:p w14:paraId="54FC7CC8" w14:textId="65974CF8"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Imprecision:</w:t>
            </w:r>
            <w:r w:rsidR="00B94382">
              <w:rPr>
                <w:rFonts w:ascii="Arial Narrow" w:hAnsi="Arial Narrow" w:cs="Arial"/>
                <w:sz w:val="20"/>
                <w:szCs w:val="20"/>
              </w:rPr>
              <w:t xml:space="preserve"> 0</w:t>
            </w:r>
          </w:p>
          <w:p w14:paraId="335ADB1A" w14:textId="41D99540" w:rsidR="003A06C2" w:rsidRPr="00DF2319"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Other considerations</w:t>
            </w:r>
            <w:r w:rsidRPr="00DF2319">
              <w:rPr>
                <w:rFonts w:ascii="Arial Narrow" w:hAnsi="Arial Narrow" w:cs="Arial"/>
                <w:sz w:val="20"/>
                <w:szCs w:val="20"/>
              </w:rPr>
              <w:t>:</w:t>
            </w:r>
            <w:r w:rsidR="00B94382">
              <w:rPr>
                <w:rFonts w:ascii="Arial Narrow" w:hAnsi="Arial Narrow" w:cs="Arial"/>
                <w:sz w:val="20"/>
                <w:szCs w:val="20"/>
              </w:rPr>
              <w:t xml:space="preserve"> 0</w:t>
            </w:r>
          </w:p>
        </w:tc>
        <w:tc>
          <w:tcPr>
            <w:tcW w:w="3260" w:type="dxa"/>
          </w:tcPr>
          <w:p w14:paraId="3F944AD7" w14:textId="37AA24C3" w:rsidR="003A06C2" w:rsidRPr="00DF2319" w:rsidRDefault="00143BE4" w:rsidP="00223E8F">
            <w:pPr>
              <w:pStyle w:val="TableHeading"/>
              <w:keepNext w:val="0"/>
              <w:ind w:left="4"/>
              <w:rPr>
                <w:b w:val="0"/>
              </w:rPr>
            </w:pPr>
            <w:r>
              <w:rPr>
                <w:b w:val="0"/>
              </w:rPr>
              <w:t xml:space="preserve">In </w:t>
            </w:r>
            <w:r w:rsidR="002A3483">
              <w:rPr>
                <w:b w:val="0"/>
              </w:rPr>
              <w:t>most multivariate analyses</w:t>
            </w:r>
            <w:r>
              <w:rPr>
                <w:b w:val="0"/>
              </w:rPr>
              <w:t>, baseline AMH levels remained a predictor for ovarian function</w:t>
            </w:r>
            <w:r w:rsidR="002A3483">
              <w:rPr>
                <w:b w:val="0"/>
              </w:rPr>
              <w:t>. AMH testing post-treatment also performs well in predicting CRA.</w:t>
            </w:r>
          </w:p>
        </w:tc>
        <w:tc>
          <w:tcPr>
            <w:tcW w:w="2835" w:type="dxa"/>
          </w:tcPr>
          <w:p w14:paraId="08448799" w14:textId="77777777" w:rsidR="007518CF" w:rsidRDefault="001925E7" w:rsidP="00223E8F">
            <w:pPr>
              <w:pStyle w:val="TableHeading"/>
              <w:keepNext w:val="0"/>
              <w:ind w:left="4"/>
              <w:rPr>
                <w:b w:val="0"/>
              </w:rPr>
            </w:pPr>
            <w:r>
              <w:rPr>
                <w:b w:val="0"/>
              </w:rPr>
              <w:t>An</w:t>
            </w:r>
            <w:r w:rsidR="00B94382">
              <w:rPr>
                <w:b w:val="0"/>
              </w:rPr>
              <w:t xml:space="preserve"> incremental prognostic value of AMH testing in predicting ovarian function</w:t>
            </w:r>
            <w:r w:rsidR="00DC52C0">
              <w:rPr>
                <w:b w:val="0"/>
              </w:rPr>
              <w:t xml:space="preserve"> was observed</w:t>
            </w:r>
            <w:r w:rsidR="00B94382">
              <w:rPr>
                <w:b w:val="0"/>
              </w:rPr>
              <w:t>.</w:t>
            </w:r>
          </w:p>
          <w:p w14:paraId="3707DE24" w14:textId="70019881" w:rsidR="00B94382" w:rsidRPr="00DF2319" w:rsidRDefault="00B94382" w:rsidP="00223E8F">
            <w:pPr>
              <w:pStyle w:val="TableHeading"/>
              <w:keepNext w:val="0"/>
              <w:ind w:left="4"/>
              <w:rPr>
                <w:b w:val="0"/>
              </w:rPr>
            </w:pPr>
            <w:r>
              <w:rPr>
                <w:b w:val="0"/>
              </w:rPr>
              <w:t>AMH testing may be a predictor for CRA at follow-up.</w:t>
            </w:r>
          </w:p>
        </w:tc>
        <w:tc>
          <w:tcPr>
            <w:tcW w:w="1417" w:type="dxa"/>
          </w:tcPr>
          <w:p w14:paraId="7C6F2352" w14:textId="25F41304" w:rsidR="00BD65CE" w:rsidRDefault="00BD65CE" w:rsidP="00223E8F">
            <w:pPr>
              <w:pStyle w:val="TableHeading"/>
              <w:keepNext w:val="0"/>
              <w:ind w:left="4"/>
              <w:rPr>
                <w:rFonts w:ascii="Cambria Math" w:hAnsi="Cambria Math" w:cs="Cambria Math"/>
                <w:color w:val="C00000"/>
              </w:rPr>
            </w:pPr>
            <w:r w:rsidRPr="00BA56CC">
              <w:rPr>
                <w:rFonts w:ascii="Cambria Math" w:hAnsi="Cambria Math"/>
                <w:color w:val="00B050"/>
              </w:rPr>
              <w:t>⨁</w:t>
            </w:r>
            <w:r w:rsidR="00ED4010" w:rsidRPr="00BA56CC">
              <w:rPr>
                <w:rFonts w:ascii="Cambria Math" w:hAnsi="Cambria Math"/>
                <w:color w:val="00B050"/>
              </w:rPr>
              <w:t>⨁</w:t>
            </w:r>
            <w:r w:rsidRPr="00BA56CC">
              <w:rPr>
                <w:rFonts w:ascii="Cambria Math" w:hAnsi="Cambria Math" w:cs="Cambria Math"/>
                <w:color w:val="C00000"/>
              </w:rPr>
              <w:t>⨀⨀</w:t>
            </w:r>
          </w:p>
          <w:p w14:paraId="43E1E238" w14:textId="43EE78BF" w:rsidR="003A06C2" w:rsidRPr="00DF2319" w:rsidRDefault="00ED4010" w:rsidP="00223E8F">
            <w:pPr>
              <w:pStyle w:val="TableHeading"/>
              <w:keepNext w:val="0"/>
              <w:ind w:left="4"/>
              <w:rPr>
                <w:b w:val="0"/>
              </w:rPr>
            </w:pPr>
            <w:r>
              <w:rPr>
                <w:b w:val="0"/>
              </w:rPr>
              <w:t>Low</w:t>
            </w:r>
            <w:r w:rsidR="00BD65CE" w:rsidRPr="00413649">
              <w:rPr>
                <w:b w:val="0"/>
              </w:rPr>
              <w:t xml:space="preserve"> quality</w:t>
            </w:r>
          </w:p>
        </w:tc>
      </w:tr>
      <w:tr w:rsidR="003A06C2" w:rsidRPr="00DF2319" w14:paraId="14131273" w14:textId="77777777" w:rsidTr="00AC6E6F">
        <w:trPr>
          <w:trHeight w:val="804"/>
        </w:trPr>
        <w:tc>
          <w:tcPr>
            <w:tcW w:w="1843" w:type="dxa"/>
            <w:tcBorders>
              <w:top w:val="single" w:sz="4" w:space="0" w:color="auto"/>
              <w:left w:val="single" w:sz="4" w:space="0" w:color="auto"/>
              <w:bottom w:val="nil"/>
              <w:right w:val="single" w:sz="4" w:space="0" w:color="auto"/>
            </w:tcBorders>
          </w:tcPr>
          <w:p w14:paraId="3D8C8B08" w14:textId="6090CBD3" w:rsidR="003A06C2" w:rsidRDefault="003A06C2" w:rsidP="00223E8F">
            <w:pPr>
              <w:pStyle w:val="TableHeading"/>
              <w:keepNext w:val="0"/>
              <w:ind w:left="4" w:right="-80"/>
              <w:rPr>
                <w:b w:val="0"/>
              </w:rPr>
            </w:pPr>
          </w:p>
        </w:tc>
        <w:tc>
          <w:tcPr>
            <w:tcW w:w="1843" w:type="dxa"/>
            <w:tcBorders>
              <w:left w:val="single" w:sz="4" w:space="0" w:color="auto"/>
            </w:tcBorders>
          </w:tcPr>
          <w:p w14:paraId="53BE90EA" w14:textId="7AC4581B" w:rsidR="003A06C2" w:rsidRDefault="003A06C2" w:rsidP="00223E8F">
            <w:pPr>
              <w:pStyle w:val="TableHeading"/>
              <w:keepNext w:val="0"/>
              <w:tabs>
                <w:tab w:val="left" w:pos="842"/>
              </w:tabs>
              <w:ind w:left="4"/>
              <w:rPr>
                <w:b w:val="0"/>
              </w:rPr>
            </w:pPr>
            <w:r>
              <w:rPr>
                <w:b w:val="0"/>
              </w:rPr>
              <w:t>Prognostic value: AMH predicting pregnancy / live births</w:t>
            </w:r>
          </w:p>
        </w:tc>
        <w:tc>
          <w:tcPr>
            <w:tcW w:w="1276" w:type="dxa"/>
          </w:tcPr>
          <w:p w14:paraId="4914C1D1" w14:textId="77777777" w:rsidR="003A06C2"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K=6</w:t>
            </w:r>
          </w:p>
          <w:p w14:paraId="50CA4722" w14:textId="47C357A2" w:rsidR="007E5032" w:rsidRPr="00DF2319" w:rsidRDefault="007E5032" w:rsidP="00223E8F">
            <w:pPr>
              <w:spacing w:after="40" w:line="240" w:lineRule="auto"/>
              <w:ind w:left="4"/>
              <w:rPr>
                <w:rFonts w:ascii="Arial Narrow" w:hAnsi="Arial Narrow" w:cs="Arial"/>
                <w:sz w:val="20"/>
                <w:szCs w:val="20"/>
              </w:rPr>
            </w:pPr>
            <w:r>
              <w:rPr>
                <w:rFonts w:ascii="Arial Narrow" w:hAnsi="Arial Narrow" w:cs="Arial"/>
                <w:sz w:val="20"/>
                <w:szCs w:val="20"/>
              </w:rPr>
              <w:t>N=</w:t>
            </w:r>
            <w:r w:rsidR="00426020">
              <w:rPr>
                <w:rFonts w:ascii="Arial Narrow" w:hAnsi="Arial Narrow" w:cs="Arial"/>
                <w:sz w:val="20"/>
                <w:szCs w:val="20"/>
              </w:rPr>
              <w:t>453</w:t>
            </w:r>
          </w:p>
        </w:tc>
        <w:tc>
          <w:tcPr>
            <w:tcW w:w="1984" w:type="dxa"/>
          </w:tcPr>
          <w:p w14:paraId="007DFF24" w14:textId="6221346E"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Risk of bias: </w:t>
            </w:r>
            <w:r w:rsidR="000943A1">
              <w:rPr>
                <w:rFonts w:ascii="Arial Narrow" w:hAnsi="Arial Narrow" w:cs="Arial"/>
                <w:sz w:val="20"/>
                <w:szCs w:val="20"/>
              </w:rPr>
              <w:t>-1</w:t>
            </w:r>
          </w:p>
          <w:p w14:paraId="7CB1B675" w14:textId="08DC67D6"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Inconsistency:</w:t>
            </w:r>
            <w:r>
              <w:rPr>
                <w:rFonts w:ascii="Arial Narrow" w:hAnsi="Arial Narrow" w:cs="Arial"/>
                <w:sz w:val="20"/>
                <w:szCs w:val="20"/>
              </w:rPr>
              <w:t xml:space="preserve"> </w:t>
            </w:r>
            <w:r w:rsidR="006A2200">
              <w:rPr>
                <w:rFonts w:ascii="Arial Narrow" w:hAnsi="Arial Narrow" w:cs="Arial"/>
                <w:sz w:val="20"/>
                <w:szCs w:val="20"/>
              </w:rPr>
              <w:t>0</w:t>
            </w:r>
          </w:p>
          <w:p w14:paraId="48B1910E" w14:textId="45E669D1"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Indirectness: </w:t>
            </w:r>
            <w:r>
              <w:rPr>
                <w:rFonts w:ascii="Arial Narrow" w:hAnsi="Arial Narrow" w:cs="Arial"/>
                <w:sz w:val="20"/>
                <w:szCs w:val="20"/>
              </w:rPr>
              <w:t>-1</w:t>
            </w:r>
          </w:p>
          <w:p w14:paraId="5F169057" w14:textId="768FDEE9"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Imprecision:</w:t>
            </w:r>
            <w:r w:rsidR="00CE02E2">
              <w:rPr>
                <w:rFonts w:ascii="Arial Narrow" w:hAnsi="Arial Narrow" w:cs="Arial"/>
                <w:sz w:val="20"/>
                <w:szCs w:val="20"/>
              </w:rPr>
              <w:t>-1</w:t>
            </w:r>
          </w:p>
          <w:p w14:paraId="7B17D34B" w14:textId="71B30510" w:rsidR="003A06C2" w:rsidRPr="00DF2319"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Other considerations</w:t>
            </w:r>
            <w:r w:rsidRPr="00DF2319">
              <w:rPr>
                <w:rFonts w:ascii="Arial Narrow" w:hAnsi="Arial Narrow" w:cs="Arial"/>
                <w:sz w:val="20"/>
                <w:szCs w:val="20"/>
              </w:rPr>
              <w:t>:</w:t>
            </w:r>
            <w:r w:rsidR="009A2211">
              <w:rPr>
                <w:rFonts w:ascii="Arial Narrow" w:hAnsi="Arial Narrow" w:cs="Arial"/>
                <w:sz w:val="20"/>
                <w:szCs w:val="20"/>
              </w:rPr>
              <w:t xml:space="preserve"> </w:t>
            </w:r>
            <w:r w:rsidR="00CE02E2">
              <w:rPr>
                <w:rFonts w:ascii="Arial Narrow" w:hAnsi="Arial Narrow" w:cs="Arial"/>
                <w:sz w:val="20"/>
                <w:szCs w:val="20"/>
              </w:rPr>
              <w:t>0</w:t>
            </w:r>
          </w:p>
        </w:tc>
        <w:tc>
          <w:tcPr>
            <w:tcW w:w="3260" w:type="dxa"/>
          </w:tcPr>
          <w:p w14:paraId="5C11CC52" w14:textId="6EBE48A3" w:rsidR="003A06C2" w:rsidRPr="00DF2319" w:rsidRDefault="001F133B" w:rsidP="00223E8F">
            <w:pPr>
              <w:pStyle w:val="TableHeading"/>
              <w:keepNext w:val="0"/>
              <w:ind w:left="4"/>
              <w:rPr>
                <w:b w:val="0"/>
              </w:rPr>
            </w:pPr>
            <w:r>
              <w:rPr>
                <w:b w:val="0"/>
              </w:rPr>
              <w:t xml:space="preserve">Most studies did not find a significant relationship between AMH levels and pregnancy rate. </w:t>
            </w:r>
          </w:p>
        </w:tc>
        <w:tc>
          <w:tcPr>
            <w:tcW w:w="2835" w:type="dxa"/>
          </w:tcPr>
          <w:p w14:paraId="31D84B2B" w14:textId="408866C5" w:rsidR="009A2211" w:rsidRPr="00DF2319" w:rsidRDefault="009A2211" w:rsidP="00811281">
            <w:pPr>
              <w:pStyle w:val="TableHeading"/>
              <w:keepNext w:val="0"/>
              <w:ind w:left="4"/>
              <w:rPr>
                <w:b w:val="0"/>
              </w:rPr>
            </w:pPr>
            <w:r>
              <w:rPr>
                <w:b w:val="0"/>
              </w:rPr>
              <w:t>No conclusions can be drawn on the incremental prognostic value of AMH testing in predicting pregnancy or live birth rate.</w:t>
            </w:r>
          </w:p>
        </w:tc>
        <w:tc>
          <w:tcPr>
            <w:tcW w:w="1417" w:type="dxa"/>
          </w:tcPr>
          <w:p w14:paraId="18103E11" w14:textId="77777777" w:rsidR="00BD65CE" w:rsidRDefault="00BD65CE" w:rsidP="00223E8F">
            <w:pPr>
              <w:pStyle w:val="TableHeading"/>
              <w:keepNext w:val="0"/>
              <w:ind w:left="4"/>
              <w:rPr>
                <w:rFonts w:ascii="Cambria Math" w:hAnsi="Cambria Math" w:cs="Cambria Math"/>
                <w:color w:val="C00000"/>
              </w:rPr>
            </w:pPr>
            <w:r w:rsidRPr="00BA56CC">
              <w:rPr>
                <w:rFonts w:ascii="Cambria Math" w:hAnsi="Cambria Math"/>
                <w:color w:val="00B050"/>
              </w:rPr>
              <w:t>⨁</w:t>
            </w:r>
            <w:r w:rsidRPr="00BA56CC">
              <w:rPr>
                <w:rFonts w:ascii="Cambria Math" w:hAnsi="Cambria Math" w:cs="Cambria Math"/>
                <w:color w:val="C00000"/>
              </w:rPr>
              <w:t>⨀⨀⨀</w:t>
            </w:r>
          </w:p>
          <w:p w14:paraId="51C8813E" w14:textId="4229C5CD" w:rsidR="003A06C2" w:rsidRPr="00DF2319" w:rsidRDefault="00BD65CE" w:rsidP="00223E8F">
            <w:pPr>
              <w:pStyle w:val="TableHeading"/>
              <w:keepNext w:val="0"/>
              <w:ind w:left="4"/>
              <w:rPr>
                <w:b w:val="0"/>
              </w:rPr>
            </w:pPr>
            <w:r w:rsidRPr="00413649">
              <w:rPr>
                <w:b w:val="0"/>
              </w:rPr>
              <w:t>Very low quality</w:t>
            </w:r>
          </w:p>
        </w:tc>
      </w:tr>
      <w:tr w:rsidR="003A06C2" w:rsidRPr="00DF2319" w14:paraId="73BA2A33" w14:textId="77777777" w:rsidTr="00AC6E6F">
        <w:trPr>
          <w:trHeight w:val="804"/>
        </w:trPr>
        <w:tc>
          <w:tcPr>
            <w:tcW w:w="1843" w:type="dxa"/>
            <w:tcBorders>
              <w:top w:val="nil"/>
              <w:left w:val="single" w:sz="4" w:space="0" w:color="auto"/>
              <w:bottom w:val="single" w:sz="4" w:space="0" w:color="auto"/>
              <w:right w:val="single" w:sz="4" w:space="0" w:color="auto"/>
            </w:tcBorders>
          </w:tcPr>
          <w:p w14:paraId="538204AD" w14:textId="77777777" w:rsidR="003A06C2" w:rsidRDefault="003A06C2" w:rsidP="00223E8F">
            <w:pPr>
              <w:pStyle w:val="TableHeading"/>
              <w:keepNext w:val="0"/>
              <w:ind w:left="4" w:right="-80"/>
              <w:rPr>
                <w:b w:val="0"/>
              </w:rPr>
            </w:pPr>
          </w:p>
        </w:tc>
        <w:tc>
          <w:tcPr>
            <w:tcW w:w="1843" w:type="dxa"/>
            <w:tcBorders>
              <w:left w:val="single" w:sz="4" w:space="0" w:color="auto"/>
            </w:tcBorders>
          </w:tcPr>
          <w:p w14:paraId="3DFA4D7E" w14:textId="597509EE" w:rsidR="003A06C2" w:rsidRDefault="003A06C2" w:rsidP="00223E8F">
            <w:pPr>
              <w:pStyle w:val="TableHeading"/>
              <w:keepNext w:val="0"/>
              <w:tabs>
                <w:tab w:val="left" w:pos="842"/>
              </w:tabs>
              <w:ind w:left="4"/>
              <w:rPr>
                <w:b w:val="0"/>
              </w:rPr>
            </w:pPr>
            <w:r>
              <w:rPr>
                <w:b w:val="0"/>
              </w:rPr>
              <w:t>Predictive value: AMH predicting ovarian response</w:t>
            </w:r>
          </w:p>
        </w:tc>
        <w:tc>
          <w:tcPr>
            <w:tcW w:w="1276" w:type="dxa"/>
          </w:tcPr>
          <w:p w14:paraId="057EBA88" w14:textId="77777777" w:rsidR="003A06C2"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K=4</w:t>
            </w:r>
          </w:p>
          <w:p w14:paraId="467BC326" w14:textId="6D9EB365" w:rsidR="007E5032" w:rsidRPr="00DF2319" w:rsidRDefault="007E5032" w:rsidP="00223E8F">
            <w:pPr>
              <w:spacing w:after="40" w:line="240" w:lineRule="auto"/>
              <w:ind w:left="4"/>
              <w:rPr>
                <w:rFonts w:ascii="Arial Narrow" w:hAnsi="Arial Narrow" w:cs="Arial"/>
                <w:sz w:val="20"/>
                <w:szCs w:val="20"/>
              </w:rPr>
            </w:pPr>
            <w:r>
              <w:rPr>
                <w:rFonts w:ascii="Arial Narrow" w:hAnsi="Arial Narrow" w:cs="Arial"/>
                <w:sz w:val="20"/>
                <w:szCs w:val="20"/>
              </w:rPr>
              <w:t>N=</w:t>
            </w:r>
            <w:r w:rsidR="00426020">
              <w:rPr>
                <w:rFonts w:ascii="Arial Narrow" w:hAnsi="Arial Narrow" w:cs="Arial"/>
                <w:sz w:val="20"/>
                <w:szCs w:val="20"/>
              </w:rPr>
              <w:t>446</w:t>
            </w:r>
          </w:p>
        </w:tc>
        <w:tc>
          <w:tcPr>
            <w:tcW w:w="1984" w:type="dxa"/>
          </w:tcPr>
          <w:p w14:paraId="0C470DB4" w14:textId="5977BB34"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Risk of bias: </w:t>
            </w:r>
            <w:r w:rsidR="009A2211">
              <w:rPr>
                <w:rFonts w:ascii="Arial Narrow" w:hAnsi="Arial Narrow" w:cs="Arial"/>
                <w:sz w:val="20"/>
                <w:szCs w:val="20"/>
              </w:rPr>
              <w:t>0</w:t>
            </w:r>
          </w:p>
          <w:p w14:paraId="5A68870B" w14:textId="77777777" w:rsidR="007518CF"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Inconsistency:</w:t>
            </w:r>
            <w:r w:rsidR="009A2211">
              <w:rPr>
                <w:rFonts w:ascii="Arial Narrow" w:hAnsi="Arial Narrow" w:cs="Arial"/>
                <w:sz w:val="20"/>
                <w:szCs w:val="20"/>
              </w:rPr>
              <w:t xml:space="preserve"> 0</w:t>
            </w:r>
          </w:p>
          <w:p w14:paraId="25991D4F" w14:textId="0A8639EA"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Indirectness: </w:t>
            </w:r>
            <w:r>
              <w:rPr>
                <w:rFonts w:ascii="Arial Narrow" w:hAnsi="Arial Narrow" w:cs="Arial"/>
                <w:sz w:val="20"/>
                <w:szCs w:val="20"/>
              </w:rPr>
              <w:t>-1</w:t>
            </w:r>
          </w:p>
          <w:p w14:paraId="7E061CC3" w14:textId="3D0012E5"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Imprecision:</w:t>
            </w:r>
            <w:r w:rsidR="009A2211">
              <w:rPr>
                <w:rFonts w:ascii="Arial Narrow" w:hAnsi="Arial Narrow" w:cs="Arial"/>
                <w:sz w:val="20"/>
                <w:szCs w:val="20"/>
              </w:rPr>
              <w:t xml:space="preserve"> 0</w:t>
            </w:r>
          </w:p>
          <w:p w14:paraId="14FA639F" w14:textId="7F143C69" w:rsidR="003A06C2" w:rsidRPr="00DF2319"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Other considerations</w:t>
            </w:r>
            <w:r w:rsidRPr="00DF2319">
              <w:rPr>
                <w:rFonts w:ascii="Arial Narrow" w:hAnsi="Arial Narrow" w:cs="Arial"/>
                <w:sz w:val="20"/>
                <w:szCs w:val="20"/>
              </w:rPr>
              <w:t>:</w:t>
            </w:r>
            <w:r w:rsidR="009A2211">
              <w:rPr>
                <w:rFonts w:ascii="Arial Narrow" w:hAnsi="Arial Narrow" w:cs="Arial"/>
                <w:sz w:val="20"/>
                <w:szCs w:val="20"/>
              </w:rPr>
              <w:t xml:space="preserve"> 0</w:t>
            </w:r>
          </w:p>
        </w:tc>
        <w:tc>
          <w:tcPr>
            <w:tcW w:w="3260" w:type="dxa"/>
          </w:tcPr>
          <w:p w14:paraId="64CC83EE" w14:textId="70E696CD" w:rsidR="003A06C2" w:rsidRPr="00DF2319" w:rsidRDefault="009A2211" w:rsidP="00223E8F">
            <w:pPr>
              <w:pStyle w:val="TableHeading"/>
              <w:keepNext w:val="0"/>
              <w:ind w:left="4"/>
              <w:rPr>
                <w:b w:val="0"/>
              </w:rPr>
            </w:pPr>
            <w:r>
              <w:rPr>
                <w:b w:val="0"/>
              </w:rPr>
              <w:t>One study presented that AMH had m</w:t>
            </w:r>
            <w:r w:rsidRPr="009A2211">
              <w:rPr>
                <w:b w:val="0"/>
              </w:rPr>
              <w:t>oderate (AUC 0.7 to 0.8) to good (0.8 to 0.9) test performance at predicting oocyte yield. AFC ultrasound had a good (0.8 to 0.9) test performance</w:t>
            </w:r>
            <w:r>
              <w:rPr>
                <w:b w:val="0"/>
              </w:rPr>
              <w:t>. The other three studies found a moderate relationship between AMH and oocyte yield.</w:t>
            </w:r>
          </w:p>
        </w:tc>
        <w:tc>
          <w:tcPr>
            <w:tcW w:w="2835" w:type="dxa"/>
          </w:tcPr>
          <w:p w14:paraId="14EE3202" w14:textId="0FEA3271" w:rsidR="003A06C2" w:rsidRPr="00DF2319" w:rsidRDefault="009A2211" w:rsidP="00223E8F">
            <w:pPr>
              <w:pStyle w:val="TableHeading"/>
              <w:keepNext w:val="0"/>
              <w:ind w:left="4"/>
              <w:rPr>
                <w:b w:val="0"/>
              </w:rPr>
            </w:pPr>
            <w:r w:rsidRPr="009A2211">
              <w:rPr>
                <w:b w:val="0"/>
              </w:rPr>
              <w:t>An association was found between AMH levels and ovarian response to hyperstimulation in women undergoing gonadotoxic treatment</w:t>
            </w:r>
            <w:r>
              <w:rPr>
                <w:b w:val="0"/>
              </w:rPr>
              <w:t>. However, no conclusions can be drawn on the incremental predictive value</w:t>
            </w:r>
            <w:r w:rsidR="00202F42">
              <w:rPr>
                <w:b w:val="0"/>
              </w:rPr>
              <w:t xml:space="preserve"> of AMH testing</w:t>
            </w:r>
            <w:r>
              <w:rPr>
                <w:b w:val="0"/>
              </w:rPr>
              <w:t xml:space="preserve"> in determining response to ovarian stimulation.</w:t>
            </w:r>
          </w:p>
        </w:tc>
        <w:tc>
          <w:tcPr>
            <w:tcW w:w="1417" w:type="dxa"/>
          </w:tcPr>
          <w:p w14:paraId="30968BC7" w14:textId="77777777" w:rsidR="00BD65CE" w:rsidRDefault="00BD65CE" w:rsidP="00223E8F">
            <w:pPr>
              <w:pStyle w:val="TableHeading"/>
              <w:keepNext w:val="0"/>
              <w:ind w:left="4"/>
              <w:rPr>
                <w:rFonts w:ascii="Cambria Math" w:hAnsi="Cambria Math" w:cs="Cambria Math"/>
                <w:color w:val="C00000"/>
              </w:rPr>
            </w:pPr>
            <w:r w:rsidRPr="00BA56CC">
              <w:rPr>
                <w:rFonts w:ascii="Cambria Math" w:hAnsi="Cambria Math"/>
                <w:color w:val="00B050"/>
              </w:rPr>
              <w:t>⨁</w:t>
            </w:r>
            <w:r w:rsidRPr="00BA56CC">
              <w:rPr>
                <w:rFonts w:ascii="Cambria Math" w:hAnsi="Cambria Math" w:cs="Cambria Math"/>
                <w:color w:val="C00000"/>
              </w:rPr>
              <w:t>⨀⨀⨀</w:t>
            </w:r>
          </w:p>
          <w:p w14:paraId="11012376" w14:textId="1A7D1A6D" w:rsidR="003A06C2" w:rsidRPr="00DF2319" w:rsidRDefault="00BD65CE" w:rsidP="00223E8F">
            <w:pPr>
              <w:pStyle w:val="TableHeading"/>
              <w:keepNext w:val="0"/>
              <w:ind w:left="4"/>
              <w:rPr>
                <w:b w:val="0"/>
              </w:rPr>
            </w:pPr>
            <w:r w:rsidRPr="00413649">
              <w:rPr>
                <w:b w:val="0"/>
              </w:rPr>
              <w:t>Very low quality</w:t>
            </w:r>
          </w:p>
        </w:tc>
      </w:tr>
      <w:tr w:rsidR="003A06C2" w:rsidRPr="00DF2319" w14:paraId="2357AD35" w14:textId="77777777" w:rsidTr="00AC6E6F">
        <w:trPr>
          <w:trHeight w:val="804"/>
        </w:trPr>
        <w:tc>
          <w:tcPr>
            <w:tcW w:w="1843" w:type="dxa"/>
            <w:tcBorders>
              <w:top w:val="single" w:sz="4" w:space="0" w:color="auto"/>
              <w:bottom w:val="single" w:sz="4" w:space="0" w:color="auto"/>
            </w:tcBorders>
          </w:tcPr>
          <w:p w14:paraId="59A69BFF" w14:textId="7C5D32BD" w:rsidR="003A06C2" w:rsidRDefault="003A06C2" w:rsidP="00223E8F">
            <w:pPr>
              <w:pStyle w:val="TableHeading"/>
              <w:keepNext w:val="0"/>
              <w:ind w:left="4" w:right="-80"/>
              <w:rPr>
                <w:b w:val="0"/>
              </w:rPr>
            </w:pPr>
            <w:r>
              <w:rPr>
                <w:b w:val="0"/>
              </w:rPr>
              <w:t>B4 Clinical validity</w:t>
            </w:r>
          </w:p>
        </w:tc>
        <w:tc>
          <w:tcPr>
            <w:tcW w:w="1843" w:type="dxa"/>
          </w:tcPr>
          <w:p w14:paraId="67BB77C0" w14:textId="1E70899A" w:rsidR="003A06C2" w:rsidRDefault="003A06C2" w:rsidP="00223E8F">
            <w:pPr>
              <w:pStyle w:val="TableHeading"/>
              <w:keepNext w:val="0"/>
              <w:tabs>
                <w:tab w:val="left" w:pos="842"/>
              </w:tabs>
              <w:ind w:left="4"/>
              <w:rPr>
                <w:b w:val="0"/>
              </w:rPr>
            </w:pPr>
            <w:r>
              <w:rPr>
                <w:b w:val="0"/>
              </w:rPr>
              <w:t>Accuracy and usefulness of AMH</w:t>
            </w:r>
          </w:p>
        </w:tc>
        <w:tc>
          <w:tcPr>
            <w:tcW w:w="1276" w:type="dxa"/>
          </w:tcPr>
          <w:p w14:paraId="021D1EE3" w14:textId="77777777" w:rsidR="003A06C2"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K=7</w:t>
            </w:r>
          </w:p>
          <w:p w14:paraId="1DEDF318" w14:textId="6A62E49F" w:rsidR="007E5032" w:rsidRPr="00DF2319" w:rsidRDefault="007E5032" w:rsidP="00223E8F">
            <w:pPr>
              <w:spacing w:after="40" w:line="240" w:lineRule="auto"/>
              <w:ind w:left="4"/>
              <w:rPr>
                <w:rFonts w:ascii="Arial Narrow" w:hAnsi="Arial Narrow" w:cs="Arial"/>
                <w:sz w:val="20"/>
                <w:szCs w:val="20"/>
              </w:rPr>
            </w:pPr>
            <w:r>
              <w:rPr>
                <w:rFonts w:ascii="Arial Narrow" w:hAnsi="Arial Narrow" w:cs="Arial"/>
                <w:sz w:val="20"/>
                <w:szCs w:val="20"/>
              </w:rPr>
              <w:t>N=</w:t>
            </w:r>
            <w:r w:rsidR="00426020">
              <w:rPr>
                <w:rFonts w:ascii="Arial Narrow" w:hAnsi="Arial Narrow" w:cs="Arial"/>
                <w:sz w:val="20"/>
                <w:szCs w:val="20"/>
              </w:rPr>
              <w:t>310</w:t>
            </w:r>
          </w:p>
        </w:tc>
        <w:tc>
          <w:tcPr>
            <w:tcW w:w="1984" w:type="dxa"/>
          </w:tcPr>
          <w:p w14:paraId="1789C65D" w14:textId="4B6FA0FD"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Risk of bias: </w:t>
            </w:r>
            <w:r w:rsidR="0010452B">
              <w:rPr>
                <w:rFonts w:ascii="Arial Narrow" w:hAnsi="Arial Narrow" w:cs="Arial"/>
                <w:sz w:val="20"/>
                <w:szCs w:val="20"/>
              </w:rPr>
              <w:t>0</w:t>
            </w:r>
          </w:p>
          <w:p w14:paraId="7AD95971" w14:textId="77777777" w:rsidR="007518CF"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Inconsistency:</w:t>
            </w:r>
            <w:r w:rsidR="0010452B">
              <w:rPr>
                <w:rFonts w:ascii="Arial Narrow" w:hAnsi="Arial Narrow" w:cs="Arial"/>
                <w:sz w:val="20"/>
                <w:szCs w:val="20"/>
              </w:rPr>
              <w:t xml:space="preserve"> 0</w:t>
            </w:r>
          </w:p>
          <w:p w14:paraId="56199473" w14:textId="7711A44F"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 xml:space="preserve">Indirectness: </w:t>
            </w:r>
            <w:r>
              <w:rPr>
                <w:rFonts w:ascii="Arial Narrow" w:hAnsi="Arial Narrow" w:cs="Arial"/>
                <w:sz w:val="20"/>
                <w:szCs w:val="20"/>
              </w:rPr>
              <w:t>-1</w:t>
            </w:r>
          </w:p>
          <w:p w14:paraId="2E60D619" w14:textId="5C32B169" w:rsidR="003A06C2" w:rsidRPr="00DF2319" w:rsidRDefault="003A06C2" w:rsidP="00223E8F">
            <w:pPr>
              <w:spacing w:after="40" w:line="240" w:lineRule="auto"/>
              <w:ind w:left="4"/>
              <w:rPr>
                <w:rFonts w:ascii="Arial Narrow" w:hAnsi="Arial Narrow" w:cs="Arial"/>
                <w:sz w:val="20"/>
                <w:szCs w:val="20"/>
              </w:rPr>
            </w:pPr>
            <w:r w:rsidRPr="00DF2319">
              <w:rPr>
                <w:rFonts w:ascii="Arial Narrow" w:hAnsi="Arial Narrow" w:cs="Arial"/>
                <w:sz w:val="20"/>
                <w:szCs w:val="20"/>
              </w:rPr>
              <w:t>Imprecision:</w:t>
            </w:r>
            <w:r w:rsidR="0010452B">
              <w:rPr>
                <w:rFonts w:ascii="Arial Narrow" w:hAnsi="Arial Narrow" w:cs="Arial"/>
                <w:sz w:val="20"/>
                <w:szCs w:val="20"/>
              </w:rPr>
              <w:t xml:space="preserve"> 0</w:t>
            </w:r>
          </w:p>
          <w:p w14:paraId="4C939A3D" w14:textId="0A252CFF" w:rsidR="003A06C2" w:rsidRPr="00DF2319"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Other considerations</w:t>
            </w:r>
            <w:r w:rsidRPr="00DF2319">
              <w:rPr>
                <w:rFonts w:ascii="Arial Narrow" w:hAnsi="Arial Narrow" w:cs="Arial"/>
                <w:sz w:val="20"/>
                <w:szCs w:val="20"/>
              </w:rPr>
              <w:t>:</w:t>
            </w:r>
            <w:r w:rsidR="0010452B">
              <w:rPr>
                <w:rFonts w:ascii="Arial Narrow" w:hAnsi="Arial Narrow" w:cs="Arial"/>
                <w:sz w:val="20"/>
                <w:szCs w:val="20"/>
              </w:rPr>
              <w:t xml:space="preserve"> 0</w:t>
            </w:r>
          </w:p>
        </w:tc>
        <w:tc>
          <w:tcPr>
            <w:tcW w:w="3260" w:type="dxa"/>
          </w:tcPr>
          <w:p w14:paraId="5590EAAE" w14:textId="79764A78" w:rsidR="003A06C2" w:rsidRPr="00DF2319" w:rsidRDefault="00317E77" w:rsidP="00223E8F">
            <w:pPr>
              <w:pStyle w:val="TableHeading"/>
              <w:keepNext w:val="0"/>
              <w:ind w:left="4"/>
              <w:rPr>
                <w:b w:val="0"/>
              </w:rPr>
            </w:pPr>
            <w:r>
              <w:rPr>
                <w:b w:val="0"/>
              </w:rPr>
              <w:t xml:space="preserve">First generation AMH tests showed lack of utility </w:t>
            </w:r>
            <w:r w:rsidR="00601092" w:rsidRPr="00601092">
              <w:rPr>
                <w:b w:val="0"/>
              </w:rPr>
              <w:t>AMH measured both prior to and after treatment compared to resumption of menses</w:t>
            </w:r>
            <w:r w:rsidR="00601092">
              <w:rPr>
                <w:b w:val="0"/>
              </w:rPr>
              <w:t xml:space="preserve"> / CRA. Second generation tests perform better</w:t>
            </w:r>
            <w:r w:rsidR="0010452B">
              <w:rPr>
                <w:b w:val="0"/>
              </w:rPr>
              <w:t xml:space="preserve">, however </w:t>
            </w:r>
            <w:r w:rsidR="0010452B" w:rsidRPr="0010452B">
              <w:rPr>
                <w:b w:val="0"/>
              </w:rPr>
              <w:t xml:space="preserve">the positive test result was only clinically useful </w:t>
            </w:r>
            <w:r w:rsidR="00EF282F">
              <w:rPr>
                <w:b w:val="0"/>
              </w:rPr>
              <w:t>in women at high risk</w:t>
            </w:r>
            <w:r w:rsidR="0010452B" w:rsidRPr="0010452B">
              <w:rPr>
                <w:b w:val="0"/>
              </w:rPr>
              <w:t xml:space="preserve"> of ovarian failure, whereas the negative test result was only useful in the group at low risk of ovarian failure</w:t>
            </w:r>
            <w:r w:rsidR="00EF282F">
              <w:rPr>
                <w:b w:val="0"/>
              </w:rPr>
              <w:t>.</w:t>
            </w:r>
          </w:p>
        </w:tc>
        <w:tc>
          <w:tcPr>
            <w:tcW w:w="2835" w:type="dxa"/>
          </w:tcPr>
          <w:p w14:paraId="694E651B" w14:textId="25B7B5F0" w:rsidR="003A06C2" w:rsidRDefault="005019CF" w:rsidP="00223E8F">
            <w:pPr>
              <w:pStyle w:val="TableHeading"/>
              <w:keepNext w:val="0"/>
              <w:ind w:left="4"/>
              <w:rPr>
                <w:b w:val="0"/>
              </w:rPr>
            </w:pPr>
            <w:r>
              <w:rPr>
                <w:b w:val="0"/>
              </w:rPr>
              <w:t>Regarding the second generation AMH tests and lab tests, a positive AMH result (detectable AMH) only gives an accurate prediction of ovarian function in women at high risk of ovarian failure. A negative test result (undetectable</w:t>
            </w:r>
            <w:r w:rsidR="00202F42">
              <w:rPr>
                <w:b w:val="0"/>
              </w:rPr>
              <w:t xml:space="preserve"> AMH</w:t>
            </w:r>
            <w:r>
              <w:rPr>
                <w:b w:val="0"/>
              </w:rPr>
              <w:t>) is only able to predict amenorrhea in women at low risk of ovarian failure.</w:t>
            </w:r>
          </w:p>
          <w:p w14:paraId="3387EADB" w14:textId="0BF3B273" w:rsidR="005019CF" w:rsidRPr="00DF2319" w:rsidRDefault="005019CF" w:rsidP="00223E8F">
            <w:pPr>
              <w:pStyle w:val="TableHeading"/>
              <w:keepNext w:val="0"/>
              <w:ind w:left="4"/>
              <w:rPr>
                <w:b w:val="0"/>
              </w:rPr>
            </w:pPr>
            <w:r>
              <w:rPr>
                <w:b w:val="0"/>
              </w:rPr>
              <w:t>First generation AMH tests showed lack of utility in predicting ovarian function.</w:t>
            </w:r>
          </w:p>
        </w:tc>
        <w:tc>
          <w:tcPr>
            <w:tcW w:w="1417" w:type="dxa"/>
          </w:tcPr>
          <w:p w14:paraId="7C03982B" w14:textId="77777777" w:rsidR="00BD65CE" w:rsidRDefault="00BD65CE" w:rsidP="00223E8F">
            <w:pPr>
              <w:pStyle w:val="TableHeading"/>
              <w:keepNext w:val="0"/>
              <w:ind w:left="4"/>
              <w:rPr>
                <w:rFonts w:ascii="Cambria Math" w:hAnsi="Cambria Math" w:cs="Cambria Math"/>
                <w:color w:val="C00000"/>
              </w:rPr>
            </w:pPr>
            <w:r w:rsidRPr="00BA56CC">
              <w:rPr>
                <w:rFonts w:ascii="Cambria Math" w:hAnsi="Cambria Math"/>
                <w:color w:val="00B050"/>
              </w:rPr>
              <w:t>⨁</w:t>
            </w:r>
            <w:r w:rsidRPr="00BA56CC">
              <w:rPr>
                <w:rFonts w:ascii="Cambria Math" w:hAnsi="Cambria Math" w:cs="Cambria Math"/>
                <w:color w:val="C00000"/>
              </w:rPr>
              <w:t>⨀⨀⨀</w:t>
            </w:r>
          </w:p>
          <w:p w14:paraId="00499EA4" w14:textId="30F19359" w:rsidR="003A06C2" w:rsidRPr="00DF2319" w:rsidRDefault="00BD65CE" w:rsidP="00223E8F">
            <w:pPr>
              <w:pStyle w:val="TableHeading"/>
              <w:keepNext w:val="0"/>
              <w:ind w:left="4"/>
              <w:rPr>
                <w:b w:val="0"/>
              </w:rPr>
            </w:pPr>
            <w:r w:rsidRPr="00413649">
              <w:rPr>
                <w:b w:val="0"/>
              </w:rPr>
              <w:t>Very low quality</w:t>
            </w:r>
          </w:p>
        </w:tc>
      </w:tr>
      <w:tr w:rsidR="003A06C2" w:rsidRPr="00DF2319" w14:paraId="2E633C1D" w14:textId="77777777" w:rsidTr="00AC6E6F">
        <w:trPr>
          <w:trHeight w:val="804"/>
        </w:trPr>
        <w:tc>
          <w:tcPr>
            <w:tcW w:w="1843" w:type="dxa"/>
            <w:tcBorders>
              <w:top w:val="single" w:sz="4" w:space="0" w:color="auto"/>
              <w:left w:val="single" w:sz="4" w:space="0" w:color="auto"/>
              <w:bottom w:val="single" w:sz="4" w:space="0" w:color="auto"/>
              <w:right w:val="single" w:sz="4" w:space="0" w:color="auto"/>
            </w:tcBorders>
          </w:tcPr>
          <w:p w14:paraId="2759E156" w14:textId="75368183" w:rsidR="003A06C2" w:rsidRDefault="003A06C2" w:rsidP="00223E8F">
            <w:pPr>
              <w:pStyle w:val="TableHeading"/>
              <w:keepNext w:val="0"/>
              <w:ind w:left="4" w:right="-80"/>
              <w:rPr>
                <w:b w:val="0"/>
              </w:rPr>
            </w:pPr>
            <w:r>
              <w:rPr>
                <w:b w:val="0"/>
              </w:rPr>
              <w:t>B5 Clinical utility</w:t>
            </w:r>
          </w:p>
        </w:tc>
        <w:tc>
          <w:tcPr>
            <w:tcW w:w="1843" w:type="dxa"/>
            <w:tcBorders>
              <w:left w:val="single" w:sz="4" w:space="0" w:color="auto"/>
            </w:tcBorders>
          </w:tcPr>
          <w:p w14:paraId="3E26761C" w14:textId="12A79721" w:rsidR="003A06C2" w:rsidRDefault="003A06C2" w:rsidP="00223E8F">
            <w:pPr>
              <w:pStyle w:val="TableHeading"/>
              <w:keepNext w:val="0"/>
              <w:tabs>
                <w:tab w:val="left" w:pos="842"/>
              </w:tabs>
              <w:ind w:left="4"/>
              <w:rPr>
                <w:b w:val="0"/>
              </w:rPr>
            </w:pPr>
            <w:r>
              <w:rPr>
                <w:b w:val="0"/>
              </w:rPr>
              <w:t>Change in clinical management due to AMH test results</w:t>
            </w:r>
            <w:r w:rsidR="00531E78">
              <w:rPr>
                <w:b w:val="0"/>
              </w:rPr>
              <w:t xml:space="preserve"> (therapeutic efficacy)</w:t>
            </w:r>
          </w:p>
        </w:tc>
        <w:tc>
          <w:tcPr>
            <w:tcW w:w="1276" w:type="dxa"/>
          </w:tcPr>
          <w:p w14:paraId="7164DA1B" w14:textId="77777777" w:rsidR="003A06C2"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K=0</w:t>
            </w:r>
          </w:p>
          <w:p w14:paraId="648DF027" w14:textId="2B00F523" w:rsidR="007E5032" w:rsidRPr="00DF2319" w:rsidRDefault="007E5032" w:rsidP="00223E8F">
            <w:pPr>
              <w:spacing w:after="40" w:line="240" w:lineRule="auto"/>
              <w:ind w:left="4"/>
              <w:rPr>
                <w:rFonts w:ascii="Arial Narrow" w:hAnsi="Arial Narrow" w:cs="Arial"/>
                <w:sz w:val="20"/>
                <w:szCs w:val="20"/>
              </w:rPr>
            </w:pPr>
            <w:r>
              <w:rPr>
                <w:rFonts w:ascii="Arial Narrow" w:hAnsi="Arial Narrow" w:cs="Arial"/>
                <w:sz w:val="20"/>
                <w:szCs w:val="20"/>
              </w:rPr>
              <w:t>N=</w:t>
            </w:r>
            <w:r w:rsidR="00426020">
              <w:rPr>
                <w:rFonts w:ascii="Arial Narrow" w:hAnsi="Arial Narrow" w:cs="Arial"/>
                <w:sz w:val="20"/>
                <w:szCs w:val="20"/>
              </w:rPr>
              <w:t>0</w:t>
            </w:r>
          </w:p>
        </w:tc>
        <w:tc>
          <w:tcPr>
            <w:tcW w:w="1984" w:type="dxa"/>
          </w:tcPr>
          <w:p w14:paraId="3442FC28" w14:textId="5C7A9026" w:rsidR="003A06C2" w:rsidRPr="00DF2319" w:rsidRDefault="00283CAD" w:rsidP="00223E8F">
            <w:pPr>
              <w:spacing w:after="40" w:line="240" w:lineRule="auto"/>
              <w:ind w:left="4"/>
              <w:rPr>
                <w:rFonts w:ascii="Arial Narrow" w:hAnsi="Arial Narrow" w:cs="Arial"/>
                <w:sz w:val="20"/>
                <w:szCs w:val="20"/>
              </w:rPr>
            </w:pPr>
            <w:r>
              <w:rPr>
                <w:rFonts w:ascii="Arial Narrow" w:hAnsi="Arial Narrow" w:cs="Arial"/>
                <w:sz w:val="20"/>
                <w:szCs w:val="20"/>
              </w:rPr>
              <w:t>NA</w:t>
            </w:r>
          </w:p>
        </w:tc>
        <w:tc>
          <w:tcPr>
            <w:tcW w:w="3260" w:type="dxa"/>
          </w:tcPr>
          <w:p w14:paraId="35BE668A" w14:textId="77777777" w:rsidR="007518CF" w:rsidRDefault="00202F42" w:rsidP="00223E8F">
            <w:pPr>
              <w:pStyle w:val="TableHeading"/>
              <w:keepNext w:val="0"/>
              <w:ind w:left="4"/>
              <w:rPr>
                <w:b w:val="0"/>
              </w:rPr>
            </w:pPr>
            <w:r>
              <w:rPr>
                <w:b w:val="0"/>
              </w:rPr>
              <w:t>No evidence was found on AMH informing change in management in women undergoing gonadotoxic treatment.</w:t>
            </w:r>
          </w:p>
          <w:p w14:paraId="08D06B44" w14:textId="7F492FDE" w:rsidR="00202F42" w:rsidRPr="00DF2319" w:rsidRDefault="00202F42" w:rsidP="00223E8F">
            <w:pPr>
              <w:pStyle w:val="TableHeading"/>
              <w:keepNext w:val="0"/>
              <w:ind w:left="4"/>
              <w:rPr>
                <w:b w:val="0"/>
              </w:rPr>
            </w:pPr>
            <w:r>
              <w:rPr>
                <w:b w:val="0"/>
              </w:rPr>
              <w:t>In a broader population, AMH values may influence the starting dose of hormones for ovarian hyperstimulation.</w:t>
            </w:r>
          </w:p>
        </w:tc>
        <w:tc>
          <w:tcPr>
            <w:tcW w:w="2835" w:type="dxa"/>
          </w:tcPr>
          <w:p w14:paraId="3EAFD649" w14:textId="0CCAFCBE" w:rsidR="003A06C2" w:rsidRPr="00DF2319" w:rsidRDefault="00202F42" w:rsidP="00223E8F">
            <w:pPr>
              <w:pStyle w:val="TableHeading"/>
              <w:keepNext w:val="0"/>
              <w:ind w:left="4"/>
              <w:rPr>
                <w:b w:val="0"/>
              </w:rPr>
            </w:pPr>
            <w:r w:rsidRPr="00202F42">
              <w:rPr>
                <w:b w:val="0"/>
              </w:rPr>
              <w:t>The research questions on clinical utility could not be answered, due to lack of evidence on the impact of AMH on change in clinical management in women undergoing gonadotoxic treatment.</w:t>
            </w:r>
          </w:p>
        </w:tc>
        <w:tc>
          <w:tcPr>
            <w:tcW w:w="1417" w:type="dxa"/>
          </w:tcPr>
          <w:p w14:paraId="7ABC8C67" w14:textId="3945E3AB" w:rsidR="003A06C2" w:rsidRPr="00DF2319" w:rsidRDefault="00283CAD" w:rsidP="00223E8F">
            <w:pPr>
              <w:pStyle w:val="TableHeading"/>
              <w:keepNext w:val="0"/>
              <w:ind w:left="4"/>
              <w:rPr>
                <w:b w:val="0"/>
              </w:rPr>
            </w:pPr>
            <w:r>
              <w:rPr>
                <w:b w:val="0"/>
              </w:rPr>
              <w:t>NA</w:t>
            </w:r>
          </w:p>
        </w:tc>
      </w:tr>
      <w:tr w:rsidR="003A06C2" w:rsidRPr="00DF2319" w14:paraId="74B6B322" w14:textId="77777777" w:rsidTr="00AC6E6F">
        <w:trPr>
          <w:trHeight w:val="804"/>
        </w:trPr>
        <w:tc>
          <w:tcPr>
            <w:tcW w:w="1843" w:type="dxa"/>
            <w:tcBorders>
              <w:top w:val="single" w:sz="4" w:space="0" w:color="auto"/>
              <w:left w:val="single" w:sz="4" w:space="0" w:color="auto"/>
              <w:bottom w:val="single" w:sz="4" w:space="0" w:color="auto"/>
              <w:right w:val="single" w:sz="4" w:space="0" w:color="auto"/>
            </w:tcBorders>
          </w:tcPr>
          <w:p w14:paraId="2A5A388A" w14:textId="76798972" w:rsidR="003A06C2" w:rsidRDefault="003A06C2" w:rsidP="00223E8F">
            <w:pPr>
              <w:pStyle w:val="TableHeading"/>
              <w:keepNext w:val="0"/>
              <w:ind w:left="4" w:right="-80"/>
              <w:rPr>
                <w:b w:val="0"/>
              </w:rPr>
            </w:pPr>
          </w:p>
        </w:tc>
        <w:tc>
          <w:tcPr>
            <w:tcW w:w="1843" w:type="dxa"/>
            <w:tcBorders>
              <w:left w:val="single" w:sz="4" w:space="0" w:color="auto"/>
            </w:tcBorders>
          </w:tcPr>
          <w:p w14:paraId="425D94B2" w14:textId="77777777" w:rsidR="003A06C2" w:rsidRDefault="003A06C2" w:rsidP="00223E8F">
            <w:pPr>
              <w:pStyle w:val="TableHeading"/>
              <w:keepNext w:val="0"/>
              <w:tabs>
                <w:tab w:val="left" w:pos="842"/>
              </w:tabs>
              <w:ind w:left="4"/>
              <w:rPr>
                <w:b w:val="0"/>
              </w:rPr>
            </w:pPr>
            <w:r>
              <w:rPr>
                <w:b w:val="0"/>
              </w:rPr>
              <w:t>Impact of change in management on health outcomes</w:t>
            </w:r>
          </w:p>
          <w:p w14:paraId="6237BEC7" w14:textId="1EEF4CAC" w:rsidR="00531E78" w:rsidRDefault="00531E78" w:rsidP="00223E8F">
            <w:pPr>
              <w:pStyle w:val="TableHeading"/>
              <w:keepNext w:val="0"/>
              <w:tabs>
                <w:tab w:val="left" w:pos="842"/>
              </w:tabs>
              <w:ind w:left="4"/>
              <w:rPr>
                <w:b w:val="0"/>
              </w:rPr>
            </w:pPr>
            <w:r>
              <w:rPr>
                <w:b w:val="0"/>
              </w:rPr>
              <w:t>(Therapeutic effectiveness)</w:t>
            </w:r>
          </w:p>
        </w:tc>
        <w:tc>
          <w:tcPr>
            <w:tcW w:w="1276" w:type="dxa"/>
          </w:tcPr>
          <w:p w14:paraId="5EC901CD" w14:textId="77777777" w:rsidR="003A06C2" w:rsidRDefault="003A06C2" w:rsidP="00223E8F">
            <w:pPr>
              <w:spacing w:after="40" w:line="240" w:lineRule="auto"/>
              <w:ind w:left="4"/>
              <w:rPr>
                <w:rFonts w:ascii="Arial Narrow" w:hAnsi="Arial Narrow" w:cs="Arial"/>
                <w:sz w:val="20"/>
                <w:szCs w:val="20"/>
              </w:rPr>
            </w:pPr>
            <w:r>
              <w:rPr>
                <w:rFonts w:ascii="Arial Narrow" w:hAnsi="Arial Narrow" w:cs="Arial"/>
                <w:sz w:val="20"/>
                <w:szCs w:val="20"/>
              </w:rPr>
              <w:t>K=0</w:t>
            </w:r>
          </w:p>
          <w:p w14:paraId="0F9EBE6C" w14:textId="6E9C5B18" w:rsidR="00426020" w:rsidRPr="00DF2319" w:rsidRDefault="00426020" w:rsidP="00223E8F">
            <w:pPr>
              <w:spacing w:after="40" w:line="240" w:lineRule="auto"/>
              <w:ind w:left="4"/>
              <w:rPr>
                <w:rFonts w:ascii="Arial Narrow" w:hAnsi="Arial Narrow" w:cs="Arial"/>
                <w:sz w:val="20"/>
                <w:szCs w:val="20"/>
              </w:rPr>
            </w:pPr>
            <w:r>
              <w:rPr>
                <w:rFonts w:ascii="Arial Narrow" w:hAnsi="Arial Narrow" w:cs="Arial"/>
                <w:sz w:val="20"/>
                <w:szCs w:val="20"/>
              </w:rPr>
              <w:t>N=0</w:t>
            </w:r>
          </w:p>
        </w:tc>
        <w:tc>
          <w:tcPr>
            <w:tcW w:w="1984" w:type="dxa"/>
          </w:tcPr>
          <w:p w14:paraId="57FBFED0" w14:textId="18C37FA2" w:rsidR="003A06C2" w:rsidRPr="00DF2319" w:rsidRDefault="00283CAD" w:rsidP="00223E8F">
            <w:pPr>
              <w:spacing w:after="40" w:line="240" w:lineRule="auto"/>
              <w:ind w:left="4"/>
              <w:rPr>
                <w:rFonts w:ascii="Arial Narrow" w:hAnsi="Arial Narrow" w:cs="Arial"/>
                <w:sz w:val="20"/>
                <w:szCs w:val="20"/>
              </w:rPr>
            </w:pPr>
            <w:r>
              <w:rPr>
                <w:rFonts w:ascii="Arial Narrow" w:hAnsi="Arial Narrow" w:cs="Arial"/>
                <w:sz w:val="20"/>
                <w:szCs w:val="20"/>
              </w:rPr>
              <w:t>NA</w:t>
            </w:r>
          </w:p>
        </w:tc>
        <w:tc>
          <w:tcPr>
            <w:tcW w:w="3260" w:type="dxa"/>
          </w:tcPr>
          <w:p w14:paraId="796B59A2" w14:textId="6691EC1F" w:rsidR="00C70F03" w:rsidRPr="00DF2319" w:rsidRDefault="00C70F03" w:rsidP="0004250B">
            <w:pPr>
              <w:pStyle w:val="TableHeading"/>
              <w:keepNext w:val="0"/>
              <w:ind w:left="6"/>
              <w:rPr>
                <w:b w:val="0"/>
              </w:rPr>
            </w:pPr>
            <w:r w:rsidRPr="00C70F03">
              <w:rPr>
                <w:b w:val="0"/>
              </w:rPr>
              <w:t>No evidenc</w:t>
            </w:r>
            <w:r>
              <w:rPr>
                <w:b w:val="0"/>
              </w:rPr>
              <w:t>e was found to determine how</w:t>
            </w:r>
            <w:r w:rsidRPr="00C70F03">
              <w:rPr>
                <w:b w:val="0"/>
              </w:rPr>
              <w:t xml:space="preserve"> change in management due to AM</w:t>
            </w:r>
            <w:r>
              <w:rPr>
                <w:b w:val="0"/>
              </w:rPr>
              <w:t>H testing impacts health</w:t>
            </w:r>
            <w:r w:rsidRPr="00C70F03">
              <w:rPr>
                <w:b w:val="0"/>
              </w:rPr>
              <w:t xml:space="preserve"> outcomes in women undergoing gonadotoxic treatment</w:t>
            </w:r>
            <w:r>
              <w:rPr>
                <w:b w:val="0"/>
              </w:rPr>
              <w:t xml:space="preserve">. </w:t>
            </w:r>
            <w:r w:rsidR="00B5167E">
              <w:rPr>
                <w:b w:val="0"/>
              </w:rPr>
              <w:t>The only evidence identified was conducted in women undergoing IVF</w:t>
            </w:r>
            <w:r w:rsidR="0070625C">
              <w:rPr>
                <w:b w:val="0"/>
              </w:rPr>
              <w:t>, and suggested that individualised dosage based on AMH level may lead to a decrease in OHSS in a broad population</w:t>
            </w:r>
            <w:r w:rsidR="00811281">
              <w:rPr>
                <w:b w:val="0"/>
              </w:rPr>
              <w:t>.</w:t>
            </w:r>
          </w:p>
        </w:tc>
        <w:tc>
          <w:tcPr>
            <w:tcW w:w="2835" w:type="dxa"/>
          </w:tcPr>
          <w:p w14:paraId="265AA785" w14:textId="4BC07949" w:rsidR="003A06C2" w:rsidRPr="00DF2319" w:rsidRDefault="0070625C" w:rsidP="00223E8F">
            <w:pPr>
              <w:pStyle w:val="TableHeading"/>
              <w:keepNext w:val="0"/>
              <w:ind w:left="4"/>
              <w:rPr>
                <w:b w:val="0"/>
              </w:rPr>
            </w:pPr>
            <w:r w:rsidRPr="00202F42">
              <w:rPr>
                <w:b w:val="0"/>
              </w:rPr>
              <w:t>The research questions on clinical utility could not be answered, due to lack of evidence</w:t>
            </w:r>
            <w:r>
              <w:rPr>
                <w:b w:val="0"/>
              </w:rPr>
              <w:t xml:space="preserve"> in the targeted patient population. The generalisablility of the available evidence in a broad population to the target population is unknown.</w:t>
            </w:r>
          </w:p>
        </w:tc>
        <w:tc>
          <w:tcPr>
            <w:tcW w:w="1417" w:type="dxa"/>
          </w:tcPr>
          <w:p w14:paraId="7ED962F8" w14:textId="7C3C2D4E" w:rsidR="003A06C2" w:rsidRPr="00DF2319" w:rsidRDefault="00283CAD" w:rsidP="00223E8F">
            <w:pPr>
              <w:pStyle w:val="TableHeading"/>
              <w:keepNext w:val="0"/>
              <w:ind w:left="4"/>
              <w:rPr>
                <w:b w:val="0"/>
              </w:rPr>
            </w:pPr>
            <w:r>
              <w:rPr>
                <w:b w:val="0"/>
              </w:rPr>
              <w:t>NA</w:t>
            </w:r>
          </w:p>
        </w:tc>
      </w:tr>
    </w:tbl>
    <w:p w14:paraId="6836E82D" w14:textId="68B38506" w:rsidR="00636606" w:rsidRDefault="00AC6E6F" w:rsidP="00AC6E6F">
      <w:pPr>
        <w:pStyle w:val="Tablenotes0"/>
        <w:spacing w:after="0"/>
        <w:sectPr w:rsidR="00636606" w:rsidSect="00604A86">
          <w:pgSz w:w="16838" w:h="11906" w:orient="landscape"/>
          <w:pgMar w:top="1440" w:right="1440" w:bottom="1440" w:left="1440" w:header="720" w:footer="720" w:gutter="0"/>
          <w:paperSrc w:first="7" w:other="7"/>
          <w:cols w:space="720"/>
          <w:docGrid w:linePitch="299"/>
        </w:sectPr>
      </w:pPr>
      <w:r>
        <w:t>AFC = antral follicle count; AMH = anti-Müllerian hormone; AUC = area under the curve; CRA = chemotherapy</w:t>
      </w:r>
      <w:r w:rsidR="00DF36E4">
        <w:t>-</w:t>
      </w:r>
      <w:r>
        <w:t>related amenorrhea; E2 = estradiol; FSH = follicle-stimulating hormone; IVF = in vitro fertilisation NA = not available</w:t>
      </w:r>
    </w:p>
    <w:p w14:paraId="0BFEEC17" w14:textId="05FB1818" w:rsidR="009C00C7" w:rsidRDefault="009C00C7" w:rsidP="009C00C7">
      <w:pPr>
        <w:pStyle w:val="Heading1"/>
        <w:jc w:val="both"/>
      </w:pPr>
      <w:bookmarkStart w:id="375" w:name="_Toc502832973"/>
      <w:bookmarkStart w:id="376" w:name="_Toc379118085"/>
      <w:bookmarkStart w:id="377" w:name="_Toc381796472"/>
      <w:bookmarkStart w:id="378" w:name="_Toc379118089"/>
      <w:bookmarkStart w:id="379" w:name="_Toc381796487"/>
      <w:r w:rsidRPr="00183E4D">
        <w:lastRenderedPageBreak/>
        <w:t>Section C</w:t>
      </w:r>
      <w:r w:rsidRPr="00183E4D">
        <w:tab/>
        <w:t xml:space="preserve">Translation </w:t>
      </w:r>
      <w:r w:rsidR="00DC5CE5">
        <w:t>i</w:t>
      </w:r>
      <w:r w:rsidRPr="00183E4D">
        <w:t>ssues</w:t>
      </w:r>
      <w:bookmarkEnd w:id="375"/>
    </w:p>
    <w:p w14:paraId="44C3832E" w14:textId="68CCCC83" w:rsidR="009118ED" w:rsidRPr="000D08BD" w:rsidRDefault="009118ED" w:rsidP="009118ED">
      <w:pPr>
        <w:jc w:val="both"/>
      </w:pPr>
      <w:bookmarkStart w:id="380" w:name="_Toc379118086"/>
      <w:bookmarkStart w:id="381" w:name="_Toc381796473"/>
      <w:r>
        <w:t xml:space="preserve">AMH is proposed as an additional test to the current ovarian reserve tests AFC, FSH and E2. No clinical evidence was found showing the incremental benefit of this additional test over the current practice. Therefore, only </w:t>
      </w:r>
      <w:r w:rsidR="00F044AA">
        <w:t xml:space="preserve">a </w:t>
      </w:r>
      <w:r>
        <w:t>cost-comparison is provided in Section D and t</w:t>
      </w:r>
      <w:r w:rsidRPr="00DF3B50">
        <w:t>here are no translation studies.</w:t>
      </w:r>
    </w:p>
    <w:p w14:paraId="0C32D44B" w14:textId="57A412A2" w:rsidR="009C00C7" w:rsidRPr="00183E4D" w:rsidRDefault="009C00C7" w:rsidP="009C00C7">
      <w:pPr>
        <w:pStyle w:val="Heading1"/>
        <w:jc w:val="both"/>
      </w:pPr>
      <w:bookmarkStart w:id="382" w:name="_Toc502832974"/>
      <w:r w:rsidRPr="00183E4D">
        <w:lastRenderedPageBreak/>
        <w:t>Section D</w:t>
      </w:r>
      <w:r w:rsidRPr="00183E4D">
        <w:tab/>
        <w:t xml:space="preserve">Economic </w:t>
      </w:r>
      <w:r w:rsidR="00DC5CE5">
        <w:t>e</w:t>
      </w:r>
      <w:r w:rsidRPr="00183E4D">
        <w:t>valuation</w:t>
      </w:r>
      <w:bookmarkEnd w:id="380"/>
      <w:bookmarkEnd w:id="381"/>
      <w:bookmarkEnd w:id="382"/>
    </w:p>
    <w:p w14:paraId="21F84486" w14:textId="77777777" w:rsidR="009118ED" w:rsidRPr="00183E4D" w:rsidRDefault="009118ED" w:rsidP="009118ED">
      <w:pPr>
        <w:pStyle w:val="Heading2"/>
        <w:numPr>
          <w:ilvl w:val="3"/>
          <w:numId w:val="9"/>
        </w:numPr>
      </w:pPr>
      <w:bookmarkStart w:id="383" w:name="_Toc381796475"/>
      <w:bookmarkStart w:id="384" w:name="_Toc502832975"/>
      <w:bookmarkStart w:id="385" w:name="_Ref378945269"/>
      <w:r w:rsidRPr="00183E4D">
        <w:t>Overview</w:t>
      </w:r>
      <w:bookmarkEnd w:id="383"/>
      <w:bookmarkEnd w:id="384"/>
    </w:p>
    <w:p w14:paraId="4C698692" w14:textId="44EF32B1" w:rsidR="009118ED" w:rsidRPr="009929BE" w:rsidRDefault="009118ED" w:rsidP="009118ED">
      <w:pPr>
        <w:jc w:val="both"/>
      </w:pPr>
      <w:r w:rsidRPr="009929BE">
        <w:t xml:space="preserve">The clinical evaluation suggested that, relative to </w:t>
      </w:r>
      <w:r w:rsidRPr="00EE5754">
        <w:t>other ovarian reserve tests alone, the AMH test and associated interventions ha</w:t>
      </w:r>
      <w:r>
        <w:t>ve</w:t>
      </w:r>
      <w:r w:rsidRPr="008B6EBE">
        <w:rPr>
          <w:b/>
        </w:rPr>
        <w:t xml:space="preserve"> </w:t>
      </w:r>
      <w:r w:rsidRPr="00EE5754">
        <w:rPr>
          <w:b/>
        </w:rPr>
        <w:t>non-inferior</w:t>
      </w:r>
      <w:r>
        <w:rPr>
          <w:b/>
        </w:rPr>
        <w:t xml:space="preserve"> </w:t>
      </w:r>
      <w:r w:rsidRPr="008B6EBE">
        <w:rPr>
          <w:b/>
        </w:rPr>
        <w:t xml:space="preserve">safety and </w:t>
      </w:r>
      <w:r w:rsidRPr="00EE5754">
        <w:rPr>
          <w:b/>
        </w:rPr>
        <w:t xml:space="preserve">uncertain incremental </w:t>
      </w:r>
      <w:r w:rsidRPr="0026261C">
        <w:rPr>
          <w:b/>
        </w:rPr>
        <w:t>effectiveness.</w:t>
      </w:r>
      <w:r w:rsidRPr="009929BE">
        <w:t xml:space="preserve"> </w:t>
      </w:r>
      <w:r w:rsidRPr="00EE5754">
        <w:fldChar w:fldCharType="begin"/>
      </w:r>
      <w:r w:rsidRPr="00EE5754">
        <w:instrText xml:space="preserve"> REF _Ref395195344 \h  \* MERGEFORMAT </w:instrText>
      </w:r>
      <w:r w:rsidRPr="00EE5754">
        <w:fldChar w:fldCharType="separate"/>
      </w:r>
      <w:r w:rsidR="00AC4BE5" w:rsidRPr="006D0FF6">
        <w:t xml:space="preserve">Table </w:t>
      </w:r>
      <w:r w:rsidR="00AC4BE5">
        <w:rPr>
          <w:noProof/>
        </w:rPr>
        <w:t>61</w:t>
      </w:r>
      <w:r w:rsidRPr="00EE5754">
        <w:fldChar w:fldCharType="end"/>
      </w:r>
      <w:r>
        <w:t xml:space="preserve"> sets out the framework that was used to classify the clinical evidence in Section B</w:t>
      </w:r>
      <w:r w:rsidR="004422C8">
        <w:t>,</w:t>
      </w:r>
      <w:r>
        <w:t xml:space="preserve"> so that a decision could be made about the type of economic analysis to undertake in this </w:t>
      </w:r>
      <w:r w:rsidR="004422C8">
        <w:t>s</w:t>
      </w:r>
      <w:r>
        <w:t>ection.</w:t>
      </w:r>
    </w:p>
    <w:p w14:paraId="075C6A3B" w14:textId="77777777" w:rsidR="009118ED" w:rsidRDefault="009118ED" w:rsidP="009118ED">
      <w:pPr>
        <w:pStyle w:val="Caption"/>
        <w:keepNext/>
        <w:ind w:left="1134" w:hanging="1134"/>
      </w:pPr>
      <w:bookmarkStart w:id="386" w:name="_Ref395195344"/>
      <w:bookmarkStart w:id="387" w:name="_Toc502833079"/>
      <w:r w:rsidRPr="006D0FF6">
        <w:t xml:space="preserve">Table </w:t>
      </w:r>
      <w:r w:rsidR="00AC4BE5">
        <w:fldChar w:fldCharType="begin"/>
      </w:r>
      <w:r w:rsidR="00AC4BE5">
        <w:instrText xml:space="preserve"> SEQ Table \* ARABIC </w:instrText>
      </w:r>
      <w:r w:rsidR="00AC4BE5">
        <w:fldChar w:fldCharType="separate"/>
      </w:r>
      <w:r w:rsidR="00AC4BE5">
        <w:rPr>
          <w:noProof/>
        </w:rPr>
        <w:t>61</w:t>
      </w:r>
      <w:r w:rsidR="00AC4BE5">
        <w:rPr>
          <w:noProof/>
        </w:rPr>
        <w:fldChar w:fldCharType="end"/>
      </w:r>
      <w:bookmarkEnd w:id="386"/>
      <w:r>
        <w:tab/>
        <w:t xml:space="preserve">Classification of the </w:t>
      </w:r>
      <w:r w:rsidRPr="002E2A40">
        <w:t>comparative effectiveness and safety</w:t>
      </w:r>
      <w:r w:rsidRPr="00982928">
        <w:t xml:space="preserve"> </w:t>
      </w:r>
      <w:r>
        <w:t>of the proposed therapeutic medical service compared with its main comparator and guide to the suitable type of economic evaluation</w:t>
      </w:r>
      <w:bookmarkEnd w:id="387"/>
    </w:p>
    <w:tbl>
      <w:tblPr>
        <w:tblStyle w:val="TableGrid1"/>
        <w:tblW w:w="4872" w:type="pct"/>
        <w:tblLayout w:type="fixed"/>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1331"/>
        <w:gridCol w:w="2452"/>
        <w:gridCol w:w="2148"/>
        <w:gridCol w:w="1688"/>
        <w:gridCol w:w="1386"/>
      </w:tblGrid>
      <w:tr w:rsidR="009118ED" w14:paraId="6CB6E946" w14:textId="77777777" w:rsidTr="006815D3">
        <w:trPr>
          <w:cnfStyle w:val="100000000000" w:firstRow="1" w:lastRow="0" w:firstColumn="0" w:lastColumn="0" w:oddVBand="0" w:evenVBand="0" w:oddHBand="0" w:evenHBand="0" w:firstRowFirstColumn="0" w:firstRowLastColumn="0" w:lastRowFirstColumn="0" w:lastRowLastColumn="0"/>
          <w:tblHeader/>
        </w:trPr>
        <w:tc>
          <w:tcPr>
            <w:tcW w:w="1298" w:type="dxa"/>
          </w:tcPr>
          <w:p w14:paraId="7F640F14" w14:textId="77777777" w:rsidR="009118ED" w:rsidRPr="00260996" w:rsidRDefault="009118ED" w:rsidP="00260996">
            <w:pPr>
              <w:pStyle w:val="Tabletext1"/>
              <w:rPr>
                <w:b/>
              </w:rPr>
            </w:pPr>
            <w:r w:rsidRPr="00260996">
              <w:rPr>
                <w:b/>
              </w:rPr>
              <w:t>Comparative safety</w:t>
            </w:r>
          </w:p>
        </w:tc>
        <w:tc>
          <w:tcPr>
            <w:tcW w:w="2392" w:type="dxa"/>
          </w:tcPr>
          <w:p w14:paraId="3CA37491" w14:textId="77777777" w:rsidR="009118ED" w:rsidRPr="00260996" w:rsidRDefault="009118ED" w:rsidP="00260996">
            <w:pPr>
              <w:pStyle w:val="Tabletext1"/>
              <w:rPr>
                <w:b/>
              </w:rPr>
            </w:pPr>
          </w:p>
        </w:tc>
        <w:tc>
          <w:tcPr>
            <w:tcW w:w="2096" w:type="dxa"/>
          </w:tcPr>
          <w:p w14:paraId="65BBB3B8" w14:textId="77777777" w:rsidR="009118ED" w:rsidRPr="00260996" w:rsidRDefault="009118ED" w:rsidP="00260996">
            <w:pPr>
              <w:pStyle w:val="Tabletext1"/>
              <w:rPr>
                <w:b/>
              </w:rPr>
            </w:pPr>
            <w:r w:rsidRPr="00260996">
              <w:rPr>
                <w:b/>
              </w:rPr>
              <w:t>Comparative effectiveness</w:t>
            </w:r>
          </w:p>
        </w:tc>
        <w:tc>
          <w:tcPr>
            <w:tcW w:w="1647" w:type="dxa"/>
          </w:tcPr>
          <w:p w14:paraId="6CEA79E6" w14:textId="77777777" w:rsidR="009118ED" w:rsidRPr="00260996" w:rsidRDefault="009118ED" w:rsidP="00260996">
            <w:pPr>
              <w:pStyle w:val="Tabletext1"/>
              <w:rPr>
                <w:b/>
              </w:rPr>
            </w:pPr>
          </w:p>
        </w:tc>
        <w:tc>
          <w:tcPr>
            <w:tcW w:w="1352" w:type="dxa"/>
          </w:tcPr>
          <w:p w14:paraId="7A536782" w14:textId="77777777" w:rsidR="009118ED" w:rsidRPr="00260996" w:rsidRDefault="009118ED" w:rsidP="00260996">
            <w:pPr>
              <w:pStyle w:val="Tabletext1"/>
              <w:rPr>
                <w:b/>
              </w:rPr>
            </w:pPr>
          </w:p>
        </w:tc>
      </w:tr>
      <w:tr w:rsidR="009118ED" w14:paraId="582A8922" w14:textId="77777777" w:rsidTr="006815D3">
        <w:tc>
          <w:tcPr>
            <w:tcW w:w="1298" w:type="dxa"/>
          </w:tcPr>
          <w:p w14:paraId="402016CB" w14:textId="77777777" w:rsidR="009118ED" w:rsidRPr="00260996" w:rsidRDefault="009118ED" w:rsidP="00260996">
            <w:pPr>
              <w:pStyle w:val="Tabletext1"/>
              <w:rPr>
                <w:b/>
              </w:rPr>
            </w:pPr>
            <w:r w:rsidRPr="00260996">
              <w:rPr>
                <w:b/>
                <w:color w:val="FFFFFF" w:themeColor="background1"/>
              </w:rPr>
              <w:t>-</w:t>
            </w:r>
          </w:p>
        </w:tc>
        <w:tc>
          <w:tcPr>
            <w:tcW w:w="2392" w:type="dxa"/>
          </w:tcPr>
          <w:p w14:paraId="2A174709" w14:textId="77777777" w:rsidR="009118ED" w:rsidRPr="00260996" w:rsidRDefault="009118ED" w:rsidP="00260996">
            <w:pPr>
              <w:pStyle w:val="Tabletext1"/>
              <w:rPr>
                <w:b/>
              </w:rPr>
            </w:pPr>
            <w:r w:rsidRPr="00260996">
              <w:rPr>
                <w:b/>
              </w:rPr>
              <w:t>Inferior</w:t>
            </w:r>
          </w:p>
        </w:tc>
        <w:tc>
          <w:tcPr>
            <w:tcW w:w="2096" w:type="dxa"/>
          </w:tcPr>
          <w:p w14:paraId="5A0CDD37" w14:textId="77777777" w:rsidR="009118ED" w:rsidRPr="00260996" w:rsidRDefault="009118ED" w:rsidP="00260996">
            <w:pPr>
              <w:pStyle w:val="Tabletext1"/>
              <w:rPr>
                <w:b/>
              </w:rPr>
            </w:pPr>
            <w:r w:rsidRPr="00260996">
              <w:rPr>
                <w:b/>
              </w:rPr>
              <w:t>Uncertain</w:t>
            </w:r>
            <w:r w:rsidRPr="00260996">
              <w:rPr>
                <w:b/>
                <w:vertAlign w:val="superscript"/>
              </w:rPr>
              <w:t>a</w:t>
            </w:r>
          </w:p>
        </w:tc>
        <w:tc>
          <w:tcPr>
            <w:tcW w:w="1647" w:type="dxa"/>
          </w:tcPr>
          <w:p w14:paraId="3A8F629E" w14:textId="77777777" w:rsidR="009118ED" w:rsidRPr="00260996" w:rsidRDefault="009118ED" w:rsidP="00260996">
            <w:pPr>
              <w:pStyle w:val="Tabletext1"/>
              <w:rPr>
                <w:b/>
              </w:rPr>
            </w:pPr>
            <w:r w:rsidRPr="00260996">
              <w:rPr>
                <w:b/>
              </w:rPr>
              <w:t>Non-inferior</w:t>
            </w:r>
            <w:r w:rsidRPr="00260996">
              <w:rPr>
                <w:b/>
                <w:vertAlign w:val="superscript"/>
              </w:rPr>
              <w:t>b</w:t>
            </w:r>
          </w:p>
        </w:tc>
        <w:tc>
          <w:tcPr>
            <w:tcW w:w="1352" w:type="dxa"/>
          </w:tcPr>
          <w:p w14:paraId="29C726DC" w14:textId="77777777" w:rsidR="009118ED" w:rsidRPr="00260996" w:rsidRDefault="009118ED" w:rsidP="00260996">
            <w:pPr>
              <w:pStyle w:val="Tabletext1"/>
              <w:rPr>
                <w:b/>
              </w:rPr>
            </w:pPr>
            <w:r w:rsidRPr="00260996">
              <w:rPr>
                <w:b/>
              </w:rPr>
              <w:t>Superior</w:t>
            </w:r>
          </w:p>
        </w:tc>
      </w:tr>
      <w:tr w:rsidR="009118ED" w14:paraId="0D321DBD" w14:textId="77777777" w:rsidTr="006815D3">
        <w:tc>
          <w:tcPr>
            <w:tcW w:w="1298" w:type="dxa"/>
          </w:tcPr>
          <w:p w14:paraId="72DBB491" w14:textId="77777777" w:rsidR="009118ED" w:rsidRDefault="009118ED" w:rsidP="00811281">
            <w:pPr>
              <w:pStyle w:val="Tabletext1"/>
            </w:pPr>
            <w:r>
              <w:t>Inferior</w:t>
            </w:r>
          </w:p>
        </w:tc>
        <w:tc>
          <w:tcPr>
            <w:tcW w:w="2392" w:type="dxa"/>
          </w:tcPr>
          <w:p w14:paraId="71AB08FF" w14:textId="77777777" w:rsidR="009118ED" w:rsidRDefault="009118ED" w:rsidP="00811281">
            <w:pPr>
              <w:pStyle w:val="Tabletext1"/>
            </w:pPr>
            <w:r>
              <w:t>Health forgone: need other supportive factors</w:t>
            </w:r>
          </w:p>
        </w:tc>
        <w:tc>
          <w:tcPr>
            <w:tcW w:w="2096" w:type="dxa"/>
          </w:tcPr>
          <w:p w14:paraId="4985153F" w14:textId="77777777" w:rsidR="009118ED" w:rsidRDefault="009118ED" w:rsidP="00811281">
            <w:pPr>
              <w:pStyle w:val="Tabletext1"/>
            </w:pPr>
            <w:r>
              <w:t>Health forgone possible: need other supportive factors</w:t>
            </w:r>
          </w:p>
        </w:tc>
        <w:tc>
          <w:tcPr>
            <w:tcW w:w="1647" w:type="dxa"/>
          </w:tcPr>
          <w:p w14:paraId="118D0069" w14:textId="77777777" w:rsidR="009118ED" w:rsidRDefault="009118ED" w:rsidP="00811281">
            <w:pPr>
              <w:pStyle w:val="Tabletext1"/>
            </w:pPr>
            <w:r>
              <w:t>Health forgone: need other supportive factors</w:t>
            </w:r>
          </w:p>
        </w:tc>
        <w:tc>
          <w:tcPr>
            <w:tcW w:w="1352" w:type="dxa"/>
          </w:tcPr>
          <w:p w14:paraId="69556C8C" w14:textId="77777777" w:rsidR="009118ED" w:rsidRDefault="009118ED" w:rsidP="00811281">
            <w:pPr>
              <w:pStyle w:val="Tabletext1"/>
            </w:pPr>
            <w:r>
              <w:t>? Likely CUA</w:t>
            </w:r>
          </w:p>
        </w:tc>
      </w:tr>
      <w:tr w:rsidR="009118ED" w14:paraId="1C61B49B" w14:textId="77777777" w:rsidTr="006815D3">
        <w:tc>
          <w:tcPr>
            <w:tcW w:w="1298" w:type="dxa"/>
          </w:tcPr>
          <w:p w14:paraId="56AB9E32" w14:textId="77777777" w:rsidR="009118ED" w:rsidRDefault="009118ED" w:rsidP="00811281">
            <w:pPr>
              <w:pStyle w:val="Tabletext1"/>
            </w:pPr>
            <w:r>
              <w:t>Uncertain</w:t>
            </w:r>
            <w:r>
              <w:rPr>
                <w:vertAlign w:val="superscript"/>
              </w:rPr>
              <w:t>a</w:t>
            </w:r>
          </w:p>
        </w:tc>
        <w:tc>
          <w:tcPr>
            <w:tcW w:w="2392" w:type="dxa"/>
          </w:tcPr>
          <w:p w14:paraId="10E0C965" w14:textId="77777777" w:rsidR="009118ED" w:rsidRDefault="009118ED" w:rsidP="00811281">
            <w:pPr>
              <w:pStyle w:val="Tabletext1"/>
            </w:pPr>
            <w:r>
              <w:t>Health forgone possible: need other supportive factors</w:t>
            </w:r>
          </w:p>
        </w:tc>
        <w:tc>
          <w:tcPr>
            <w:tcW w:w="2096" w:type="dxa"/>
          </w:tcPr>
          <w:p w14:paraId="1A9AEA61" w14:textId="77777777" w:rsidR="009118ED" w:rsidRDefault="009118ED" w:rsidP="00811281">
            <w:pPr>
              <w:pStyle w:val="Tabletext1"/>
            </w:pPr>
            <w:r>
              <w:t>?</w:t>
            </w:r>
          </w:p>
        </w:tc>
        <w:tc>
          <w:tcPr>
            <w:tcW w:w="1647" w:type="dxa"/>
          </w:tcPr>
          <w:p w14:paraId="441E580A" w14:textId="77777777" w:rsidR="009118ED" w:rsidRDefault="009118ED" w:rsidP="00811281">
            <w:pPr>
              <w:pStyle w:val="Tabletext1"/>
            </w:pPr>
            <w:r>
              <w:t>?</w:t>
            </w:r>
          </w:p>
        </w:tc>
        <w:tc>
          <w:tcPr>
            <w:tcW w:w="1352" w:type="dxa"/>
          </w:tcPr>
          <w:p w14:paraId="5B245870" w14:textId="77777777" w:rsidR="009118ED" w:rsidRDefault="009118ED" w:rsidP="00811281">
            <w:pPr>
              <w:pStyle w:val="Tabletext1"/>
            </w:pPr>
            <w:r>
              <w:t>? Likely CEA/CUA</w:t>
            </w:r>
          </w:p>
        </w:tc>
      </w:tr>
      <w:tr w:rsidR="009118ED" w14:paraId="71FFCDAD" w14:textId="77777777" w:rsidTr="006815D3">
        <w:tc>
          <w:tcPr>
            <w:tcW w:w="1298" w:type="dxa"/>
          </w:tcPr>
          <w:p w14:paraId="6B5A51B5" w14:textId="77777777" w:rsidR="009118ED" w:rsidRDefault="009118ED" w:rsidP="00811281">
            <w:pPr>
              <w:pStyle w:val="Tabletext1"/>
            </w:pPr>
            <w:r>
              <w:t>Non-inferior</w:t>
            </w:r>
            <w:r>
              <w:rPr>
                <w:vertAlign w:val="superscript"/>
              </w:rPr>
              <w:t>b</w:t>
            </w:r>
          </w:p>
        </w:tc>
        <w:tc>
          <w:tcPr>
            <w:tcW w:w="2392" w:type="dxa"/>
          </w:tcPr>
          <w:p w14:paraId="02FD7DD3" w14:textId="77777777" w:rsidR="009118ED" w:rsidRDefault="009118ED" w:rsidP="00811281">
            <w:pPr>
              <w:pStyle w:val="Tabletext1"/>
            </w:pPr>
            <w:r>
              <w:t>Health forgone: need other supportive factors</w:t>
            </w:r>
          </w:p>
        </w:tc>
        <w:tc>
          <w:tcPr>
            <w:tcW w:w="2096" w:type="dxa"/>
          </w:tcPr>
          <w:p w14:paraId="51D0BEE0" w14:textId="77777777" w:rsidR="009118ED" w:rsidRDefault="009118ED" w:rsidP="00811281">
            <w:pPr>
              <w:pStyle w:val="Tabletext1"/>
            </w:pPr>
            <w:r>
              <w:t>?</w:t>
            </w:r>
          </w:p>
        </w:tc>
        <w:tc>
          <w:tcPr>
            <w:tcW w:w="1647" w:type="dxa"/>
          </w:tcPr>
          <w:p w14:paraId="50376C32" w14:textId="77777777" w:rsidR="009118ED" w:rsidRDefault="009118ED" w:rsidP="00811281">
            <w:pPr>
              <w:pStyle w:val="Tabletext1"/>
            </w:pPr>
            <w:r>
              <w:t>CMA</w:t>
            </w:r>
          </w:p>
        </w:tc>
        <w:tc>
          <w:tcPr>
            <w:tcW w:w="1352" w:type="dxa"/>
          </w:tcPr>
          <w:p w14:paraId="793E9C51" w14:textId="77777777" w:rsidR="009118ED" w:rsidRDefault="009118ED" w:rsidP="00811281">
            <w:pPr>
              <w:pStyle w:val="Tabletext1"/>
            </w:pPr>
            <w:r>
              <w:t>CEA/CUA</w:t>
            </w:r>
          </w:p>
        </w:tc>
      </w:tr>
      <w:tr w:rsidR="009118ED" w14:paraId="235E056F" w14:textId="77777777" w:rsidTr="006815D3">
        <w:tc>
          <w:tcPr>
            <w:tcW w:w="1298" w:type="dxa"/>
          </w:tcPr>
          <w:p w14:paraId="7D826898" w14:textId="77777777" w:rsidR="009118ED" w:rsidRDefault="009118ED" w:rsidP="00811281">
            <w:pPr>
              <w:pStyle w:val="Tabletext1"/>
            </w:pPr>
            <w:r>
              <w:t>Superior</w:t>
            </w:r>
          </w:p>
        </w:tc>
        <w:tc>
          <w:tcPr>
            <w:tcW w:w="2392" w:type="dxa"/>
          </w:tcPr>
          <w:p w14:paraId="0EF38E13" w14:textId="77777777" w:rsidR="009118ED" w:rsidRDefault="009118ED" w:rsidP="00811281">
            <w:pPr>
              <w:pStyle w:val="Tabletext1"/>
            </w:pPr>
            <w:r>
              <w:t>? Likely CUA</w:t>
            </w:r>
          </w:p>
        </w:tc>
        <w:tc>
          <w:tcPr>
            <w:tcW w:w="2096" w:type="dxa"/>
          </w:tcPr>
          <w:p w14:paraId="309E364F" w14:textId="77777777" w:rsidR="009118ED" w:rsidRDefault="009118ED" w:rsidP="00811281">
            <w:pPr>
              <w:pStyle w:val="Tabletext1"/>
            </w:pPr>
            <w:r>
              <w:t>? Likely CEA/CUA</w:t>
            </w:r>
          </w:p>
        </w:tc>
        <w:tc>
          <w:tcPr>
            <w:tcW w:w="1647" w:type="dxa"/>
          </w:tcPr>
          <w:p w14:paraId="40965282" w14:textId="77777777" w:rsidR="009118ED" w:rsidRDefault="009118ED" w:rsidP="00811281">
            <w:pPr>
              <w:pStyle w:val="Tabletext1"/>
            </w:pPr>
            <w:r>
              <w:t>CEA/CUA</w:t>
            </w:r>
          </w:p>
        </w:tc>
        <w:tc>
          <w:tcPr>
            <w:tcW w:w="1352" w:type="dxa"/>
          </w:tcPr>
          <w:p w14:paraId="61E82EF3" w14:textId="77777777" w:rsidR="009118ED" w:rsidRDefault="009118ED" w:rsidP="00811281">
            <w:pPr>
              <w:pStyle w:val="Tabletext1"/>
            </w:pPr>
            <w:r>
              <w:t>CEA/CUA</w:t>
            </w:r>
          </w:p>
        </w:tc>
      </w:tr>
    </w:tbl>
    <w:p w14:paraId="69032F0A" w14:textId="77777777" w:rsidR="009118ED" w:rsidRPr="009929BE" w:rsidRDefault="009118ED" w:rsidP="00951C12">
      <w:pPr>
        <w:pStyle w:val="Tablenotes0"/>
        <w:spacing w:after="0"/>
        <w:rPr>
          <w:szCs w:val="18"/>
        </w:rPr>
      </w:pPr>
      <w:r w:rsidRPr="009929BE">
        <w:rPr>
          <w:szCs w:val="18"/>
        </w:rPr>
        <w:t>CEA=cost-effectiveness analysis; CMA=cost-minimisation analysis; CUA=cost-utility analysis</w:t>
      </w:r>
    </w:p>
    <w:p w14:paraId="3A3089EB" w14:textId="73143C7D" w:rsidR="009118ED" w:rsidRPr="009929BE" w:rsidRDefault="009118ED" w:rsidP="004422C8">
      <w:pPr>
        <w:pStyle w:val="Tablenotes0"/>
        <w:spacing w:after="0"/>
        <w:rPr>
          <w:b/>
          <w:szCs w:val="18"/>
        </w:rPr>
      </w:pPr>
      <w:r w:rsidRPr="009929BE">
        <w:rPr>
          <w:szCs w:val="18"/>
        </w:rPr>
        <w:t xml:space="preserve">? = reflect uncertainties and any identified health trade-offs in the economic evaluation, as a minimum </w:t>
      </w:r>
      <w:r w:rsidR="004422C8">
        <w:rPr>
          <w:szCs w:val="18"/>
        </w:rPr>
        <w:t>in a cost-consequences analysis.</w:t>
      </w:r>
    </w:p>
    <w:p w14:paraId="7327DCCD" w14:textId="3DFD288E" w:rsidR="009118ED" w:rsidRPr="009929BE" w:rsidRDefault="009118ED" w:rsidP="004422C8">
      <w:pPr>
        <w:pStyle w:val="Tablenotes0"/>
        <w:spacing w:after="0"/>
        <w:rPr>
          <w:b/>
          <w:szCs w:val="18"/>
        </w:rPr>
      </w:pPr>
      <w:r w:rsidRPr="009929BE">
        <w:rPr>
          <w:szCs w:val="18"/>
          <w:vertAlign w:val="superscript"/>
        </w:rPr>
        <w:t>a</w:t>
      </w:r>
      <w:r w:rsidRPr="009929BE">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r w:rsidR="004422C8">
        <w:rPr>
          <w:szCs w:val="18"/>
        </w:rPr>
        <w:t>.</w:t>
      </w:r>
    </w:p>
    <w:p w14:paraId="5B4E9BE8" w14:textId="77777777" w:rsidR="009118ED" w:rsidRPr="009929BE" w:rsidRDefault="009118ED" w:rsidP="004422C8">
      <w:pPr>
        <w:pStyle w:val="Tablenotes0"/>
        <w:spacing w:after="240"/>
        <w:rPr>
          <w:szCs w:val="18"/>
        </w:rPr>
      </w:pPr>
      <w:r w:rsidRPr="009929BE">
        <w:rPr>
          <w:szCs w:val="18"/>
          <w:vertAlign w:val="superscript"/>
        </w:rPr>
        <w:t>b</w:t>
      </w:r>
      <w:r w:rsidRPr="009929BE">
        <w:rPr>
          <w:szCs w:val="18"/>
        </w:rPr>
        <w:t> An adequate assessment of ‘non-inferiority’ is the preferred basis for demonstrating equivalence</w:t>
      </w:r>
    </w:p>
    <w:p w14:paraId="71C001CC" w14:textId="77777777" w:rsidR="009118ED" w:rsidRPr="00214F43" w:rsidRDefault="009118ED" w:rsidP="009118ED">
      <w:pPr>
        <w:jc w:val="both"/>
      </w:pPr>
      <w:r>
        <w:t>Given the lack of any incremental outcome data, only a cost-analysis could be undertaken for the economic evaluation.</w:t>
      </w:r>
    </w:p>
    <w:p w14:paraId="6E11EC3D" w14:textId="77777777" w:rsidR="009118ED" w:rsidRDefault="009118ED" w:rsidP="009118ED">
      <w:pPr>
        <w:pStyle w:val="Heading2"/>
        <w:numPr>
          <w:ilvl w:val="3"/>
          <w:numId w:val="9"/>
        </w:numPr>
      </w:pPr>
      <w:bookmarkStart w:id="388" w:name="_Toc381796477"/>
      <w:bookmarkStart w:id="389" w:name="_Toc502832976"/>
      <w:r w:rsidRPr="00183E4D">
        <w:t>Populations and settings</w:t>
      </w:r>
      <w:bookmarkEnd w:id="388"/>
      <w:bookmarkEnd w:id="389"/>
    </w:p>
    <w:p w14:paraId="40A0C730" w14:textId="3CA595AC" w:rsidR="009118ED" w:rsidRDefault="009118ED" w:rsidP="009118ED">
      <w:pPr>
        <w:jc w:val="both"/>
      </w:pPr>
      <w:r>
        <w:t>The proposed pop</w:t>
      </w:r>
      <w:r w:rsidR="004422C8">
        <w:t xml:space="preserve">ulation is female patients aged 0 to </w:t>
      </w:r>
      <w:r>
        <w:t>44 years who will be having, or have had, gonadotoxic treatment. This includes treatment for malignancy, as well as for precancerous or benign conditions.</w:t>
      </w:r>
    </w:p>
    <w:p w14:paraId="73064CFC" w14:textId="0A6ACB74" w:rsidR="009118ED" w:rsidRPr="0042549D" w:rsidRDefault="009118ED" w:rsidP="009118ED">
      <w:pPr>
        <w:jc w:val="both"/>
      </w:pPr>
      <w:r>
        <w:t>AMH testing would be done in addition</w:t>
      </w:r>
      <w:r w:rsidR="004422C8">
        <w:t xml:space="preserve"> to the current standard tests, predominantly AFC and FSH combined with E2</w:t>
      </w:r>
      <w:r w:rsidR="00997683">
        <w:t xml:space="preserve"> (FSH+E2)</w:t>
      </w:r>
      <w:r w:rsidR="004422C8">
        <w:t>,</w:t>
      </w:r>
      <w:r>
        <w:t xml:space="preserve"> to measure ovarian reserve. AMH is a </w:t>
      </w:r>
      <w:r w:rsidR="004422C8">
        <w:t>pathology</w:t>
      </w:r>
      <w:r>
        <w:t xml:space="preserve"> service and is expected </w:t>
      </w:r>
      <w:r w:rsidR="004422C8">
        <w:t xml:space="preserve">that most claims for this test will be </w:t>
      </w:r>
      <w:r>
        <w:t>as an out</w:t>
      </w:r>
      <w:r w:rsidR="00415491">
        <w:t>patient</w:t>
      </w:r>
      <w:r>
        <w:t xml:space="preserve"> service.</w:t>
      </w:r>
    </w:p>
    <w:p w14:paraId="53C44380" w14:textId="77777777" w:rsidR="009118ED" w:rsidRDefault="009118ED" w:rsidP="009118ED">
      <w:pPr>
        <w:pStyle w:val="Heading2"/>
        <w:numPr>
          <w:ilvl w:val="3"/>
          <w:numId w:val="9"/>
        </w:numPr>
      </w:pPr>
      <w:bookmarkStart w:id="390" w:name="_Toc381796478"/>
      <w:bookmarkStart w:id="391" w:name="_Toc502832977"/>
      <w:r w:rsidRPr="00183E4D">
        <w:lastRenderedPageBreak/>
        <w:t>Structure and rationale of the economic evaluation</w:t>
      </w:r>
      <w:bookmarkEnd w:id="390"/>
      <w:bookmarkEnd w:id="391"/>
    </w:p>
    <w:p w14:paraId="2B5E6B54" w14:textId="3F6129BE" w:rsidR="009118ED" w:rsidRDefault="009118ED" w:rsidP="009118ED">
      <w:pPr>
        <w:jc w:val="both"/>
      </w:pPr>
      <w:r w:rsidRPr="00966B95">
        <w:t xml:space="preserve">The </w:t>
      </w:r>
      <w:r>
        <w:t>clinical assessment</w:t>
      </w:r>
      <w:r w:rsidRPr="00966B95">
        <w:t xml:space="preserve"> do</w:t>
      </w:r>
      <w:r>
        <w:t>es</w:t>
      </w:r>
      <w:r w:rsidRPr="00966B95">
        <w:t xml:space="preserve"> not provide adequate </w:t>
      </w:r>
      <w:r w:rsidR="00997683">
        <w:t xml:space="preserve">evidence to identify nor </w:t>
      </w:r>
      <w:r w:rsidRPr="00966B95">
        <w:t>quantify</w:t>
      </w:r>
      <w:r>
        <w:t xml:space="preserve"> </w:t>
      </w:r>
      <w:r w:rsidRPr="00966B95">
        <w:t>the</w:t>
      </w:r>
      <w:r>
        <w:t xml:space="preserve"> incremental effectiveness of AMH test as an addition</w:t>
      </w:r>
      <w:r w:rsidR="00997683">
        <w:t>al test to the current practice. T</w:t>
      </w:r>
      <w:r>
        <w:t>herefore no outcomes are analysed in this economic evaluation</w:t>
      </w:r>
      <w:r w:rsidRPr="00966B95">
        <w:t>. A cost</w:t>
      </w:r>
      <w:r w:rsidR="00DF36E4">
        <w:t>-</w:t>
      </w:r>
      <w:r w:rsidRPr="00966B95">
        <w:t xml:space="preserve">analysis </w:t>
      </w:r>
      <w:r w:rsidR="00997683">
        <w:t xml:space="preserve">of </w:t>
      </w:r>
      <w:r>
        <w:t>AMH test</w:t>
      </w:r>
      <w:r w:rsidR="00997683">
        <w:t>ing</w:t>
      </w:r>
      <w:r>
        <w:t xml:space="preserve"> as an addition to current practice</w:t>
      </w:r>
      <w:r w:rsidRPr="00966B95">
        <w:t xml:space="preserve"> </w:t>
      </w:r>
      <w:r w:rsidR="00997683">
        <w:t xml:space="preserve">compared to </w:t>
      </w:r>
      <w:r>
        <w:t>current practice is presented</w:t>
      </w:r>
      <w:r w:rsidRPr="00966B95">
        <w:t>. The costs i</w:t>
      </w:r>
      <w:r w:rsidR="00997683">
        <w:t>nclude those related to testing, including patient co-payments,</w:t>
      </w:r>
      <w:r>
        <w:t xml:space="preserve"> and</w:t>
      </w:r>
      <w:r w:rsidRPr="00966B95">
        <w:t xml:space="preserve"> the cost of referrals</w:t>
      </w:r>
      <w:r w:rsidR="00997683">
        <w:t xml:space="preserve"> for testing, where applicable.</w:t>
      </w:r>
    </w:p>
    <w:p w14:paraId="60484995" w14:textId="16887539" w:rsidR="009118ED" w:rsidRPr="00941F81" w:rsidRDefault="009118ED" w:rsidP="009118ED">
      <w:pPr>
        <w:jc w:val="both"/>
      </w:pPr>
      <w:r>
        <w:t xml:space="preserve">A summary of the key characteristics of the economic evaluation is </w:t>
      </w:r>
      <w:r w:rsidR="00997683">
        <w:t>provided</w:t>
      </w:r>
      <w:r>
        <w:t xml:space="preserve"> in </w:t>
      </w:r>
      <w:r w:rsidRPr="00B85E97">
        <w:fldChar w:fldCharType="begin"/>
      </w:r>
      <w:r w:rsidRPr="00B85E97">
        <w:instrText xml:space="preserve"> REF _Ref395196756 \h  \* MERGEFORMAT </w:instrText>
      </w:r>
      <w:r w:rsidRPr="00B85E97">
        <w:fldChar w:fldCharType="separate"/>
      </w:r>
      <w:r w:rsidR="00AC4BE5" w:rsidRPr="00B85E97">
        <w:t xml:space="preserve">Table </w:t>
      </w:r>
      <w:r w:rsidR="00AC4BE5">
        <w:rPr>
          <w:noProof/>
        </w:rPr>
        <w:t>62</w:t>
      </w:r>
      <w:r w:rsidRPr="00B85E97">
        <w:fldChar w:fldCharType="end"/>
      </w:r>
      <w:r>
        <w:t>.</w:t>
      </w:r>
    </w:p>
    <w:p w14:paraId="503BD1B0" w14:textId="1C92E48F" w:rsidR="009118ED" w:rsidRDefault="009118ED" w:rsidP="009118ED">
      <w:pPr>
        <w:pStyle w:val="Caption"/>
        <w:tabs>
          <w:tab w:val="left" w:pos="1134"/>
        </w:tabs>
        <w:ind w:left="1134" w:hanging="1134"/>
        <w:jc w:val="both"/>
      </w:pPr>
      <w:bookmarkStart w:id="392" w:name="_Ref395196756"/>
      <w:bookmarkStart w:id="393" w:name="_Toc502833080"/>
      <w:r w:rsidRPr="00B85E97">
        <w:t xml:space="preserve">Table </w:t>
      </w:r>
      <w:r w:rsidR="00AC4BE5">
        <w:fldChar w:fldCharType="begin"/>
      </w:r>
      <w:r w:rsidR="00AC4BE5">
        <w:instrText xml:space="preserve"> SEQ Table \* ARABIC </w:instrText>
      </w:r>
      <w:r w:rsidR="00AC4BE5">
        <w:fldChar w:fldCharType="separate"/>
      </w:r>
      <w:r w:rsidR="00AC4BE5">
        <w:rPr>
          <w:noProof/>
        </w:rPr>
        <w:t>62</w:t>
      </w:r>
      <w:r w:rsidR="00AC4BE5">
        <w:rPr>
          <w:noProof/>
        </w:rPr>
        <w:fldChar w:fldCharType="end"/>
      </w:r>
      <w:bookmarkEnd w:id="392"/>
      <w:r w:rsidRPr="00183E4D">
        <w:tab/>
        <w:t>Summary of the economic evaluation</w:t>
      </w:r>
      <w:bookmarkEnd w:id="393"/>
    </w:p>
    <w:tbl>
      <w:tblPr>
        <w:tblStyle w:val="TableGrid1"/>
        <w:tblW w:w="5000" w:type="pct"/>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3185"/>
        <w:gridCol w:w="6057"/>
      </w:tblGrid>
      <w:tr w:rsidR="009118ED" w:rsidRPr="00183E4D" w14:paraId="75C9ED93" w14:textId="77777777" w:rsidTr="006815D3">
        <w:trPr>
          <w:cnfStyle w:val="100000000000" w:firstRow="1" w:lastRow="0" w:firstColumn="0" w:lastColumn="0" w:oddVBand="0" w:evenVBand="0" w:oddHBand="0" w:evenHBand="0" w:firstRowFirstColumn="0" w:firstRowLastColumn="0" w:lastRowFirstColumn="0" w:lastRowLastColumn="0"/>
          <w:trHeight w:val="20"/>
          <w:tblHeader/>
        </w:trPr>
        <w:tc>
          <w:tcPr>
            <w:tcW w:w="1723" w:type="pct"/>
          </w:tcPr>
          <w:p w14:paraId="21E830BF" w14:textId="77777777" w:rsidR="009118ED" w:rsidRPr="00183E4D" w:rsidRDefault="009118ED" w:rsidP="003929ED">
            <w:pPr>
              <w:pStyle w:val="Tabletext1"/>
              <w:rPr>
                <w:b/>
              </w:rPr>
            </w:pPr>
            <w:r w:rsidRPr="00183E4D">
              <w:rPr>
                <w:b/>
              </w:rPr>
              <w:t>Perspective</w:t>
            </w:r>
          </w:p>
        </w:tc>
        <w:tc>
          <w:tcPr>
            <w:tcW w:w="3277" w:type="pct"/>
          </w:tcPr>
          <w:p w14:paraId="63A2C0C3" w14:textId="77777777" w:rsidR="009118ED" w:rsidRPr="00E07E81" w:rsidRDefault="009118ED" w:rsidP="003929ED">
            <w:pPr>
              <w:pStyle w:val="Tabletext1"/>
            </w:pPr>
            <w:r>
              <w:t>Australian health care</w:t>
            </w:r>
          </w:p>
        </w:tc>
      </w:tr>
      <w:tr w:rsidR="009118ED" w:rsidRPr="00183E4D" w14:paraId="3D27A1AA" w14:textId="77777777" w:rsidTr="006815D3">
        <w:trPr>
          <w:trHeight w:val="20"/>
        </w:trPr>
        <w:tc>
          <w:tcPr>
            <w:tcW w:w="1723" w:type="pct"/>
          </w:tcPr>
          <w:p w14:paraId="5EAC2074" w14:textId="77777777" w:rsidR="009118ED" w:rsidRPr="00183E4D" w:rsidRDefault="009118ED" w:rsidP="003929ED">
            <w:pPr>
              <w:pStyle w:val="Tabletext1"/>
              <w:rPr>
                <w:b/>
              </w:rPr>
            </w:pPr>
            <w:r w:rsidRPr="00183E4D">
              <w:rPr>
                <w:b/>
              </w:rPr>
              <w:t>Comparator</w:t>
            </w:r>
          </w:p>
        </w:tc>
        <w:tc>
          <w:tcPr>
            <w:tcW w:w="3277" w:type="pct"/>
          </w:tcPr>
          <w:p w14:paraId="0C65EC51" w14:textId="77777777" w:rsidR="009118ED" w:rsidRPr="00E07E81" w:rsidRDefault="009118ED" w:rsidP="003929ED">
            <w:pPr>
              <w:pStyle w:val="Tabletext1"/>
            </w:pPr>
            <w:r>
              <w:t>AFC, FSH and E2 tests</w:t>
            </w:r>
          </w:p>
        </w:tc>
      </w:tr>
      <w:tr w:rsidR="009118ED" w:rsidRPr="00183E4D" w14:paraId="64D64A0E" w14:textId="77777777" w:rsidTr="006815D3">
        <w:trPr>
          <w:trHeight w:val="20"/>
        </w:trPr>
        <w:tc>
          <w:tcPr>
            <w:tcW w:w="1723" w:type="pct"/>
          </w:tcPr>
          <w:p w14:paraId="3471C01D" w14:textId="77777777" w:rsidR="009118ED" w:rsidRPr="003B5E92" w:rsidRDefault="009118ED" w:rsidP="003929ED">
            <w:pPr>
              <w:pStyle w:val="Tabletext1"/>
              <w:rPr>
                <w:b/>
              </w:rPr>
            </w:pPr>
            <w:r w:rsidRPr="003B5E92">
              <w:rPr>
                <w:b/>
              </w:rPr>
              <w:t>Type of economic evaluation</w:t>
            </w:r>
          </w:p>
        </w:tc>
        <w:tc>
          <w:tcPr>
            <w:tcW w:w="3277" w:type="pct"/>
          </w:tcPr>
          <w:p w14:paraId="0AE3EBB6" w14:textId="3285F877" w:rsidR="009118ED" w:rsidRPr="003B5E92" w:rsidRDefault="009118ED" w:rsidP="003929ED">
            <w:pPr>
              <w:pStyle w:val="Tabletext1"/>
            </w:pPr>
            <w:r w:rsidRPr="003B5E92">
              <w:t>Cost</w:t>
            </w:r>
            <w:r w:rsidR="00DF36E4">
              <w:t>-</w:t>
            </w:r>
            <w:r w:rsidRPr="003B5E92">
              <w:t>analysis</w:t>
            </w:r>
          </w:p>
        </w:tc>
      </w:tr>
      <w:tr w:rsidR="009118ED" w:rsidRPr="00183E4D" w14:paraId="6906EF3B" w14:textId="77777777" w:rsidTr="006815D3">
        <w:trPr>
          <w:trHeight w:val="20"/>
        </w:trPr>
        <w:tc>
          <w:tcPr>
            <w:tcW w:w="1723" w:type="pct"/>
          </w:tcPr>
          <w:p w14:paraId="0BE3E9FC" w14:textId="77777777" w:rsidR="009118ED" w:rsidRPr="00183E4D" w:rsidRDefault="009118ED" w:rsidP="003929ED">
            <w:pPr>
              <w:pStyle w:val="Tabletext1"/>
              <w:rPr>
                <w:b/>
              </w:rPr>
            </w:pPr>
            <w:r w:rsidRPr="00183E4D">
              <w:rPr>
                <w:b/>
              </w:rPr>
              <w:t>Sources of evidence</w:t>
            </w:r>
          </w:p>
        </w:tc>
        <w:tc>
          <w:tcPr>
            <w:tcW w:w="3277" w:type="pct"/>
          </w:tcPr>
          <w:p w14:paraId="4194156E" w14:textId="77777777" w:rsidR="009118ED" w:rsidRPr="00E07E81" w:rsidRDefault="009118ED" w:rsidP="003929ED">
            <w:pPr>
              <w:pStyle w:val="Tabletext1"/>
            </w:pPr>
            <w:r w:rsidRPr="00E07E81">
              <w:t>Systematic review</w:t>
            </w:r>
          </w:p>
        </w:tc>
      </w:tr>
      <w:tr w:rsidR="009118ED" w:rsidRPr="00183E4D" w14:paraId="0DFB9121" w14:textId="77777777" w:rsidTr="006815D3">
        <w:trPr>
          <w:trHeight w:val="20"/>
        </w:trPr>
        <w:tc>
          <w:tcPr>
            <w:tcW w:w="1723" w:type="pct"/>
            <w:hideMark/>
          </w:tcPr>
          <w:p w14:paraId="4A149535" w14:textId="77777777" w:rsidR="009118ED" w:rsidRPr="00183E4D" w:rsidRDefault="009118ED" w:rsidP="003929ED">
            <w:pPr>
              <w:pStyle w:val="Tabletext1"/>
              <w:rPr>
                <w:b/>
              </w:rPr>
            </w:pPr>
            <w:r w:rsidRPr="00183E4D">
              <w:rPr>
                <w:b/>
              </w:rPr>
              <w:t>Outcomes</w:t>
            </w:r>
          </w:p>
        </w:tc>
        <w:tc>
          <w:tcPr>
            <w:tcW w:w="3277" w:type="pct"/>
          </w:tcPr>
          <w:p w14:paraId="12ACE5E1" w14:textId="4DBE2EC6" w:rsidR="009118ED" w:rsidRPr="00E07E81" w:rsidRDefault="00811281" w:rsidP="003929ED">
            <w:pPr>
              <w:pStyle w:val="Tabletext1"/>
            </w:pPr>
            <w:r>
              <w:t>No health outcomes; cost per patient estimated only</w:t>
            </w:r>
          </w:p>
        </w:tc>
      </w:tr>
      <w:tr w:rsidR="009118ED" w:rsidRPr="00183E4D" w14:paraId="1B58E2AB" w14:textId="77777777" w:rsidTr="006815D3">
        <w:trPr>
          <w:trHeight w:val="20"/>
        </w:trPr>
        <w:tc>
          <w:tcPr>
            <w:tcW w:w="1723" w:type="pct"/>
            <w:hideMark/>
          </w:tcPr>
          <w:p w14:paraId="06FB4ECC" w14:textId="77777777" w:rsidR="009118ED" w:rsidRPr="00183E4D" w:rsidRDefault="009118ED" w:rsidP="003929ED">
            <w:pPr>
              <w:pStyle w:val="Tabletext1"/>
              <w:rPr>
                <w:b/>
              </w:rPr>
            </w:pPr>
            <w:r w:rsidRPr="00183E4D">
              <w:rPr>
                <w:b/>
              </w:rPr>
              <w:t>Methods used to generate results</w:t>
            </w:r>
          </w:p>
        </w:tc>
        <w:tc>
          <w:tcPr>
            <w:tcW w:w="3277" w:type="pct"/>
          </w:tcPr>
          <w:p w14:paraId="720A973D" w14:textId="2A9A583A" w:rsidR="009118ED" w:rsidRPr="00E07E81" w:rsidRDefault="009118ED" w:rsidP="003929ED">
            <w:pPr>
              <w:pStyle w:val="Tabletext1"/>
            </w:pPr>
            <w:r>
              <w:t>Investigative pathway cost</w:t>
            </w:r>
            <w:r w:rsidR="00DF36E4">
              <w:t>-</w:t>
            </w:r>
            <w:r>
              <w:t>comparison</w:t>
            </w:r>
          </w:p>
        </w:tc>
      </w:tr>
      <w:tr w:rsidR="009118ED" w:rsidRPr="00183E4D" w14:paraId="4CE5E2C2" w14:textId="77777777" w:rsidTr="006815D3">
        <w:trPr>
          <w:trHeight w:val="20"/>
        </w:trPr>
        <w:tc>
          <w:tcPr>
            <w:tcW w:w="1723" w:type="pct"/>
            <w:hideMark/>
          </w:tcPr>
          <w:p w14:paraId="3BFC75FD" w14:textId="77777777" w:rsidR="009118ED" w:rsidRPr="00183E4D" w:rsidRDefault="009118ED" w:rsidP="003929ED">
            <w:pPr>
              <w:pStyle w:val="Tabletext1"/>
              <w:rPr>
                <w:b/>
              </w:rPr>
            </w:pPr>
            <w:r w:rsidRPr="00183E4D">
              <w:rPr>
                <w:b/>
              </w:rPr>
              <w:t>Software packages used</w:t>
            </w:r>
          </w:p>
        </w:tc>
        <w:tc>
          <w:tcPr>
            <w:tcW w:w="3277" w:type="pct"/>
          </w:tcPr>
          <w:p w14:paraId="5F4749C5" w14:textId="513D2396" w:rsidR="009118ED" w:rsidRPr="00811281" w:rsidRDefault="009118ED" w:rsidP="003929ED">
            <w:pPr>
              <w:pStyle w:val="Tabletext1"/>
            </w:pPr>
            <w:r>
              <w:t>Microsoft Excel 2013</w:t>
            </w:r>
          </w:p>
        </w:tc>
      </w:tr>
    </w:tbl>
    <w:p w14:paraId="2A38FE4D" w14:textId="086ADE60" w:rsidR="009118ED" w:rsidRPr="00997683" w:rsidRDefault="009118ED" w:rsidP="009118ED">
      <w:pPr>
        <w:pStyle w:val="TableNotes1"/>
        <w:rPr>
          <w:sz w:val="18"/>
          <w:szCs w:val="18"/>
        </w:rPr>
      </w:pPr>
      <w:r w:rsidRPr="00997683">
        <w:rPr>
          <w:sz w:val="18"/>
          <w:szCs w:val="18"/>
        </w:rPr>
        <w:t>AFC = antral follicle count; E2 = estradiol; FSH = follicle</w:t>
      </w:r>
      <w:r w:rsidR="00DE6DD5">
        <w:rPr>
          <w:sz w:val="18"/>
          <w:szCs w:val="18"/>
        </w:rPr>
        <w:t>-</w:t>
      </w:r>
      <w:r w:rsidRPr="00997683">
        <w:rPr>
          <w:sz w:val="18"/>
          <w:szCs w:val="18"/>
        </w:rPr>
        <w:t>stimulating hormone</w:t>
      </w:r>
    </w:p>
    <w:p w14:paraId="678090EF" w14:textId="77777777" w:rsidR="009118ED" w:rsidRDefault="009118ED" w:rsidP="009118ED">
      <w:pPr>
        <w:pStyle w:val="Heading3"/>
      </w:pPr>
      <w:bookmarkStart w:id="394" w:name="_Toc395200799"/>
      <w:bookmarkStart w:id="395" w:name="_Toc502832978"/>
      <w:r>
        <w:t>Literature review</w:t>
      </w:r>
      <w:bookmarkEnd w:id="394"/>
      <w:bookmarkEnd w:id="395"/>
    </w:p>
    <w:p w14:paraId="4A450D2C" w14:textId="11236C03" w:rsidR="009118ED" w:rsidRDefault="009118ED" w:rsidP="009118ED">
      <w:pPr>
        <w:jc w:val="both"/>
      </w:pPr>
      <w:r>
        <w:t>No studies were identified that conducted economic analysis comparing AMH in addition</w:t>
      </w:r>
      <w:r w:rsidR="00997683">
        <w:t xml:space="preserve"> to other ovarian reserve tests</w:t>
      </w:r>
      <w:r>
        <w:t xml:space="preserve"> with other ovarian reserve tests</w:t>
      </w:r>
      <w:r w:rsidR="00997683">
        <w:t xml:space="preserve"> alone</w:t>
      </w:r>
      <w:r>
        <w:t xml:space="preserve">. Only one economic </w:t>
      </w:r>
      <w:r w:rsidR="00997683">
        <w:t xml:space="preserve">analysis </w:t>
      </w:r>
      <w:r>
        <w:t xml:space="preserve">was found reporting cost-effectiveness of customised FSH dosing based on AMH test results compared </w:t>
      </w:r>
      <w:r w:rsidR="00997683">
        <w:t>to</w:t>
      </w:r>
      <w:r>
        <w:t xml:space="preserve"> standard FSH dosing before IVF/ICSI in the general population </w:t>
      </w:r>
      <w:r w:rsidR="004308C4">
        <w:fldChar w:fldCharType="begin">
          <w:fldData xml:space="preserve">PEVuZE5vdGU+PENpdGU+PEF1dGhvcj52YW4gVGlsYm9yZzwvQXV0aG9yPjxZZWFyPjIwMTc8L1ll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</w:fldData>
        </w:fldChar>
      </w:r>
      <w:r w:rsidR="004308C4">
        <w:instrText xml:space="preserve"> ADDIN EN.CITE </w:instrText>
      </w:r>
      <w:r w:rsidR="004308C4">
        <w:fldChar w:fldCharType="begin">
          <w:fldData xml:space="preserve">PEVuZE5vdGU+PENpdGU+PEF1dGhvcj52YW4gVGlsYm9yZzwvQXV0aG9yPjxZZWFyPjIwMTc8L1ll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</w:fldData>
        </w:fldChar>
      </w:r>
      <w:r w:rsidR="004308C4">
        <w:instrText xml:space="preserve"> ADDIN EN.CITE.DATA </w:instrText>
      </w:r>
      <w:r w:rsidR="004308C4">
        <w:fldChar w:fldCharType="end"/>
      </w:r>
      <w:r w:rsidR="004308C4">
        <w:fldChar w:fldCharType="separate"/>
      </w:r>
      <w:r w:rsidR="004308C4">
        <w:rPr>
          <w:noProof/>
        </w:rPr>
        <w:t>(</w:t>
      </w:r>
      <w:hyperlink w:anchor="_ENREF_73" w:tooltip="van Tilborg, 2017 #399" w:history="1">
        <w:r w:rsidR="00835BA6">
          <w:rPr>
            <w:noProof/>
          </w:rPr>
          <w:t>van Tilborg et al. 2017</w:t>
        </w:r>
      </w:hyperlink>
      <w:r w:rsidR="004308C4">
        <w:rPr>
          <w:noProof/>
        </w:rPr>
        <w:t>)</w:t>
      </w:r>
      <w:r w:rsidR="004308C4">
        <w:fldChar w:fldCharType="end"/>
      </w:r>
      <w:r>
        <w:t>. The study population, context and structure of this study are not relevant for the present report.</w:t>
      </w:r>
    </w:p>
    <w:p w14:paraId="56171D7C" w14:textId="77777777" w:rsidR="009118ED" w:rsidRDefault="009118ED" w:rsidP="009118ED">
      <w:pPr>
        <w:pStyle w:val="Heading2"/>
        <w:numPr>
          <w:ilvl w:val="3"/>
          <w:numId w:val="9"/>
        </w:numPr>
      </w:pPr>
      <w:bookmarkStart w:id="396" w:name="_Toc381796479"/>
      <w:bookmarkStart w:id="397" w:name="_Toc502832979"/>
      <w:r w:rsidRPr="00183E4D">
        <w:t>Inputs to the economic evaluation</w:t>
      </w:r>
      <w:bookmarkEnd w:id="396"/>
      <w:bookmarkEnd w:id="397"/>
    </w:p>
    <w:p w14:paraId="4FD30958" w14:textId="77777777" w:rsidR="009118ED" w:rsidRDefault="009118ED" w:rsidP="009118ED">
      <w:pPr>
        <w:pStyle w:val="Heading3"/>
      </w:pPr>
      <w:bookmarkStart w:id="398" w:name="_Toc502832980"/>
      <w:r>
        <w:t>Test costs and associated costs</w:t>
      </w:r>
      <w:bookmarkEnd w:id="398"/>
    </w:p>
    <w:p w14:paraId="6E1A5300" w14:textId="77777777" w:rsidR="009118ED" w:rsidRDefault="009118ED" w:rsidP="009118ED">
      <w:pPr>
        <w:jc w:val="both"/>
      </w:pPr>
      <w:r w:rsidRPr="007517E5">
        <w:t xml:space="preserve">The </w:t>
      </w:r>
      <w:r>
        <w:t xml:space="preserve">resource use and associated </w:t>
      </w:r>
      <w:r w:rsidRPr="007517E5">
        <w:t xml:space="preserve">costs </w:t>
      </w:r>
      <w:r>
        <w:t xml:space="preserve">considered </w:t>
      </w:r>
      <w:r w:rsidRPr="007517E5">
        <w:t xml:space="preserve">in the economic </w:t>
      </w:r>
      <w:r>
        <w:t>analysis</w:t>
      </w:r>
      <w:r w:rsidRPr="007517E5">
        <w:t xml:space="preserve"> are presented in</w:t>
      </w:r>
      <w:r>
        <w:t xml:space="preserve"> </w:t>
      </w:r>
      <w:r>
        <w:fldChar w:fldCharType="begin"/>
      </w:r>
      <w:r>
        <w:instrText xml:space="preserve"> REF _Ref437617247 \h  \* MERGEFORMAT </w:instrText>
      </w:r>
      <w:r>
        <w:fldChar w:fldCharType="separate"/>
      </w:r>
      <w:r w:rsidR="00AC4BE5">
        <w:t xml:space="preserve">Table </w:t>
      </w:r>
      <w:r w:rsidR="00AC4BE5">
        <w:rPr>
          <w:noProof/>
        </w:rPr>
        <w:t>63</w:t>
      </w:r>
      <w:r>
        <w:fldChar w:fldCharType="end"/>
      </w:r>
      <w:r>
        <w:t>.</w:t>
      </w:r>
    </w:p>
    <w:p w14:paraId="02EF25A2" w14:textId="03A98330" w:rsidR="009118ED" w:rsidRDefault="00997683" w:rsidP="009118ED">
      <w:pPr>
        <w:jc w:val="both"/>
      </w:pPr>
      <w:r>
        <w:t>For the AMH test, the proposed MBS item s</w:t>
      </w:r>
      <w:r w:rsidR="009118ED" w:rsidRPr="00D86950">
        <w:t>chedule fee of $</w:t>
      </w:r>
      <w:r w:rsidR="009118ED">
        <w:t>1</w:t>
      </w:r>
      <w:r w:rsidR="009118ED" w:rsidRPr="00D86950">
        <w:t xml:space="preserve">00 is used. For the </w:t>
      </w:r>
      <w:r w:rsidR="009118ED">
        <w:t xml:space="preserve">proposed and </w:t>
      </w:r>
      <w:r w:rsidR="009118ED" w:rsidRPr="00D86950">
        <w:t>comparator</w:t>
      </w:r>
      <w:r w:rsidR="009118ED">
        <w:t xml:space="preserve"> scenario, </w:t>
      </w:r>
      <w:r w:rsidR="009118ED" w:rsidRPr="00D86950">
        <w:t xml:space="preserve">the </w:t>
      </w:r>
      <w:r w:rsidR="009118ED">
        <w:t xml:space="preserve">other ovarian reserve </w:t>
      </w:r>
      <w:r w:rsidR="009118ED" w:rsidRPr="00D86950">
        <w:t>test costs are based on the average provider fee, which takes into account bulk billing and p</w:t>
      </w:r>
      <w:r>
        <w:t>atient contributions above the s</w:t>
      </w:r>
      <w:r w:rsidR="009118ED" w:rsidRPr="00D86950">
        <w:t>chedule fee</w:t>
      </w:r>
      <w:r w:rsidR="009118ED">
        <w:t xml:space="preserve">. These are MBS items 55065 and 55067 for ultrasound and AFC, and MBS item 66701 for blood test measuring FSH and E2. MBS item 55067 is used for pelvic ultrasound performed with older equipment. MBS statistics for </w:t>
      </w:r>
      <w:r>
        <w:t xml:space="preserve">the </w:t>
      </w:r>
      <w:r w:rsidR="009118ED">
        <w:t>average number of services performed for these items</w:t>
      </w:r>
      <w:r w:rsidR="009118ED" w:rsidRPr="00D86950">
        <w:t xml:space="preserve"> </w:t>
      </w:r>
      <w:r w:rsidR="009118ED">
        <w:t xml:space="preserve">indicate that only 0.1% </w:t>
      </w:r>
      <w:r>
        <w:t xml:space="preserve">of </w:t>
      </w:r>
      <w:r w:rsidR="009118ED">
        <w:t>ultrasounds were performed using older equipment (item 55067). Therefore only MBS item 55065 is included in the cost comparisons.</w:t>
      </w:r>
      <w:r w:rsidR="009118ED" w:rsidRPr="00AA26F6">
        <w:t xml:space="preserve"> </w:t>
      </w:r>
      <w:r w:rsidR="009118ED">
        <w:t xml:space="preserve">In addition, pathology </w:t>
      </w:r>
      <w:r w:rsidR="009118ED" w:rsidRPr="00CE7447">
        <w:t>test</w:t>
      </w:r>
      <w:r w:rsidR="009118ED">
        <w:t xml:space="preserve">s are routinely associated with </w:t>
      </w:r>
      <w:r w:rsidR="009118ED" w:rsidRPr="00CE7447">
        <w:t xml:space="preserve">the cost </w:t>
      </w:r>
      <w:r w:rsidR="009118ED" w:rsidRPr="00CE7447">
        <w:lastRenderedPageBreak/>
        <w:t xml:space="preserve">of consultation by the referring doctor </w:t>
      </w:r>
      <w:r w:rsidR="009118ED">
        <w:t xml:space="preserve">(MBS item 104) and a consult </w:t>
      </w:r>
      <w:r w:rsidR="009118ED" w:rsidRPr="00CE7447">
        <w:t xml:space="preserve">to review </w:t>
      </w:r>
      <w:r w:rsidR="009118ED">
        <w:t>the test</w:t>
      </w:r>
      <w:r w:rsidR="009118ED" w:rsidRPr="00CE7447">
        <w:t xml:space="preserve"> results</w:t>
      </w:r>
      <w:r w:rsidR="009118ED">
        <w:t xml:space="preserve"> (MBS item 105)</w:t>
      </w:r>
      <w:r>
        <w:t>. The s</w:t>
      </w:r>
      <w:r w:rsidR="009118ED">
        <w:t>chedule fees for these items are $85.55 and $43 respectively.</w:t>
      </w:r>
    </w:p>
    <w:p w14:paraId="2B836A6E" w14:textId="0EC7F90D" w:rsidR="009118ED" w:rsidRDefault="009118ED" w:rsidP="009118ED">
      <w:pPr>
        <w:pStyle w:val="TableHeading"/>
      </w:pPr>
      <w:bookmarkStart w:id="399" w:name="_Ref437617247"/>
      <w:bookmarkStart w:id="400" w:name="_Toc437009812"/>
      <w:bookmarkStart w:id="401" w:name="_Toc439954665"/>
      <w:bookmarkStart w:id="402" w:name="_Toc502833081"/>
      <w:r>
        <w:t xml:space="preserve">Table </w:t>
      </w:r>
      <w:r w:rsidR="00AC4BE5">
        <w:fldChar w:fldCharType="begin"/>
      </w:r>
      <w:r w:rsidR="00AC4BE5">
        <w:instrText xml:space="preserve"> SEQ Table \* ARABIC </w:instrText>
      </w:r>
      <w:r w:rsidR="00AC4BE5">
        <w:fldChar w:fldCharType="separate"/>
      </w:r>
      <w:r w:rsidR="00AC4BE5">
        <w:rPr>
          <w:noProof/>
        </w:rPr>
        <w:t>63</w:t>
      </w:r>
      <w:r w:rsidR="00AC4BE5">
        <w:rPr>
          <w:noProof/>
        </w:rPr>
        <w:fldChar w:fldCharType="end"/>
      </w:r>
      <w:bookmarkEnd w:id="399"/>
      <w:r>
        <w:tab/>
        <w:t xml:space="preserve">Various costs associated with </w:t>
      </w:r>
      <w:bookmarkEnd w:id="400"/>
      <w:bookmarkEnd w:id="401"/>
      <w:r>
        <w:t>ovarian reserve test</w:t>
      </w:r>
      <w:r w:rsidR="00811281">
        <w:t>ing</w:t>
      </w:r>
      <w:bookmarkEnd w:id="402"/>
    </w:p>
    <w:tbl>
      <w:tblPr>
        <w:tblStyle w:val="TableGrid46"/>
        <w:tblW w:w="5000" w:type="pct"/>
        <w:tblLook w:val="04A0" w:firstRow="1" w:lastRow="0" w:firstColumn="1" w:lastColumn="0" w:noHBand="0" w:noVBand="1"/>
        <w:tblDescription w:val="Estimated cost per ovarian reserve test"/>
      </w:tblPr>
      <w:tblGrid>
        <w:gridCol w:w="2900"/>
        <w:gridCol w:w="1161"/>
        <w:gridCol w:w="5181"/>
      </w:tblGrid>
      <w:tr w:rsidR="009118ED" w:rsidRPr="00037288" w14:paraId="6A349E48" w14:textId="77777777" w:rsidTr="003929ED">
        <w:trPr>
          <w:tblHeader/>
        </w:trPr>
        <w:tc>
          <w:tcPr>
            <w:tcW w:w="1569" w:type="pct"/>
          </w:tcPr>
          <w:p w14:paraId="6B96C8BD" w14:textId="77777777" w:rsidR="009118ED" w:rsidRPr="00037288" w:rsidRDefault="009118ED" w:rsidP="003929ED">
            <w:pPr>
              <w:pStyle w:val="Tabletext1"/>
              <w:rPr>
                <w:b/>
              </w:rPr>
            </w:pPr>
            <w:r>
              <w:rPr>
                <w:b/>
              </w:rPr>
              <w:t>Test</w:t>
            </w:r>
          </w:p>
        </w:tc>
        <w:tc>
          <w:tcPr>
            <w:tcW w:w="628" w:type="pct"/>
            <w:tcBorders>
              <w:bottom w:val="single" w:sz="4" w:space="0" w:color="auto"/>
            </w:tcBorders>
          </w:tcPr>
          <w:p w14:paraId="129FF625" w14:textId="4CF75229" w:rsidR="009118ED" w:rsidRPr="00037288" w:rsidRDefault="009118ED" w:rsidP="00997683">
            <w:pPr>
              <w:pStyle w:val="Tabletext1"/>
              <w:rPr>
                <w:b/>
              </w:rPr>
            </w:pPr>
            <w:r>
              <w:rPr>
                <w:b/>
              </w:rPr>
              <w:t>Base</w:t>
            </w:r>
            <w:r w:rsidR="00DF36E4">
              <w:rPr>
                <w:b/>
              </w:rPr>
              <w:t xml:space="preserve"> </w:t>
            </w:r>
            <w:r>
              <w:rPr>
                <w:b/>
              </w:rPr>
              <w:t>case</w:t>
            </w:r>
          </w:p>
        </w:tc>
        <w:tc>
          <w:tcPr>
            <w:tcW w:w="2803" w:type="pct"/>
            <w:tcBorders>
              <w:bottom w:val="single" w:sz="4" w:space="0" w:color="auto"/>
            </w:tcBorders>
          </w:tcPr>
          <w:p w14:paraId="1DB2AA1B" w14:textId="77777777" w:rsidR="009118ED" w:rsidRPr="00037288" w:rsidRDefault="009118ED" w:rsidP="003929ED">
            <w:pPr>
              <w:pStyle w:val="Tabletext1"/>
              <w:ind w:left="178" w:hanging="142"/>
              <w:rPr>
                <w:b/>
              </w:rPr>
            </w:pPr>
            <w:r w:rsidRPr="00037288">
              <w:rPr>
                <w:b/>
              </w:rPr>
              <w:t>Source</w:t>
            </w:r>
          </w:p>
        </w:tc>
      </w:tr>
      <w:tr w:rsidR="009118ED" w:rsidRPr="007517E5" w14:paraId="1FFBCE19" w14:textId="77777777" w:rsidTr="003929ED">
        <w:tc>
          <w:tcPr>
            <w:tcW w:w="1569" w:type="pct"/>
          </w:tcPr>
          <w:p w14:paraId="7FA90D24" w14:textId="77777777" w:rsidR="009118ED" w:rsidRPr="007517E5" w:rsidRDefault="009118ED" w:rsidP="003929ED">
            <w:pPr>
              <w:pStyle w:val="Tabletext1"/>
            </w:pPr>
            <w:r>
              <w:t>AMH</w:t>
            </w:r>
          </w:p>
        </w:tc>
        <w:tc>
          <w:tcPr>
            <w:tcW w:w="628" w:type="pct"/>
          </w:tcPr>
          <w:p w14:paraId="136A07E1" w14:textId="77777777" w:rsidR="009118ED" w:rsidRPr="007517E5" w:rsidRDefault="009118ED" w:rsidP="00997683">
            <w:pPr>
              <w:pStyle w:val="Tabletext1"/>
            </w:pPr>
            <w:r w:rsidRPr="007517E5">
              <w:t>$</w:t>
            </w:r>
            <w:r>
              <w:t>1</w:t>
            </w:r>
            <w:r w:rsidRPr="007517E5">
              <w:t>00.00</w:t>
            </w:r>
          </w:p>
        </w:tc>
        <w:tc>
          <w:tcPr>
            <w:tcW w:w="2803" w:type="pct"/>
          </w:tcPr>
          <w:p w14:paraId="65BD087F" w14:textId="77777777" w:rsidR="009118ED" w:rsidRPr="007517E5" w:rsidRDefault="009118ED" w:rsidP="003929ED">
            <w:pPr>
              <w:pStyle w:val="Tabletext1"/>
              <w:ind w:left="178" w:hanging="142"/>
            </w:pPr>
            <w:r w:rsidRPr="007517E5">
              <w:t xml:space="preserve">Proposed </w:t>
            </w:r>
            <w:r>
              <w:t>fee (Section A.3)</w:t>
            </w:r>
          </w:p>
        </w:tc>
      </w:tr>
      <w:tr w:rsidR="009118ED" w:rsidRPr="007517E5" w14:paraId="23F60F19" w14:textId="77777777" w:rsidTr="003929ED">
        <w:tc>
          <w:tcPr>
            <w:tcW w:w="1569" w:type="pct"/>
          </w:tcPr>
          <w:p w14:paraId="1A1E6662" w14:textId="77777777" w:rsidR="009118ED" w:rsidRPr="007517E5" w:rsidRDefault="009118ED" w:rsidP="003929ED">
            <w:pPr>
              <w:pStyle w:val="Tabletext1"/>
            </w:pPr>
            <w:r>
              <w:t>AFC</w:t>
            </w:r>
          </w:p>
        </w:tc>
        <w:tc>
          <w:tcPr>
            <w:tcW w:w="628" w:type="pct"/>
          </w:tcPr>
          <w:p w14:paraId="1B4A7427" w14:textId="77777777" w:rsidR="009118ED" w:rsidRPr="005B6207" w:rsidRDefault="009118ED" w:rsidP="00997683">
            <w:pPr>
              <w:pStyle w:val="Tabletext1"/>
            </w:pPr>
            <w:r w:rsidRPr="005B6207">
              <w:t>$</w:t>
            </w:r>
            <w:r>
              <w:t>117.02</w:t>
            </w:r>
          </w:p>
        </w:tc>
        <w:tc>
          <w:tcPr>
            <w:tcW w:w="2803" w:type="pct"/>
          </w:tcPr>
          <w:p w14:paraId="1256B8A3" w14:textId="583BDD6E" w:rsidR="009118ED" w:rsidRPr="000D0042" w:rsidRDefault="009118ED" w:rsidP="003929ED">
            <w:pPr>
              <w:pStyle w:val="Tabletext1"/>
              <w:ind w:left="178" w:hanging="142"/>
              <w:rPr>
                <w:color w:val="000000"/>
                <w:vertAlign w:val="superscript"/>
              </w:rPr>
            </w:pPr>
            <w:r w:rsidRPr="005B6207">
              <w:rPr>
                <w:color w:val="000000"/>
              </w:rPr>
              <w:t>MBS item 55</w:t>
            </w:r>
            <w:r>
              <w:rPr>
                <w:color w:val="000000"/>
              </w:rPr>
              <w:t>065 (</w:t>
            </w:r>
            <w:r w:rsidRPr="005B6207">
              <w:rPr>
                <w:color w:val="000000"/>
              </w:rPr>
              <w:t>Average provider fee July 20</w:t>
            </w:r>
            <w:r>
              <w:rPr>
                <w:color w:val="000000"/>
              </w:rPr>
              <w:t>11</w:t>
            </w:r>
            <w:r w:rsidR="00997683">
              <w:rPr>
                <w:color w:val="000000"/>
              </w:rPr>
              <w:t>–</w:t>
            </w:r>
            <w:r w:rsidRPr="005B6207">
              <w:rPr>
                <w:color w:val="000000"/>
              </w:rPr>
              <w:t>June 201</w:t>
            </w:r>
            <w:r>
              <w:rPr>
                <w:color w:val="000000"/>
              </w:rPr>
              <w:t>6)</w:t>
            </w:r>
            <w:r>
              <w:rPr>
                <w:color w:val="000000"/>
                <w:vertAlign w:val="superscript"/>
              </w:rPr>
              <w:t>1</w:t>
            </w:r>
          </w:p>
        </w:tc>
      </w:tr>
      <w:tr w:rsidR="009118ED" w:rsidRPr="007517E5" w14:paraId="37AF199B" w14:textId="77777777" w:rsidTr="003929ED">
        <w:tc>
          <w:tcPr>
            <w:tcW w:w="1569" w:type="pct"/>
          </w:tcPr>
          <w:p w14:paraId="31ADE94E" w14:textId="77777777" w:rsidR="009118ED" w:rsidRPr="007517E5" w:rsidRDefault="009118ED" w:rsidP="003929ED">
            <w:pPr>
              <w:pStyle w:val="Tabletext1"/>
            </w:pPr>
            <w:r>
              <w:t>FSH and E2</w:t>
            </w:r>
          </w:p>
        </w:tc>
        <w:tc>
          <w:tcPr>
            <w:tcW w:w="628" w:type="pct"/>
          </w:tcPr>
          <w:p w14:paraId="77DC2A27" w14:textId="77777777" w:rsidR="009118ED" w:rsidRPr="005B6207" w:rsidRDefault="009118ED" w:rsidP="00997683">
            <w:pPr>
              <w:pStyle w:val="Tabletext1"/>
            </w:pPr>
            <w:r w:rsidRPr="007D0F76">
              <w:t>$</w:t>
            </w:r>
            <w:r>
              <w:t>49.72</w:t>
            </w:r>
          </w:p>
        </w:tc>
        <w:tc>
          <w:tcPr>
            <w:tcW w:w="2803" w:type="pct"/>
          </w:tcPr>
          <w:p w14:paraId="544A0BAF" w14:textId="5D6FF3A9" w:rsidR="009118ED" w:rsidRPr="000D0042" w:rsidRDefault="009118ED" w:rsidP="003929ED">
            <w:pPr>
              <w:pStyle w:val="Tabletext1"/>
              <w:ind w:left="178" w:hanging="142"/>
              <w:rPr>
                <w:color w:val="000000"/>
                <w:vertAlign w:val="superscript"/>
              </w:rPr>
            </w:pPr>
            <w:r w:rsidRPr="007D0F76">
              <w:rPr>
                <w:color w:val="000000"/>
              </w:rPr>
              <w:t>MBS item 6</w:t>
            </w:r>
            <w:r>
              <w:rPr>
                <w:color w:val="000000"/>
              </w:rPr>
              <w:t>6701 (</w:t>
            </w:r>
            <w:r w:rsidRPr="007D0F76">
              <w:rPr>
                <w:color w:val="000000"/>
              </w:rPr>
              <w:t>Average provider fee July 20</w:t>
            </w:r>
            <w:r>
              <w:rPr>
                <w:color w:val="000000"/>
              </w:rPr>
              <w:t>11</w:t>
            </w:r>
            <w:r w:rsidR="00997683">
              <w:rPr>
                <w:color w:val="000000"/>
              </w:rPr>
              <w:t>–</w:t>
            </w:r>
            <w:r w:rsidRPr="007D0F76">
              <w:rPr>
                <w:color w:val="000000"/>
              </w:rPr>
              <w:t>June 201</w:t>
            </w:r>
            <w:r>
              <w:rPr>
                <w:color w:val="000000"/>
              </w:rPr>
              <w:t>6)</w:t>
            </w:r>
            <w:r>
              <w:rPr>
                <w:color w:val="000000"/>
                <w:vertAlign w:val="superscript"/>
              </w:rPr>
              <w:t>1</w:t>
            </w:r>
          </w:p>
        </w:tc>
      </w:tr>
      <w:tr w:rsidR="009118ED" w:rsidRPr="007517E5" w14:paraId="753BC0A8" w14:textId="77777777" w:rsidTr="003929ED">
        <w:tc>
          <w:tcPr>
            <w:tcW w:w="1569" w:type="pct"/>
            <w:tcBorders>
              <w:bottom w:val="single" w:sz="4" w:space="0" w:color="auto"/>
            </w:tcBorders>
          </w:tcPr>
          <w:p w14:paraId="537631C3" w14:textId="77777777" w:rsidR="009118ED" w:rsidRDefault="009118ED" w:rsidP="003929ED">
            <w:pPr>
              <w:pStyle w:val="Tabletext1"/>
            </w:pPr>
            <w:r>
              <w:rPr>
                <w:lang w:eastAsia="en-US"/>
              </w:rPr>
              <w:t>Specialist consult for referral</w:t>
            </w:r>
          </w:p>
        </w:tc>
        <w:tc>
          <w:tcPr>
            <w:tcW w:w="628" w:type="pct"/>
            <w:tcBorders>
              <w:bottom w:val="single" w:sz="4" w:space="0" w:color="auto"/>
            </w:tcBorders>
          </w:tcPr>
          <w:p w14:paraId="785FF99A" w14:textId="77777777" w:rsidR="009118ED" w:rsidRPr="007D0F76" w:rsidRDefault="009118ED" w:rsidP="00997683">
            <w:pPr>
              <w:pStyle w:val="Tabletext1"/>
            </w:pPr>
            <w:r>
              <w:t>$85.55</w:t>
            </w:r>
          </w:p>
        </w:tc>
        <w:tc>
          <w:tcPr>
            <w:tcW w:w="2803" w:type="pct"/>
            <w:tcBorders>
              <w:bottom w:val="single" w:sz="4" w:space="0" w:color="auto"/>
            </w:tcBorders>
          </w:tcPr>
          <w:p w14:paraId="14F77B24" w14:textId="77777777" w:rsidR="009118ED" w:rsidRPr="007D0F76" w:rsidRDefault="009118ED" w:rsidP="003929ED">
            <w:pPr>
              <w:pStyle w:val="Tabletext1"/>
              <w:ind w:left="178" w:hanging="142"/>
              <w:rPr>
                <w:color w:val="000000"/>
              </w:rPr>
            </w:pPr>
            <w:r>
              <w:rPr>
                <w:lang w:eastAsia="en-US"/>
              </w:rPr>
              <w:t>MBS item 104</w:t>
            </w:r>
          </w:p>
        </w:tc>
      </w:tr>
      <w:tr w:rsidR="009118ED" w:rsidRPr="007517E5" w14:paraId="66EBC976" w14:textId="77777777" w:rsidTr="003929ED">
        <w:tc>
          <w:tcPr>
            <w:tcW w:w="1569" w:type="pct"/>
            <w:tcBorders>
              <w:bottom w:val="single" w:sz="4" w:space="0" w:color="auto"/>
            </w:tcBorders>
          </w:tcPr>
          <w:p w14:paraId="105AF029" w14:textId="77777777" w:rsidR="009118ED" w:rsidRDefault="009118ED" w:rsidP="003929ED">
            <w:pPr>
              <w:pStyle w:val="Tabletext1"/>
            </w:pPr>
            <w:r>
              <w:rPr>
                <w:lang w:eastAsia="en-US"/>
              </w:rPr>
              <w:t>Specialist consult to review results</w:t>
            </w:r>
          </w:p>
        </w:tc>
        <w:tc>
          <w:tcPr>
            <w:tcW w:w="628" w:type="pct"/>
            <w:tcBorders>
              <w:bottom w:val="single" w:sz="4" w:space="0" w:color="auto"/>
            </w:tcBorders>
          </w:tcPr>
          <w:p w14:paraId="0BBC0394" w14:textId="77777777" w:rsidR="009118ED" w:rsidRPr="007D0F76" w:rsidRDefault="009118ED" w:rsidP="00997683">
            <w:pPr>
              <w:pStyle w:val="Tabletext1"/>
            </w:pPr>
            <w:r>
              <w:t>$43.00</w:t>
            </w:r>
          </w:p>
        </w:tc>
        <w:tc>
          <w:tcPr>
            <w:tcW w:w="2803" w:type="pct"/>
            <w:tcBorders>
              <w:bottom w:val="single" w:sz="4" w:space="0" w:color="auto"/>
            </w:tcBorders>
          </w:tcPr>
          <w:p w14:paraId="46E1FE76" w14:textId="77777777" w:rsidR="009118ED" w:rsidRPr="007D0F76" w:rsidRDefault="009118ED" w:rsidP="003929ED">
            <w:pPr>
              <w:pStyle w:val="Tabletext1"/>
              <w:ind w:left="178" w:hanging="142"/>
              <w:rPr>
                <w:color w:val="000000"/>
              </w:rPr>
            </w:pPr>
            <w:r>
              <w:rPr>
                <w:lang w:eastAsia="en-US"/>
              </w:rPr>
              <w:t>MBS item 105</w:t>
            </w:r>
          </w:p>
        </w:tc>
      </w:tr>
    </w:tbl>
    <w:p w14:paraId="575F85A4" w14:textId="501063E8" w:rsidR="009118ED" w:rsidRDefault="00997683" w:rsidP="00997683">
      <w:pPr>
        <w:pStyle w:val="TableNotes1"/>
        <w:spacing w:after="0"/>
        <w:rPr>
          <w:sz w:val="18"/>
          <w:szCs w:val="18"/>
        </w:rPr>
      </w:pPr>
      <w:r>
        <w:rPr>
          <w:sz w:val="18"/>
          <w:szCs w:val="18"/>
        </w:rPr>
        <w:t>AMH = a</w:t>
      </w:r>
      <w:r w:rsidR="009118ED" w:rsidRPr="00997683">
        <w:rPr>
          <w:sz w:val="18"/>
          <w:szCs w:val="18"/>
        </w:rPr>
        <w:t>nti-Müllerian hormone; AFC = antral follicle count; E2 = estradiol; FSH = follicle</w:t>
      </w:r>
      <w:r w:rsidR="00DE6DD5">
        <w:rPr>
          <w:sz w:val="18"/>
          <w:szCs w:val="18"/>
        </w:rPr>
        <w:t>-</w:t>
      </w:r>
      <w:r w:rsidR="009118ED" w:rsidRPr="00997683">
        <w:rPr>
          <w:sz w:val="18"/>
          <w:szCs w:val="18"/>
        </w:rPr>
        <w:t>stimulating hormone; MBS = Medicare Benefits Schedule</w:t>
      </w:r>
    </w:p>
    <w:p w14:paraId="79345BD5" w14:textId="336BF6E1" w:rsidR="00997683" w:rsidRPr="00997683" w:rsidRDefault="00997683" w:rsidP="009118ED">
      <w:pPr>
        <w:pStyle w:val="TableNotes1"/>
        <w:rPr>
          <w:sz w:val="18"/>
          <w:szCs w:val="18"/>
        </w:rPr>
      </w:pPr>
      <w:r w:rsidRPr="00997683">
        <w:rPr>
          <w:sz w:val="18"/>
          <w:szCs w:val="18"/>
          <w:vertAlign w:val="superscript"/>
        </w:rPr>
        <w:t xml:space="preserve">1 </w:t>
      </w:r>
      <w:r w:rsidRPr="00997683">
        <w:rPr>
          <w:sz w:val="18"/>
          <w:szCs w:val="18"/>
        </w:rPr>
        <w:t xml:space="preserve">Data provided by the Medical Benefits Division, </w:t>
      </w:r>
      <w:r>
        <w:rPr>
          <w:sz w:val="18"/>
          <w:szCs w:val="18"/>
        </w:rPr>
        <w:t>Australian Government Department of Health</w:t>
      </w:r>
      <w:r w:rsidRPr="00997683">
        <w:rPr>
          <w:sz w:val="18"/>
          <w:szCs w:val="18"/>
        </w:rPr>
        <w:t>.</w:t>
      </w:r>
    </w:p>
    <w:p w14:paraId="0696BF05" w14:textId="5CBD92CC" w:rsidR="009118ED" w:rsidRDefault="00997683" w:rsidP="009118ED">
      <w:pPr>
        <w:jc w:val="both"/>
      </w:pPr>
      <w:r>
        <w:t>W</w:t>
      </w:r>
      <w:r w:rsidR="009118ED">
        <w:t xml:space="preserve">hile these resource items have been identified as associated with AMH testing, the proposal is that AMH be used </w:t>
      </w:r>
      <w:r w:rsidR="009118ED" w:rsidRPr="00997683">
        <w:rPr>
          <w:b/>
        </w:rPr>
        <w:t>in addition</w:t>
      </w:r>
      <w:r w:rsidR="009118ED">
        <w:t xml:space="preserve"> to ovarian reserve tests already in current use. Therefore</w:t>
      </w:r>
      <w:r>
        <w:t>,</w:t>
      </w:r>
      <w:r w:rsidR="009118ED">
        <w:t xml:space="preserve"> it is assumed that it will not require additi</w:t>
      </w:r>
      <w:r>
        <w:t xml:space="preserve">onal consultations for referral or </w:t>
      </w:r>
      <w:r w:rsidR="009118ED">
        <w:t>review beyond</w:t>
      </w:r>
      <w:r w:rsidR="009118ED" w:rsidRPr="00E426D4">
        <w:t xml:space="preserve"> </w:t>
      </w:r>
      <w:r w:rsidR="009118ED">
        <w:t xml:space="preserve">those that already </w:t>
      </w:r>
      <w:r>
        <w:t>occurring</w:t>
      </w:r>
      <w:r w:rsidR="009118ED">
        <w:t xml:space="preserve"> in current practice, and there would be no net change in these associated costs with t</w:t>
      </w:r>
      <w:r>
        <w:t>he proposed use of AMH testing.</w:t>
      </w:r>
    </w:p>
    <w:p w14:paraId="602ADF82" w14:textId="351EACA9" w:rsidR="009118ED" w:rsidRPr="00183E4D" w:rsidRDefault="009118ED" w:rsidP="009118ED">
      <w:pPr>
        <w:pStyle w:val="Heading2"/>
        <w:numPr>
          <w:ilvl w:val="3"/>
          <w:numId w:val="9"/>
        </w:numPr>
      </w:pPr>
      <w:bookmarkStart w:id="403" w:name="_Toc381796480"/>
      <w:bookmarkStart w:id="404" w:name="_Toc502832981"/>
      <w:r>
        <w:t>Results of</w:t>
      </w:r>
      <w:r w:rsidRPr="00183E4D">
        <w:t xml:space="preserve"> the </w:t>
      </w:r>
      <w:r w:rsidR="004446E6">
        <w:t>economic e</w:t>
      </w:r>
      <w:r w:rsidRPr="00183E4D">
        <w:t>valuation</w:t>
      </w:r>
      <w:bookmarkEnd w:id="403"/>
      <w:bookmarkEnd w:id="404"/>
    </w:p>
    <w:p w14:paraId="67CD5D02" w14:textId="21C242B3" w:rsidR="009118ED" w:rsidRPr="00183E4D" w:rsidRDefault="009118ED" w:rsidP="009118ED">
      <w:pPr>
        <w:jc w:val="both"/>
      </w:pPr>
      <w:r w:rsidRPr="00183E4D">
        <w:t xml:space="preserve">The overall costs and incremental costs as calculated for the </w:t>
      </w:r>
      <w:r>
        <w:t xml:space="preserve">proposed use of AMH </w:t>
      </w:r>
      <w:r w:rsidRPr="00183E4D">
        <w:t xml:space="preserve">and </w:t>
      </w:r>
      <w:r>
        <w:t xml:space="preserve">the </w:t>
      </w:r>
      <w:r w:rsidRPr="00183E4D">
        <w:t>comparator</w:t>
      </w:r>
      <w:r>
        <w:t xml:space="preserve"> </w:t>
      </w:r>
      <w:r w:rsidRPr="00183E4D">
        <w:t>are shown in</w:t>
      </w:r>
      <w:r>
        <w:t xml:space="preserve"> </w:t>
      </w:r>
      <w:r>
        <w:fldChar w:fldCharType="begin"/>
      </w:r>
      <w:r>
        <w:instrText xml:space="preserve"> REF _Ref496877346 \h </w:instrText>
      </w:r>
      <w:r>
        <w:fldChar w:fldCharType="separate"/>
      </w:r>
      <w:r w:rsidR="00AC4BE5">
        <w:t xml:space="preserve">Table </w:t>
      </w:r>
      <w:r w:rsidR="00AC4BE5">
        <w:rPr>
          <w:noProof/>
        </w:rPr>
        <w:t>64</w:t>
      </w:r>
      <w:r>
        <w:fldChar w:fldCharType="end"/>
      </w:r>
      <w:r w:rsidRPr="00183E4D">
        <w:t>.</w:t>
      </w:r>
      <w:r>
        <w:t xml:space="preserve"> The use of the proposed AMH test would be expected to increase the cost of current</w:t>
      </w:r>
      <w:r w:rsidR="00997683">
        <w:t xml:space="preserve"> practice by $100 per patient, </w:t>
      </w:r>
      <w:r>
        <w:t>i.e. only the proposed fee for the AMH test.</w:t>
      </w:r>
    </w:p>
    <w:p w14:paraId="4C760D50" w14:textId="2662303B" w:rsidR="009118ED" w:rsidRDefault="009118ED" w:rsidP="009118ED">
      <w:pPr>
        <w:pStyle w:val="Caption"/>
        <w:keepNext/>
      </w:pPr>
      <w:bookmarkStart w:id="405" w:name="_Ref496877346"/>
      <w:bookmarkStart w:id="406" w:name="_Toc502833082"/>
      <w:r>
        <w:t xml:space="preserve">Table </w:t>
      </w:r>
      <w:r w:rsidR="00AC4BE5">
        <w:fldChar w:fldCharType="begin"/>
      </w:r>
      <w:r w:rsidR="00AC4BE5">
        <w:instrText xml:space="preserve"> SEQ Table \* ARABIC </w:instrText>
      </w:r>
      <w:r w:rsidR="00AC4BE5">
        <w:fldChar w:fldCharType="separate"/>
      </w:r>
      <w:r w:rsidR="00AC4BE5">
        <w:rPr>
          <w:noProof/>
        </w:rPr>
        <w:t>64</w:t>
      </w:r>
      <w:r w:rsidR="00AC4BE5">
        <w:rPr>
          <w:noProof/>
        </w:rPr>
        <w:fldChar w:fldCharType="end"/>
      </w:r>
      <w:bookmarkEnd w:id="405"/>
      <w:r>
        <w:tab/>
        <w:t>Costs associated with testing ovarian</w:t>
      </w:r>
      <w:r w:rsidR="00997683">
        <w:t xml:space="preserve"> reserve, and incremental cost </w:t>
      </w:r>
      <w:r>
        <w:t>per patient</w:t>
      </w:r>
      <w:bookmarkEnd w:id="406"/>
    </w:p>
    <w:tbl>
      <w:tblPr>
        <w:tblStyle w:val="TableGrid"/>
        <w:tblW w:w="5000" w:type="pct"/>
        <w:tblLook w:val="04A0" w:firstRow="1" w:lastRow="0" w:firstColumn="1" w:lastColumn="0" w:noHBand="0" w:noVBand="1"/>
        <w:tblDescription w:val="Estimated cost per comparator service"/>
      </w:tblPr>
      <w:tblGrid>
        <w:gridCol w:w="4678"/>
        <w:gridCol w:w="2283"/>
        <w:gridCol w:w="2281"/>
      </w:tblGrid>
      <w:tr w:rsidR="009118ED" w14:paraId="1A0E3892" w14:textId="77777777" w:rsidTr="003929ED">
        <w:trPr>
          <w:tblHeader/>
        </w:trPr>
        <w:tc>
          <w:tcPr>
            <w:tcW w:w="2531" w:type="pct"/>
          </w:tcPr>
          <w:p w14:paraId="67E98C01" w14:textId="77777777" w:rsidR="009118ED" w:rsidRPr="00CF7286" w:rsidRDefault="009118ED" w:rsidP="00811281">
            <w:pPr>
              <w:pStyle w:val="TableHeading"/>
              <w:ind w:left="0"/>
              <w:rPr>
                <w:color w:val="FFFFFF" w:themeColor="background1"/>
                <w:lang w:eastAsia="en-US"/>
              </w:rPr>
            </w:pPr>
            <w:r w:rsidRPr="00CF7286">
              <w:rPr>
                <w:color w:val="FFFFFF" w:themeColor="background1"/>
                <w:lang w:eastAsia="en-US"/>
              </w:rPr>
              <w:t>-</w:t>
            </w:r>
          </w:p>
        </w:tc>
        <w:tc>
          <w:tcPr>
            <w:tcW w:w="1235" w:type="pct"/>
          </w:tcPr>
          <w:p w14:paraId="05ACE952" w14:textId="7C07F41F" w:rsidR="009118ED" w:rsidRPr="00260996" w:rsidRDefault="009118ED" w:rsidP="00AE748A">
            <w:pPr>
              <w:pStyle w:val="Tabletext1"/>
              <w:ind w:left="0"/>
              <w:rPr>
                <w:b/>
                <w:vertAlign w:val="superscript"/>
              </w:rPr>
            </w:pPr>
            <w:r w:rsidRPr="00260996">
              <w:rPr>
                <w:b/>
              </w:rPr>
              <w:t>AMH + current practice</w:t>
            </w:r>
            <w:r w:rsidR="00AE748A">
              <w:rPr>
                <w:b/>
                <w:vertAlign w:val="superscript"/>
              </w:rPr>
              <w:t>a</w:t>
            </w:r>
          </w:p>
        </w:tc>
        <w:tc>
          <w:tcPr>
            <w:tcW w:w="1234" w:type="pct"/>
          </w:tcPr>
          <w:p w14:paraId="557F91EE" w14:textId="77777777" w:rsidR="009118ED" w:rsidRPr="00260996" w:rsidRDefault="009118ED" w:rsidP="00260996">
            <w:pPr>
              <w:pStyle w:val="Tabletext1"/>
              <w:ind w:left="0"/>
              <w:rPr>
                <w:b/>
              </w:rPr>
            </w:pPr>
            <w:r w:rsidRPr="00260996">
              <w:rPr>
                <w:b/>
              </w:rPr>
              <w:t>Current practice</w:t>
            </w:r>
          </w:p>
        </w:tc>
      </w:tr>
      <w:tr w:rsidR="009118ED" w14:paraId="26D2245B" w14:textId="77777777" w:rsidTr="003929ED">
        <w:tc>
          <w:tcPr>
            <w:tcW w:w="2531" w:type="pct"/>
          </w:tcPr>
          <w:p w14:paraId="2E9CFC1A" w14:textId="77777777" w:rsidR="009118ED" w:rsidRDefault="009118ED" w:rsidP="00811281">
            <w:pPr>
              <w:pStyle w:val="Tabletext1"/>
              <w:ind w:left="0"/>
              <w:rPr>
                <w:lang w:eastAsia="en-US"/>
              </w:rPr>
            </w:pPr>
            <w:r>
              <w:rPr>
                <w:lang w:eastAsia="en-US"/>
              </w:rPr>
              <w:t>Specialist consultations for referral and review</w:t>
            </w:r>
          </w:p>
        </w:tc>
        <w:tc>
          <w:tcPr>
            <w:tcW w:w="1235" w:type="pct"/>
          </w:tcPr>
          <w:p w14:paraId="57803AB9" w14:textId="77777777" w:rsidR="009118ED" w:rsidRPr="00031338" w:rsidRDefault="009118ED" w:rsidP="00811281">
            <w:pPr>
              <w:pStyle w:val="Tabletext1"/>
              <w:ind w:left="0"/>
            </w:pPr>
            <w:r>
              <w:t>$128.55</w:t>
            </w:r>
          </w:p>
        </w:tc>
        <w:tc>
          <w:tcPr>
            <w:tcW w:w="1234" w:type="pct"/>
            <w:vAlign w:val="bottom"/>
          </w:tcPr>
          <w:p w14:paraId="6D59BDC5" w14:textId="77777777" w:rsidR="009118ED" w:rsidRDefault="009118ED" w:rsidP="00811281">
            <w:pPr>
              <w:pStyle w:val="Tabletext1"/>
              <w:ind w:left="0"/>
            </w:pPr>
            <w:r>
              <w:t>$128.55</w:t>
            </w:r>
          </w:p>
        </w:tc>
      </w:tr>
      <w:tr w:rsidR="009118ED" w14:paraId="7C88D03C" w14:textId="77777777" w:rsidTr="003929ED">
        <w:tc>
          <w:tcPr>
            <w:tcW w:w="2531" w:type="pct"/>
          </w:tcPr>
          <w:p w14:paraId="66C97F36" w14:textId="77777777" w:rsidR="009118ED" w:rsidRDefault="009118ED" w:rsidP="00811281">
            <w:pPr>
              <w:pStyle w:val="Tabletext1"/>
              <w:ind w:left="0"/>
              <w:rPr>
                <w:lang w:eastAsia="en-US"/>
              </w:rPr>
            </w:pPr>
            <w:r>
              <w:rPr>
                <w:lang w:eastAsia="en-US"/>
              </w:rPr>
              <w:t>Test costs</w:t>
            </w:r>
          </w:p>
        </w:tc>
        <w:tc>
          <w:tcPr>
            <w:tcW w:w="1235" w:type="pct"/>
          </w:tcPr>
          <w:p w14:paraId="5B2237BF" w14:textId="77777777" w:rsidR="009118ED" w:rsidRPr="00031338" w:rsidRDefault="009118ED" w:rsidP="00811281">
            <w:pPr>
              <w:pStyle w:val="Tabletext1"/>
              <w:ind w:left="0"/>
            </w:pPr>
            <w:r>
              <w:t>$266.74</w:t>
            </w:r>
          </w:p>
        </w:tc>
        <w:tc>
          <w:tcPr>
            <w:tcW w:w="1234" w:type="pct"/>
            <w:vAlign w:val="bottom"/>
          </w:tcPr>
          <w:p w14:paraId="4AC18143" w14:textId="77777777" w:rsidR="009118ED" w:rsidRDefault="009118ED" w:rsidP="00811281">
            <w:pPr>
              <w:pStyle w:val="Tabletext1"/>
              <w:ind w:left="0"/>
            </w:pPr>
            <w:r>
              <w:t>$166.74</w:t>
            </w:r>
          </w:p>
        </w:tc>
      </w:tr>
      <w:tr w:rsidR="009118ED" w:rsidRPr="009C3C93" w14:paraId="01030A51" w14:textId="77777777" w:rsidTr="003929ED">
        <w:tc>
          <w:tcPr>
            <w:tcW w:w="2531" w:type="pct"/>
          </w:tcPr>
          <w:p w14:paraId="27A99964" w14:textId="77777777" w:rsidR="009118ED" w:rsidRPr="009C3C93" w:rsidRDefault="009118ED" w:rsidP="00811281">
            <w:pPr>
              <w:pStyle w:val="Tabletext1"/>
              <w:ind w:left="0"/>
              <w:rPr>
                <w:lang w:eastAsia="en-US"/>
              </w:rPr>
            </w:pPr>
            <w:r w:rsidRPr="009C3C93">
              <w:rPr>
                <w:lang w:eastAsia="en-US"/>
              </w:rPr>
              <w:t>Total cost per patient</w:t>
            </w:r>
          </w:p>
        </w:tc>
        <w:tc>
          <w:tcPr>
            <w:tcW w:w="1235" w:type="pct"/>
            <w:tcBorders>
              <w:top w:val="double" w:sz="4" w:space="0" w:color="auto"/>
              <w:bottom w:val="single" w:sz="4" w:space="0" w:color="auto"/>
            </w:tcBorders>
          </w:tcPr>
          <w:p w14:paraId="306E5417" w14:textId="77777777" w:rsidR="009118ED" w:rsidRPr="009C3C93" w:rsidRDefault="009118ED" w:rsidP="00811281">
            <w:pPr>
              <w:pStyle w:val="Tabletext1"/>
              <w:ind w:left="0"/>
            </w:pPr>
            <w:r>
              <w:t>$</w:t>
            </w:r>
            <w:r w:rsidRPr="009C3C93">
              <w:t>3</w:t>
            </w:r>
            <w:r>
              <w:t>95.29</w:t>
            </w:r>
          </w:p>
        </w:tc>
        <w:tc>
          <w:tcPr>
            <w:tcW w:w="1234" w:type="pct"/>
            <w:tcBorders>
              <w:top w:val="double" w:sz="4" w:space="0" w:color="auto"/>
              <w:bottom w:val="single" w:sz="4" w:space="0" w:color="auto"/>
            </w:tcBorders>
            <w:vAlign w:val="bottom"/>
          </w:tcPr>
          <w:p w14:paraId="139CCA21" w14:textId="77777777" w:rsidR="009118ED" w:rsidRPr="009C3C93" w:rsidRDefault="009118ED" w:rsidP="00811281">
            <w:pPr>
              <w:pStyle w:val="Tabletext1"/>
              <w:ind w:left="0"/>
            </w:pPr>
            <w:r w:rsidRPr="009C3C93">
              <w:t>$2</w:t>
            </w:r>
            <w:r>
              <w:t>95.29</w:t>
            </w:r>
          </w:p>
        </w:tc>
      </w:tr>
      <w:tr w:rsidR="009118ED" w:rsidRPr="00CE30AB" w14:paraId="7BCBCBD3" w14:textId="77777777" w:rsidTr="003929ED">
        <w:tc>
          <w:tcPr>
            <w:tcW w:w="2531" w:type="pct"/>
          </w:tcPr>
          <w:p w14:paraId="6CAF6CFC" w14:textId="77777777" w:rsidR="009118ED" w:rsidRPr="00CE30AB" w:rsidRDefault="009118ED" w:rsidP="00811281">
            <w:pPr>
              <w:pStyle w:val="Tabletext1"/>
              <w:ind w:left="0"/>
              <w:rPr>
                <w:b/>
                <w:lang w:eastAsia="en-US"/>
              </w:rPr>
            </w:pPr>
            <w:r>
              <w:rPr>
                <w:b/>
                <w:lang w:eastAsia="en-US"/>
              </w:rPr>
              <w:t>Incremental cost per patient</w:t>
            </w:r>
          </w:p>
        </w:tc>
        <w:tc>
          <w:tcPr>
            <w:tcW w:w="1235" w:type="pct"/>
            <w:tcBorders>
              <w:right w:val="nil"/>
            </w:tcBorders>
          </w:tcPr>
          <w:p w14:paraId="20F4FC28" w14:textId="77777777" w:rsidR="009118ED" w:rsidRPr="00CE30AB" w:rsidRDefault="009118ED" w:rsidP="00811281">
            <w:pPr>
              <w:pStyle w:val="Tabletext1"/>
              <w:ind w:left="0"/>
              <w:rPr>
                <w:b/>
              </w:rPr>
            </w:pPr>
          </w:p>
        </w:tc>
        <w:tc>
          <w:tcPr>
            <w:tcW w:w="1234" w:type="pct"/>
            <w:tcBorders>
              <w:left w:val="nil"/>
            </w:tcBorders>
            <w:vAlign w:val="bottom"/>
          </w:tcPr>
          <w:p w14:paraId="717A4C3E" w14:textId="77777777" w:rsidR="009118ED" w:rsidRPr="00CE30AB" w:rsidRDefault="009118ED" w:rsidP="00811281">
            <w:pPr>
              <w:pStyle w:val="Tabletext1"/>
              <w:ind w:left="0"/>
              <w:rPr>
                <w:b/>
              </w:rPr>
            </w:pPr>
            <w:r>
              <w:rPr>
                <w:b/>
              </w:rPr>
              <w:t>$100.00</w:t>
            </w:r>
          </w:p>
        </w:tc>
      </w:tr>
    </w:tbl>
    <w:p w14:paraId="344B883E" w14:textId="5EB9840B" w:rsidR="009118ED" w:rsidRDefault="00997683" w:rsidP="00997683">
      <w:pPr>
        <w:pStyle w:val="TableNotes1"/>
        <w:spacing w:after="0"/>
        <w:rPr>
          <w:sz w:val="18"/>
          <w:szCs w:val="18"/>
        </w:rPr>
      </w:pPr>
      <w:r>
        <w:rPr>
          <w:sz w:val="18"/>
          <w:szCs w:val="18"/>
        </w:rPr>
        <w:t>AMH = a</w:t>
      </w:r>
      <w:r w:rsidR="009118ED" w:rsidRPr="00997683">
        <w:rPr>
          <w:sz w:val="18"/>
          <w:szCs w:val="18"/>
        </w:rPr>
        <w:t>nti-Müllerian hormone; AFC = antral follicle count; E2 = estradiol; FSH = follicle</w:t>
      </w:r>
      <w:r w:rsidR="00DE6DD5">
        <w:rPr>
          <w:sz w:val="18"/>
          <w:szCs w:val="18"/>
        </w:rPr>
        <w:t>-</w:t>
      </w:r>
      <w:r w:rsidR="009118ED" w:rsidRPr="00997683">
        <w:rPr>
          <w:sz w:val="18"/>
          <w:szCs w:val="18"/>
        </w:rPr>
        <w:t>stimulating hormone</w:t>
      </w:r>
    </w:p>
    <w:p w14:paraId="430C9779" w14:textId="12A5DE5B" w:rsidR="00997683" w:rsidRPr="00997683" w:rsidRDefault="00AE748A" w:rsidP="009118ED">
      <w:pPr>
        <w:pStyle w:val="TableNotes1"/>
        <w:rPr>
          <w:sz w:val="18"/>
          <w:szCs w:val="18"/>
        </w:rPr>
      </w:pPr>
      <w:r>
        <w:rPr>
          <w:sz w:val="18"/>
          <w:szCs w:val="18"/>
          <w:vertAlign w:val="superscript"/>
        </w:rPr>
        <w:t>a</w:t>
      </w:r>
      <w:r w:rsidR="00997683" w:rsidRPr="00997683">
        <w:rPr>
          <w:sz w:val="18"/>
          <w:szCs w:val="18"/>
        </w:rPr>
        <w:t xml:space="preserve"> AFC and FSH+E2 measurements are considered as current practice for ovarian reserve testing and the intervention includes all these tests and AMH.</w:t>
      </w:r>
    </w:p>
    <w:p w14:paraId="50B6744F" w14:textId="77777777" w:rsidR="009118ED" w:rsidRDefault="009118ED" w:rsidP="009118ED">
      <w:pPr>
        <w:pStyle w:val="Heading2"/>
        <w:numPr>
          <w:ilvl w:val="3"/>
          <w:numId w:val="9"/>
        </w:numPr>
      </w:pPr>
      <w:bookmarkStart w:id="407" w:name="_Toc502832982"/>
      <w:bookmarkStart w:id="408" w:name="_Ref378943976"/>
      <w:r w:rsidRPr="00183E4D">
        <w:t>Sensitivity analyses</w:t>
      </w:r>
      <w:bookmarkEnd w:id="407"/>
    </w:p>
    <w:p w14:paraId="0298E6FA" w14:textId="2F0FF92B" w:rsidR="009118ED" w:rsidRPr="00183E4D" w:rsidRDefault="009118ED" w:rsidP="009118ED">
      <w:pPr>
        <w:jc w:val="both"/>
      </w:pPr>
      <w:r>
        <w:t>The base</w:t>
      </w:r>
      <w:r w:rsidR="00DF36E4">
        <w:t xml:space="preserve"> </w:t>
      </w:r>
      <w:r>
        <w:t>case analysis assumes AMH is used as an additiona</w:t>
      </w:r>
      <w:r w:rsidR="00997683">
        <w:t>l test to the current practice, i.e. AFC and FSH+E2</w:t>
      </w:r>
      <w:r>
        <w:t xml:space="preserve">. However, alternative scenarios where AMH replaces one of the existing tests used to estimate ovarian reserve are costed. These are presented in </w:t>
      </w:r>
      <w:r>
        <w:fldChar w:fldCharType="begin"/>
      </w:r>
      <w:r>
        <w:instrText xml:space="preserve"> REF _Ref497121181 \h  \* MERGEFORMAT </w:instrText>
      </w:r>
      <w:r>
        <w:fldChar w:fldCharType="separate"/>
      </w:r>
      <w:r w:rsidR="00AC4BE5">
        <w:t xml:space="preserve">Table </w:t>
      </w:r>
      <w:r w:rsidR="00AC4BE5">
        <w:rPr>
          <w:noProof/>
        </w:rPr>
        <w:t>65</w:t>
      </w:r>
      <w:r>
        <w:fldChar w:fldCharType="end"/>
      </w:r>
      <w:r w:rsidR="00997683">
        <w:t>.</w:t>
      </w:r>
    </w:p>
    <w:p w14:paraId="3EE1A3FE" w14:textId="3212784F" w:rsidR="009118ED" w:rsidRDefault="009118ED" w:rsidP="009118ED">
      <w:pPr>
        <w:pStyle w:val="Caption"/>
        <w:keepNext/>
      </w:pPr>
      <w:bookmarkStart w:id="409" w:name="_Ref497121181"/>
      <w:bookmarkStart w:id="410" w:name="_Toc502833083"/>
      <w:r>
        <w:lastRenderedPageBreak/>
        <w:t xml:space="preserve">Table </w:t>
      </w:r>
      <w:r w:rsidR="00AC4BE5">
        <w:fldChar w:fldCharType="begin"/>
      </w:r>
      <w:r w:rsidR="00AC4BE5">
        <w:instrText xml:space="preserve"> SEQ Table \* ARABIC </w:instrText>
      </w:r>
      <w:r w:rsidR="00AC4BE5">
        <w:fldChar w:fldCharType="separate"/>
      </w:r>
      <w:r w:rsidR="00AC4BE5">
        <w:rPr>
          <w:noProof/>
        </w:rPr>
        <w:t>65</w:t>
      </w:r>
      <w:r w:rsidR="00AC4BE5">
        <w:rPr>
          <w:noProof/>
        </w:rPr>
        <w:fldChar w:fldCharType="end"/>
      </w:r>
      <w:bookmarkEnd w:id="409"/>
      <w:r>
        <w:tab/>
        <w:t>Scenario analyses: AMH is used as replace</w:t>
      </w:r>
      <w:r w:rsidR="00997683">
        <w:t>ment test to either AFC, or FSH+</w:t>
      </w:r>
      <w:r>
        <w:t>E2</w:t>
      </w:r>
      <w:bookmarkEnd w:id="410"/>
    </w:p>
    <w:tbl>
      <w:tblPr>
        <w:tblStyle w:val="TableGrid"/>
        <w:tblW w:w="5002" w:type="pct"/>
        <w:tblLook w:val="04A0" w:firstRow="1" w:lastRow="0" w:firstColumn="1" w:lastColumn="0" w:noHBand="0" w:noVBand="1"/>
        <w:tblDescription w:val="Estimated cost per comparator service"/>
      </w:tblPr>
      <w:tblGrid>
        <w:gridCol w:w="3046"/>
        <w:gridCol w:w="1600"/>
        <w:gridCol w:w="2300"/>
        <w:gridCol w:w="2300"/>
      </w:tblGrid>
      <w:tr w:rsidR="009118ED" w14:paraId="25DD27DC" w14:textId="77777777" w:rsidTr="003929ED">
        <w:trPr>
          <w:tblHeader/>
        </w:trPr>
        <w:tc>
          <w:tcPr>
            <w:tcW w:w="1647" w:type="pct"/>
          </w:tcPr>
          <w:p w14:paraId="715D1054" w14:textId="77777777" w:rsidR="009118ED" w:rsidRPr="00260996" w:rsidRDefault="009118ED" w:rsidP="00260996">
            <w:pPr>
              <w:pStyle w:val="TableText0"/>
              <w:ind w:left="0"/>
              <w:rPr>
                <w:b/>
                <w:color w:val="FFFFFF" w:themeColor="background1"/>
              </w:rPr>
            </w:pPr>
            <w:r w:rsidRPr="00260996">
              <w:rPr>
                <w:b/>
              </w:rPr>
              <w:t>Scenario:</w:t>
            </w:r>
          </w:p>
        </w:tc>
        <w:tc>
          <w:tcPr>
            <w:tcW w:w="865" w:type="pct"/>
          </w:tcPr>
          <w:p w14:paraId="1A485B2E" w14:textId="5D09B41B" w:rsidR="009118ED" w:rsidRPr="00260996" w:rsidRDefault="009118ED" w:rsidP="00AE748A">
            <w:pPr>
              <w:pStyle w:val="TableText0"/>
              <w:ind w:left="0"/>
              <w:rPr>
                <w:b/>
              </w:rPr>
            </w:pPr>
            <w:r w:rsidRPr="00260996">
              <w:rPr>
                <w:b/>
              </w:rPr>
              <w:t>Current practice</w:t>
            </w:r>
            <w:r w:rsidR="00AE748A">
              <w:rPr>
                <w:b/>
                <w:vertAlign w:val="superscript"/>
              </w:rPr>
              <w:t>a</w:t>
            </w:r>
          </w:p>
        </w:tc>
        <w:tc>
          <w:tcPr>
            <w:tcW w:w="1244" w:type="pct"/>
          </w:tcPr>
          <w:p w14:paraId="64DEC681" w14:textId="77777777" w:rsidR="009118ED" w:rsidRPr="00260996" w:rsidRDefault="009118ED" w:rsidP="00260996">
            <w:pPr>
              <w:pStyle w:val="TableText0"/>
              <w:ind w:left="0"/>
              <w:rPr>
                <w:b/>
              </w:rPr>
            </w:pPr>
            <w:r w:rsidRPr="00260996">
              <w:rPr>
                <w:b/>
              </w:rPr>
              <w:t>AMH replacing AFC</w:t>
            </w:r>
          </w:p>
        </w:tc>
        <w:tc>
          <w:tcPr>
            <w:tcW w:w="1244" w:type="pct"/>
          </w:tcPr>
          <w:p w14:paraId="5172380D" w14:textId="77777777" w:rsidR="009118ED" w:rsidRPr="00260996" w:rsidRDefault="009118ED" w:rsidP="00260996">
            <w:pPr>
              <w:pStyle w:val="TableText0"/>
              <w:ind w:left="0"/>
              <w:rPr>
                <w:b/>
              </w:rPr>
            </w:pPr>
            <w:r w:rsidRPr="00260996">
              <w:rPr>
                <w:b/>
              </w:rPr>
              <w:t>AMH replacing FSH+E2</w:t>
            </w:r>
          </w:p>
        </w:tc>
      </w:tr>
      <w:tr w:rsidR="009118ED" w14:paraId="2D640E34" w14:textId="77777777" w:rsidTr="003929ED">
        <w:trPr>
          <w:tblHeader/>
        </w:trPr>
        <w:tc>
          <w:tcPr>
            <w:tcW w:w="1647" w:type="pct"/>
          </w:tcPr>
          <w:p w14:paraId="304EF44C" w14:textId="77777777" w:rsidR="009118ED" w:rsidRPr="009A1B4C" w:rsidRDefault="009118ED" w:rsidP="00260996">
            <w:pPr>
              <w:pStyle w:val="TableText0"/>
              <w:rPr>
                <w:color w:val="FFFFFF" w:themeColor="background1"/>
              </w:rPr>
            </w:pPr>
            <w:r w:rsidRPr="009A1B4C">
              <w:t>Test combinations</w:t>
            </w:r>
          </w:p>
        </w:tc>
        <w:tc>
          <w:tcPr>
            <w:tcW w:w="865" w:type="pct"/>
          </w:tcPr>
          <w:p w14:paraId="5FFEC520" w14:textId="77777777" w:rsidR="009118ED" w:rsidRPr="009A1B4C" w:rsidRDefault="009118ED" w:rsidP="00260996">
            <w:pPr>
              <w:pStyle w:val="TableText0"/>
              <w:ind w:left="0"/>
            </w:pPr>
            <w:r w:rsidRPr="009A1B4C">
              <w:t xml:space="preserve">AFC and FSH+E2 </w:t>
            </w:r>
          </w:p>
        </w:tc>
        <w:tc>
          <w:tcPr>
            <w:tcW w:w="1244" w:type="pct"/>
          </w:tcPr>
          <w:p w14:paraId="4BDD3B55" w14:textId="77777777" w:rsidR="009118ED" w:rsidRPr="009A1B4C" w:rsidRDefault="009118ED" w:rsidP="00260996">
            <w:pPr>
              <w:pStyle w:val="TableText0"/>
              <w:ind w:left="0"/>
              <w:rPr>
                <w:vertAlign w:val="superscript"/>
              </w:rPr>
            </w:pPr>
            <w:r w:rsidRPr="009A1B4C">
              <w:t>AMH and FSH+E2</w:t>
            </w:r>
          </w:p>
        </w:tc>
        <w:tc>
          <w:tcPr>
            <w:tcW w:w="1244" w:type="pct"/>
          </w:tcPr>
          <w:p w14:paraId="013A1C80" w14:textId="77777777" w:rsidR="009118ED" w:rsidRPr="009A1B4C" w:rsidRDefault="009118ED" w:rsidP="00260996">
            <w:pPr>
              <w:pStyle w:val="TableText0"/>
              <w:ind w:left="0"/>
            </w:pPr>
            <w:r w:rsidRPr="009A1B4C">
              <w:t>AMH and AFC</w:t>
            </w:r>
          </w:p>
        </w:tc>
      </w:tr>
      <w:tr w:rsidR="009118ED" w14:paraId="21C7721D" w14:textId="77777777" w:rsidTr="003929ED">
        <w:tc>
          <w:tcPr>
            <w:tcW w:w="1647" w:type="pct"/>
          </w:tcPr>
          <w:p w14:paraId="7281A11A" w14:textId="77777777" w:rsidR="009118ED" w:rsidRDefault="009118ED" w:rsidP="00260996">
            <w:pPr>
              <w:pStyle w:val="TableText0"/>
            </w:pPr>
            <w:r>
              <w:t xml:space="preserve">Specialist consultations </w:t>
            </w:r>
          </w:p>
        </w:tc>
        <w:tc>
          <w:tcPr>
            <w:tcW w:w="865" w:type="pct"/>
          </w:tcPr>
          <w:p w14:paraId="720E6155" w14:textId="77777777" w:rsidR="009118ED" w:rsidRDefault="009118ED" w:rsidP="00260996">
            <w:pPr>
              <w:pStyle w:val="TableText0"/>
              <w:ind w:left="0"/>
              <w:rPr>
                <w:color w:val="000000"/>
              </w:rPr>
            </w:pPr>
            <w:r>
              <w:t>$128.55</w:t>
            </w:r>
          </w:p>
        </w:tc>
        <w:tc>
          <w:tcPr>
            <w:tcW w:w="1244" w:type="pct"/>
            <w:vAlign w:val="center"/>
          </w:tcPr>
          <w:p w14:paraId="2CB8FE47" w14:textId="77777777" w:rsidR="009118ED" w:rsidRPr="00031338" w:rsidRDefault="009118ED" w:rsidP="00260996">
            <w:pPr>
              <w:pStyle w:val="TableText0"/>
              <w:ind w:left="0"/>
            </w:pPr>
            <w:r>
              <w:t>$128.55</w:t>
            </w:r>
          </w:p>
        </w:tc>
        <w:tc>
          <w:tcPr>
            <w:tcW w:w="1244" w:type="pct"/>
            <w:vAlign w:val="center"/>
          </w:tcPr>
          <w:p w14:paraId="4FFFC222" w14:textId="77777777" w:rsidR="009118ED" w:rsidRDefault="009118ED" w:rsidP="00260996">
            <w:pPr>
              <w:pStyle w:val="TableText0"/>
              <w:ind w:left="0"/>
            </w:pPr>
            <w:r>
              <w:t>$128.55</w:t>
            </w:r>
          </w:p>
        </w:tc>
      </w:tr>
      <w:tr w:rsidR="009118ED" w14:paraId="684BBFF9" w14:textId="77777777" w:rsidTr="003929ED">
        <w:tc>
          <w:tcPr>
            <w:tcW w:w="1647" w:type="pct"/>
          </w:tcPr>
          <w:p w14:paraId="7B717B41" w14:textId="77777777" w:rsidR="009118ED" w:rsidRDefault="009118ED" w:rsidP="00260996">
            <w:pPr>
              <w:pStyle w:val="TableText0"/>
            </w:pPr>
            <w:r>
              <w:t>Test costs</w:t>
            </w:r>
          </w:p>
        </w:tc>
        <w:tc>
          <w:tcPr>
            <w:tcW w:w="865" w:type="pct"/>
            <w:vAlign w:val="center"/>
          </w:tcPr>
          <w:p w14:paraId="4B9259B5" w14:textId="77777777" w:rsidR="009118ED" w:rsidRDefault="009118ED" w:rsidP="00260996">
            <w:pPr>
              <w:pStyle w:val="TableText0"/>
              <w:ind w:left="0"/>
              <w:rPr>
                <w:color w:val="000000"/>
              </w:rPr>
            </w:pPr>
            <w:r>
              <w:rPr>
                <w:color w:val="000000"/>
              </w:rPr>
              <w:t>$166.74</w:t>
            </w:r>
          </w:p>
        </w:tc>
        <w:tc>
          <w:tcPr>
            <w:tcW w:w="1244" w:type="pct"/>
            <w:vAlign w:val="center"/>
          </w:tcPr>
          <w:p w14:paraId="48886093" w14:textId="77777777" w:rsidR="009118ED" w:rsidRPr="00031338" w:rsidRDefault="009118ED" w:rsidP="00260996">
            <w:pPr>
              <w:pStyle w:val="TableText0"/>
              <w:ind w:left="0"/>
            </w:pPr>
            <w:r>
              <w:rPr>
                <w:color w:val="000000"/>
              </w:rPr>
              <w:t>$149.72</w:t>
            </w:r>
          </w:p>
        </w:tc>
        <w:tc>
          <w:tcPr>
            <w:tcW w:w="1244" w:type="pct"/>
            <w:vAlign w:val="center"/>
          </w:tcPr>
          <w:p w14:paraId="32EDCFDA" w14:textId="77777777" w:rsidR="009118ED" w:rsidRDefault="009118ED" w:rsidP="00260996">
            <w:pPr>
              <w:pStyle w:val="TableText0"/>
              <w:ind w:left="0"/>
            </w:pPr>
            <w:r>
              <w:rPr>
                <w:color w:val="000000"/>
              </w:rPr>
              <w:t>$217.02</w:t>
            </w:r>
          </w:p>
        </w:tc>
      </w:tr>
      <w:tr w:rsidR="009118ED" w:rsidRPr="009C3C93" w14:paraId="6011A56B" w14:textId="77777777" w:rsidTr="003929ED">
        <w:tc>
          <w:tcPr>
            <w:tcW w:w="1647" w:type="pct"/>
          </w:tcPr>
          <w:p w14:paraId="3D10B53C" w14:textId="77777777" w:rsidR="009118ED" w:rsidRPr="009C3C93" w:rsidRDefault="009118ED" w:rsidP="00260996">
            <w:pPr>
              <w:pStyle w:val="TableText0"/>
            </w:pPr>
            <w:r w:rsidRPr="009C3C93">
              <w:t>Total cost per patient</w:t>
            </w:r>
          </w:p>
        </w:tc>
        <w:tc>
          <w:tcPr>
            <w:tcW w:w="865" w:type="pct"/>
            <w:tcBorders>
              <w:top w:val="double" w:sz="4" w:space="0" w:color="auto"/>
            </w:tcBorders>
            <w:vAlign w:val="center"/>
          </w:tcPr>
          <w:p w14:paraId="4505895A" w14:textId="77777777" w:rsidR="009118ED" w:rsidRDefault="009118ED" w:rsidP="00260996">
            <w:pPr>
              <w:pStyle w:val="TableText0"/>
              <w:ind w:left="0"/>
              <w:rPr>
                <w:color w:val="000000"/>
              </w:rPr>
            </w:pPr>
            <w:r>
              <w:rPr>
                <w:color w:val="000000"/>
              </w:rPr>
              <w:t>$295.29</w:t>
            </w:r>
          </w:p>
        </w:tc>
        <w:tc>
          <w:tcPr>
            <w:tcW w:w="1244" w:type="pct"/>
            <w:tcBorders>
              <w:top w:val="double" w:sz="4" w:space="0" w:color="auto"/>
              <w:bottom w:val="single" w:sz="4" w:space="0" w:color="auto"/>
            </w:tcBorders>
            <w:vAlign w:val="center"/>
          </w:tcPr>
          <w:p w14:paraId="00731146" w14:textId="77777777" w:rsidR="009118ED" w:rsidRPr="009C3C93" w:rsidRDefault="009118ED" w:rsidP="00260996">
            <w:pPr>
              <w:pStyle w:val="TableText0"/>
              <w:ind w:left="0"/>
            </w:pPr>
            <w:r>
              <w:rPr>
                <w:color w:val="000000"/>
              </w:rPr>
              <w:t>$278.27</w:t>
            </w:r>
          </w:p>
        </w:tc>
        <w:tc>
          <w:tcPr>
            <w:tcW w:w="1244" w:type="pct"/>
            <w:tcBorders>
              <w:top w:val="double" w:sz="4" w:space="0" w:color="auto"/>
              <w:bottom w:val="single" w:sz="4" w:space="0" w:color="auto"/>
            </w:tcBorders>
            <w:vAlign w:val="center"/>
          </w:tcPr>
          <w:p w14:paraId="596A5A28" w14:textId="77777777" w:rsidR="009118ED" w:rsidRPr="009C3C93" w:rsidRDefault="009118ED" w:rsidP="00260996">
            <w:pPr>
              <w:pStyle w:val="TableText0"/>
              <w:ind w:left="0"/>
            </w:pPr>
            <w:r>
              <w:rPr>
                <w:color w:val="000000"/>
              </w:rPr>
              <w:t>$345.57</w:t>
            </w:r>
          </w:p>
        </w:tc>
      </w:tr>
      <w:tr w:rsidR="009118ED" w:rsidRPr="00CE30AB" w14:paraId="691DE3B5" w14:textId="77777777" w:rsidTr="003929ED">
        <w:tc>
          <w:tcPr>
            <w:tcW w:w="1647" w:type="pct"/>
          </w:tcPr>
          <w:p w14:paraId="2003ECF7" w14:textId="77777777" w:rsidR="009118ED" w:rsidRPr="00CE30AB" w:rsidRDefault="009118ED" w:rsidP="00811281">
            <w:pPr>
              <w:pStyle w:val="Tabletext1"/>
              <w:ind w:left="0"/>
              <w:rPr>
                <w:b/>
                <w:lang w:eastAsia="en-US"/>
              </w:rPr>
            </w:pPr>
            <w:r>
              <w:rPr>
                <w:b/>
                <w:lang w:eastAsia="en-US"/>
              </w:rPr>
              <w:t>Incremental cost per patient compared with current practice</w:t>
            </w:r>
          </w:p>
        </w:tc>
        <w:tc>
          <w:tcPr>
            <w:tcW w:w="865" w:type="pct"/>
            <w:vAlign w:val="center"/>
          </w:tcPr>
          <w:p w14:paraId="51A67335" w14:textId="77777777" w:rsidR="009118ED" w:rsidRDefault="009118ED" w:rsidP="00811281">
            <w:pPr>
              <w:pStyle w:val="Tabletext1"/>
              <w:ind w:left="0"/>
              <w:rPr>
                <w:b/>
                <w:bCs/>
              </w:rPr>
            </w:pPr>
            <w:r>
              <w:rPr>
                <w:b/>
              </w:rPr>
              <w:t>-</w:t>
            </w:r>
          </w:p>
        </w:tc>
        <w:tc>
          <w:tcPr>
            <w:tcW w:w="1244" w:type="pct"/>
            <w:tcBorders>
              <w:right w:val="nil"/>
            </w:tcBorders>
            <w:vAlign w:val="center"/>
          </w:tcPr>
          <w:p w14:paraId="799E89EC" w14:textId="16F4F51D" w:rsidR="009118ED" w:rsidRPr="00CE30AB" w:rsidRDefault="00997683" w:rsidP="00811281">
            <w:pPr>
              <w:pStyle w:val="Tabletext1"/>
              <w:ind w:left="0"/>
              <w:rPr>
                <w:b/>
              </w:rPr>
            </w:pPr>
            <w:r>
              <w:rPr>
                <w:b/>
                <w:bCs/>
              </w:rPr>
              <w:t>-</w:t>
            </w:r>
            <w:r w:rsidR="009118ED" w:rsidRPr="00584282">
              <w:rPr>
                <w:b/>
                <w:bCs/>
              </w:rPr>
              <w:t>$17.02</w:t>
            </w:r>
          </w:p>
        </w:tc>
        <w:tc>
          <w:tcPr>
            <w:tcW w:w="1244" w:type="pct"/>
            <w:tcBorders>
              <w:right w:val="single" w:sz="4" w:space="0" w:color="auto"/>
            </w:tcBorders>
            <w:vAlign w:val="center"/>
          </w:tcPr>
          <w:p w14:paraId="521E227D" w14:textId="77777777" w:rsidR="009118ED" w:rsidRDefault="009118ED" w:rsidP="00811281">
            <w:pPr>
              <w:pStyle w:val="Tabletext1"/>
              <w:ind w:left="0"/>
              <w:rPr>
                <w:b/>
              </w:rPr>
            </w:pPr>
            <w:r>
              <w:rPr>
                <w:b/>
                <w:bCs/>
                <w:color w:val="000000"/>
              </w:rPr>
              <w:t>$50.28</w:t>
            </w:r>
          </w:p>
        </w:tc>
      </w:tr>
    </w:tbl>
    <w:p w14:paraId="625BF2F6" w14:textId="1D415AFE" w:rsidR="009118ED" w:rsidRPr="00951C12" w:rsidRDefault="00997683" w:rsidP="00997683">
      <w:pPr>
        <w:pStyle w:val="TableNotes1"/>
        <w:spacing w:before="0" w:after="0"/>
        <w:rPr>
          <w:sz w:val="18"/>
          <w:szCs w:val="18"/>
        </w:rPr>
      </w:pPr>
      <w:r w:rsidRPr="00951C12">
        <w:rPr>
          <w:sz w:val="18"/>
          <w:szCs w:val="18"/>
        </w:rPr>
        <w:t>AMH = a</w:t>
      </w:r>
      <w:r w:rsidR="009118ED" w:rsidRPr="00951C12">
        <w:rPr>
          <w:sz w:val="18"/>
          <w:szCs w:val="18"/>
        </w:rPr>
        <w:t>nti-Müllerian hormone; AFC = antral follicle count; E2 = estradiol; FSH = follicle</w:t>
      </w:r>
      <w:r w:rsidR="00DE6DD5">
        <w:rPr>
          <w:sz w:val="18"/>
          <w:szCs w:val="18"/>
        </w:rPr>
        <w:t>-</w:t>
      </w:r>
      <w:r w:rsidR="009118ED" w:rsidRPr="00951C12">
        <w:rPr>
          <w:sz w:val="18"/>
          <w:szCs w:val="18"/>
        </w:rPr>
        <w:t>stimulating hormone</w:t>
      </w:r>
    </w:p>
    <w:p w14:paraId="7E04AD11" w14:textId="5BF53126" w:rsidR="00997683" w:rsidRPr="00951C12" w:rsidRDefault="00AE748A" w:rsidP="00997683">
      <w:pPr>
        <w:pStyle w:val="TableNotes1"/>
        <w:spacing w:before="0"/>
        <w:rPr>
          <w:sz w:val="18"/>
          <w:szCs w:val="18"/>
        </w:rPr>
      </w:pPr>
      <w:r>
        <w:rPr>
          <w:sz w:val="18"/>
          <w:szCs w:val="18"/>
          <w:vertAlign w:val="superscript"/>
        </w:rPr>
        <w:t>a</w:t>
      </w:r>
      <w:r w:rsidR="00997683" w:rsidRPr="00951C12">
        <w:rPr>
          <w:sz w:val="18"/>
          <w:szCs w:val="18"/>
        </w:rPr>
        <w:t xml:space="preserve"> AFC and FSH+E2 measurements are considered as current practice for ovarian reserve testing.</w:t>
      </w:r>
    </w:p>
    <w:p w14:paraId="69B149E7" w14:textId="77777777" w:rsidR="00822811" w:rsidRDefault="009118ED" w:rsidP="00822811">
      <w:pPr>
        <w:jc w:val="both"/>
      </w:pPr>
      <w:r>
        <w:t>If AMH were to replace AFC in current practice</w:t>
      </w:r>
      <w:r w:rsidR="00997683">
        <w:t>,</w:t>
      </w:r>
      <w:r>
        <w:t xml:space="preserve"> it </w:t>
      </w:r>
      <w:r w:rsidR="00997683">
        <w:t>would</w:t>
      </w:r>
      <w:r>
        <w:t xml:space="preserve"> result in a cost saving of $17 per patient. However, if A</w:t>
      </w:r>
      <w:r w:rsidR="00997683">
        <w:t xml:space="preserve">MH were used to replace FSH+E2, </w:t>
      </w:r>
      <w:r>
        <w:t>i.e. proposed intervention being</w:t>
      </w:r>
      <w:r w:rsidR="00997683">
        <w:t xml:space="preserve"> the use of AMH and AFC</w:t>
      </w:r>
      <w:r>
        <w:t>, there would still be a net increase in costs of approximately</w:t>
      </w:r>
      <w:r w:rsidR="00997683">
        <w:t xml:space="preserve"> $50 per </w:t>
      </w:r>
      <w:r w:rsidR="00822811">
        <w:t>patient.</w:t>
      </w:r>
      <w:bookmarkStart w:id="411" w:name="_Ref379274614"/>
      <w:bookmarkEnd w:id="385"/>
      <w:bookmarkEnd w:id="408"/>
    </w:p>
    <w:p w14:paraId="2BBCCEDD" w14:textId="77777777" w:rsidR="001B1899" w:rsidRDefault="001B1899" w:rsidP="00822811">
      <w:pPr>
        <w:jc w:val="both"/>
      </w:pPr>
    </w:p>
    <w:p w14:paraId="162505F6" w14:textId="77777777" w:rsidR="001B1899" w:rsidRDefault="001B1899" w:rsidP="00822811">
      <w:pPr>
        <w:jc w:val="both"/>
        <w:sectPr w:rsidR="001B1899" w:rsidSect="00822811">
          <w:type w:val="continuous"/>
          <w:pgSz w:w="11906" w:h="16838"/>
          <w:pgMar w:top="1440" w:right="1440" w:bottom="1440" w:left="1440" w:header="720" w:footer="720" w:gutter="0"/>
          <w:paperSrc w:first="7" w:other="7"/>
          <w:cols w:space="720"/>
        </w:sectPr>
      </w:pPr>
    </w:p>
    <w:p w14:paraId="563DD8A9" w14:textId="516D2106" w:rsidR="009C00C7" w:rsidRPr="00183E4D" w:rsidRDefault="009C00C7" w:rsidP="00822811">
      <w:pPr>
        <w:pStyle w:val="Heading1"/>
      </w:pPr>
      <w:bookmarkStart w:id="412" w:name="_Toc502832983"/>
      <w:r w:rsidRPr="00183E4D">
        <w:lastRenderedPageBreak/>
        <w:t xml:space="preserve">Section </w:t>
      </w:r>
      <w:r>
        <w:t>E</w:t>
      </w:r>
      <w:r w:rsidR="00822811">
        <w:tab/>
      </w:r>
      <w:r>
        <w:t xml:space="preserve">Financial </w:t>
      </w:r>
      <w:r w:rsidR="00DC5CE5">
        <w:t>i</w:t>
      </w:r>
      <w:r>
        <w:t>mplications</w:t>
      </w:r>
      <w:bookmarkEnd w:id="412"/>
    </w:p>
    <w:p w14:paraId="03517C76" w14:textId="4CED4C52" w:rsidR="009118ED" w:rsidRDefault="009118ED" w:rsidP="009118ED">
      <w:pPr>
        <w:pStyle w:val="Heading2"/>
        <w:numPr>
          <w:ilvl w:val="4"/>
          <w:numId w:val="9"/>
        </w:numPr>
      </w:pPr>
      <w:bookmarkStart w:id="413" w:name="_Toc214091269"/>
      <w:bookmarkStart w:id="414" w:name="_Toc341796089"/>
      <w:bookmarkStart w:id="415" w:name="_Toc502832984"/>
      <w:bookmarkEnd w:id="411"/>
      <w:r>
        <w:t xml:space="preserve">Justification of the </w:t>
      </w:r>
      <w:r w:rsidR="00DC5CE5">
        <w:t>s</w:t>
      </w:r>
      <w:r>
        <w:t xml:space="preserve">election of </w:t>
      </w:r>
      <w:r w:rsidR="00DC5CE5">
        <w:t>s</w:t>
      </w:r>
      <w:r>
        <w:t xml:space="preserve">ources of </w:t>
      </w:r>
      <w:r w:rsidR="00DC5CE5">
        <w:t>d</w:t>
      </w:r>
      <w:r>
        <w:t>ata</w:t>
      </w:r>
      <w:bookmarkEnd w:id="413"/>
      <w:bookmarkEnd w:id="414"/>
      <w:bookmarkEnd w:id="415"/>
    </w:p>
    <w:p w14:paraId="68205E02" w14:textId="1E4B4B99" w:rsidR="009118ED" w:rsidRPr="00D45979" w:rsidRDefault="009118ED" w:rsidP="009118ED">
      <w:pPr>
        <w:jc w:val="both"/>
      </w:pPr>
      <w:r w:rsidRPr="00D45979">
        <w:t xml:space="preserve">An epidemiological approach has been used to estimate the financial implications of the proposed MBS funding of AMH testing to inform fertility management in female patients </w:t>
      </w:r>
      <w:r w:rsidR="003B6B21">
        <w:t>preceding or following</w:t>
      </w:r>
      <w:r w:rsidRPr="00D45979">
        <w:t xml:space="preserve"> gonadotoxic treatment. AMH testing is currently performed in this pop</w:t>
      </w:r>
      <w:r w:rsidR="00D45979" w:rsidRPr="00D45979">
        <w:t>ulation using private funding.</w:t>
      </w:r>
    </w:p>
    <w:p w14:paraId="3CC353D6" w14:textId="77777777" w:rsidR="009118ED" w:rsidRDefault="009118ED" w:rsidP="009118ED">
      <w:pPr>
        <w:jc w:val="both"/>
        <w:rPr>
          <w:u w:val="single"/>
        </w:rPr>
      </w:pPr>
      <w:r>
        <w:t xml:space="preserve">The sources for data used in the financial analysis are presented in </w:t>
      </w:r>
      <w:r>
        <w:fldChar w:fldCharType="begin"/>
      </w:r>
      <w:r>
        <w:instrText xml:space="preserve"> REF _Ref436897541 \h  \* MERGEFORMAT </w:instrText>
      </w:r>
      <w:r>
        <w:fldChar w:fldCharType="separate"/>
      </w:r>
      <w:r w:rsidR="00AC4BE5">
        <w:t xml:space="preserve">Table </w:t>
      </w:r>
      <w:r w:rsidR="00AC4BE5">
        <w:rPr>
          <w:noProof/>
        </w:rPr>
        <w:t>66</w:t>
      </w:r>
      <w:r>
        <w:fldChar w:fldCharType="end"/>
      </w:r>
      <w:r>
        <w:t>.</w:t>
      </w:r>
    </w:p>
    <w:p w14:paraId="2C7412CF" w14:textId="77777777" w:rsidR="009118ED" w:rsidRDefault="009118ED" w:rsidP="009118ED">
      <w:pPr>
        <w:pStyle w:val="TableHeading"/>
      </w:pPr>
      <w:bookmarkStart w:id="416" w:name="_Ref436897541"/>
      <w:bookmarkStart w:id="417" w:name="_Toc437435445"/>
      <w:bookmarkStart w:id="418" w:name="_Toc439954604"/>
      <w:bookmarkStart w:id="419" w:name="_Toc502833084"/>
      <w:r>
        <w:t xml:space="preserve">Table </w:t>
      </w:r>
      <w:r w:rsidR="00AC4BE5">
        <w:fldChar w:fldCharType="begin"/>
      </w:r>
      <w:r w:rsidR="00AC4BE5">
        <w:instrText xml:space="preserve"> SEQ Table \* ARABIC </w:instrText>
      </w:r>
      <w:r w:rsidR="00AC4BE5">
        <w:fldChar w:fldCharType="separate"/>
      </w:r>
      <w:r w:rsidR="00AC4BE5">
        <w:rPr>
          <w:noProof/>
        </w:rPr>
        <w:t>66</w:t>
      </w:r>
      <w:r w:rsidR="00AC4BE5">
        <w:rPr>
          <w:noProof/>
        </w:rPr>
        <w:fldChar w:fldCharType="end"/>
      </w:r>
      <w:bookmarkEnd w:id="416"/>
      <w:r>
        <w:tab/>
        <w:t>Data sources used in the financial analysis</w:t>
      </w:r>
      <w:bookmarkEnd w:id="417"/>
      <w:bookmarkEnd w:id="418"/>
      <w:bookmarkEnd w:id="419"/>
    </w:p>
    <w:tbl>
      <w:tblPr>
        <w:tblStyle w:val="TableGrid"/>
        <w:tblW w:w="0" w:type="auto"/>
        <w:tblInd w:w="108" w:type="dxa"/>
        <w:tblLook w:val="04A0" w:firstRow="1" w:lastRow="0" w:firstColumn="1" w:lastColumn="0" w:noHBand="0" w:noVBand="1"/>
        <w:tblDescription w:val="Data sources used in the financial analysis"/>
      </w:tblPr>
      <w:tblGrid>
        <w:gridCol w:w="3289"/>
        <w:gridCol w:w="5619"/>
      </w:tblGrid>
      <w:tr w:rsidR="009118ED" w14:paraId="39A9F11F" w14:textId="77777777" w:rsidTr="003929ED">
        <w:trPr>
          <w:tblHeader/>
        </w:trPr>
        <w:tc>
          <w:tcPr>
            <w:tcW w:w="3289" w:type="dxa"/>
          </w:tcPr>
          <w:p w14:paraId="7C024F69" w14:textId="77777777" w:rsidR="009118ED" w:rsidRPr="00260996" w:rsidRDefault="009118ED" w:rsidP="00260996">
            <w:pPr>
              <w:pStyle w:val="Tabletext1"/>
              <w:ind w:left="0"/>
              <w:rPr>
                <w:b/>
              </w:rPr>
            </w:pPr>
            <w:r w:rsidRPr="00260996">
              <w:rPr>
                <w:b/>
              </w:rPr>
              <w:t>Data</w:t>
            </w:r>
          </w:p>
        </w:tc>
        <w:tc>
          <w:tcPr>
            <w:tcW w:w="5619" w:type="dxa"/>
          </w:tcPr>
          <w:p w14:paraId="7FAD6288" w14:textId="77777777" w:rsidR="009118ED" w:rsidRPr="00260996" w:rsidRDefault="009118ED" w:rsidP="00260996">
            <w:pPr>
              <w:pStyle w:val="Tabletext1"/>
              <w:ind w:left="0"/>
              <w:rPr>
                <w:b/>
              </w:rPr>
            </w:pPr>
            <w:r w:rsidRPr="00260996">
              <w:rPr>
                <w:b/>
              </w:rPr>
              <w:t>Source</w:t>
            </w:r>
          </w:p>
        </w:tc>
      </w:tr>
      <w:tr w:rsidR="009118ED" w14:paraId="152F9327" w14:textId="77777777" w:rsidTr="003929ED">
        <w:tc>
          <w:tcPr>
            <w:tcW w:w="3289" w:type="dxa"/>
          </w:tcPr>
          <w:p w14:paraId="4793F386" w14:textId="77777777" w:rsidR="009118ED" w:rsidRDefault="009118ED" w:rsidP="003929ED">
            <w:pPr>
              <w:pStyle w:val="Tabletext1"/>
              <w:ind w:left="0"/>
            </w:pPr>
            <w:r>
              <w:t>Cost of AMH to the MBS</w:t>
            </w:r>
          </w:p>
        </w:tc>
        <w:tc>
          <w:tcPr>
            <w:tcW w:w="5619" w:type="dxa"/>
          </w:tcPr>
          <w:p w14:paraId="11F23D8A" w14:textId="1EB4133C" w:rsidR="009118ED" w:rsidRPr="006637E4" w:rsidRDefault="00D45979" w:rsidP="003929ED">
            <w:pPr>
              <w:pStyle w:val="Tabletext1"/>
              <w:ind w:left="0"/>
            </w:pPr>
            <w:r>
              <w:t>85% of the proposed s</w:t>
            </w:r>
            <w:r w:rsidR="009118ED">
              <w:t>chedule fee, assuming that tests are performed in an outpatient setting, consistent with the setting for other blood tests (MBS data for items 66695, 66701 and 66707, 2011–12 to 2015–16)</w:t>
            </w:r>
          </w:p>
        </w:tc>
      </w:tr>
      <w:tr w:rsidR="009118ED" w14:paraId="6AF487C3" w14:textId="77777777" w:rsidTr="003929ED">
        <w:tc>
          <w:tcPr>
            <w:tcW w:w="3289" w:type="dxa"/>
          </w:tcPr>
          <w:p w14:paraId="5D2D0599" w14:textId="77777777" w:rsidR="009118ED" w:rsidRDefault="009118ED" w:rsidP="003929ED">
            <w:pPr>
              <w:pStyle w:val="Tabletext1"/>
              <w:ind w:left="0"/>
            </w:pPr>
            <w:r>
              <w:t>Patient co-payment for AMH service</w:t>
            </w:r>
          </w:p>
        </w:tc>
        <w:tc>
          <w:tcPr>
            <w:tcW w:w="5619" w:type="dxa"/>
          </w:tcPr>
          <w:p w14:paraId="233CB4E5" w14:textId="7D797261" w:rsidR="009118ED" w:rsidRDefault="00D45979" w:rsidP="003929ED">
            <w:pPr>
              <w:pStyle w:val="Tabletext1"/>
              <w:ind w:left="0"/>
            </w:pPr>
            <w:r>
              <w:t>15% of the proposed s</w:t>
            </w:r>
            <w:r w:rsidR="009118ED">
              <w:t>chedule fee</w:t>
            </w:r>
          </w:p>
        </w:tc>
      </w:tr>
      <w:tr w:rsidR="009118ED" w14:paraId="0062C2F7" w14:textId="77777777" w:rsidTr="003929ED">
        <w:tc>
          <w:tcPr>
            <w:tcW w:w="3289" w:type="dxa"/>
          </w:tcPr>
          <w:p w14:paraId="4209241F" w14:textId="77777777" w:rsidR="009118ED" w:rsidRDefault="009118ED" w:rsidP="003929ED">
            <w:pPr>
              <w:pStyle w:val="Tabletext1"/>
              <w:ind w:left="0"/>
            </w:pPr>
            <w:r>
              <w:t>Number of incident cases of cancer</w:t>
            </w:r>
          </w:p>
        </w:tc>
        <w:tc>
          <w:tcPr>
            <w:tcW w:w="5619" w:type="dxa"/>
          </w:tcPr>
          <w:p w14:paraId="73BBA2D5" w14:textId="18F414E7" w:rsidR="009118ED" w:rsidRDefault="009118ED" w:rsidP="00835BA6">
            <w:pPr>
              <w:pStyle w:val="Tabletext1"/>
              <w:ind w:left="0"/>
            </w:pPr>
            <w:r>
              <w:t>AIHW cancer books</w:t>
            </w:r>
            <w:r>
              <w:fldChar w:fldCharType="begin"/>
            </w:r>
            <w:r>
              <w:instrText xml:space="preserve"> ADDIN EN.CITE &lt;EndNote&gt;&lt;Cite&gt;&lt;Author&gt;Australian Institute of Health and Welfare&lt;/Author&gt;&lt;Year&gt;2017&lt;/Year&gt;&lt;RecNum&gt;42&lt;/RecNum&gt;&lt;IDText&gt;205&lt;/IDText&gt;&lt;DisplayText&gt;(Australian Institute of Health and Welfare 2017)&lt;/DisplayText&gt;&lt;record&gt;&lt;rec-number&gt;42&lt;/rec-number&gt;&lt;foreign-keys&gt;&lt;key app="EN" db-id="s2dftfxw1fvsr1efx58vfvxtvfwzxea0td02" timestamp="1511748064"&gt;42&lt;/key&gt;&lt;/foreign-keys&gt;&lt;ref-type name="Catalog"&gt;8&lt;/ref-type&gt;&lt;contributors&gt;&lt;authors&gt;&lt;author&gt;Australian Institute of Health and Welfare, &lt;/author&gt;&lt;/authors&gt;&lt;/contributors&gt;&lt;titles&gt;&lt;title&gt;Cancer in Australia 2017&lt;/title&gt;&lt;secondary-title&gt;Cancer series no. 101. Cat. no. CAN 100&lt;/secondary-title&gt;&lt;/titles&gt;&lt;pages&gt;205&lt;/pages&gt;&lt;num-vols&gt;CAN 100&lt;/num-vols&gt;&lt;dates&gt;&lt;year&gt;2017&lt;/year&gt;&lt;/dates&gt;&lt;pub-location&gt;Canberra&lt;/pub-location&gt;&lt;publisher&gt;AIHW&lt;/publisher&gt;&lt;urls&gt;&lt;related-urls&gt;&lt;url&gt;https://www.aihw.gov.au/getmedia/3da1f3c2-30f0-4475-8aed-1f19f8e16d48/20066-cancer-2017.pdf.aspx?inline=true&lt;/url&gt;&lt;/related-urls&gt;&lt;/urls&gt;&lt;/record&gt;&lt;/Cite&gt;&lt;/EndNote&gt;</w:instrText>
            </w:r>
            <w:r>
              <w:fldChar w:fldCharType="separate"/>
            </w:r>
            <w:r>
              <w:rPr>
                <w:noProof/>
              </w:rPr>
              <w:t>(</w:t>
            </w:r>
            <w:hyperlink w:anchor="_ENREF_9" w:tooltip="Australian Institute of Health and Welfare, 2017 #42" w:history="1">
              <w:r w:rsidR="00835BA6">
                <w:rPr>
                  <w:noProof/>
                </w:rPr>
                <w:t>Australian Institute of Health and Welfare 2017</w:t>
              </w:r>
            </w:hyperlink>
            <w:r>
              <w:rPr>
                <w:noProof/>
              </w:rPr>
              <w:t>)</w:t>
            </w:r>
            <w:r>
              <w:fldChar w:fldCharType="end"/>
            </w:r>
          </w:p>
        </w:tc>
      </w:tr>
      <w:tr w:rsidR="009118ED" w14:paraId="64D796CC" w14:textId="77777777" w:rsidTr="003929ED">
        <w:tc>
          <w:tcPr>
            <w:tcW w:w="3289" w:type="dxa"/>
          </w:tcPr>
          <w:p w14:paraId="67DE1B53" w14:textId="77777777" w:rsidR="009118ED" w:rsidRDefault="009118ED" w:rsidP="003929ED">
            <w:pPr>
              <w:pStyle w:val="Tabletext1"/>
              <w:ind w:left="0"/>
            </w:pPr>
            <w:r>
              <w:t>Proportion of cancer patients undergoing gonadotoxic treatment</w:t>
            </w:r>
          </w:p>
        </w:tc>
        <w:tc>
          <w:tcPr>
            <w:tcW w:w="5619" w:type="dxa"/>
          </w:tcPr>
          <w:p w14:paraId="4ECB35B1" w14:textId="1BBAA222" w:rsidR="009118ED" w:rsidRDefault="009118ED" w:rsidP="00835BA6">
            <w:pPr>
              <w:pStyle w:val="Tabletext1"/>
              <w:ind w:left="0"/>
            </w:pPr>
            <w:r>
              <w:t xml:space="preserve">50% </w:t>
            </w:r>
            <w:r>
              <w:fldChar w:fldCharType="begin">
                <w:fldData xml:space="preserve">PEVuZE5vdGU+PENpdGU+PEF1dGhvcj5BYmRhbGxhaDwvQXV0aG9yPjxZZWFyPjIwMTc8L1llYXI+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</w:fldData>
              </w:fldChar>
            </w:r>
            <w:r>
              <w:instrText xml:space="preserve"> ADDIN EN.CITE </w:instrText>
            </w:r>
            <w:r>
              <w:fldChar w:fldCharType="begin">
                <w:fldData xml:space="preserve">PEVuZE5vdGU+PENpdGU+PEF1dGhvcj5BYmRhbGxhaDwvQXV0aG9yPjxZZWFyPjIwMTc8L1llYXI+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</w:fldData>
              </w:fldChar>
            </w:r>
            <w:r>
              <w:instrText xml:space="preserve"> ADDIN EN.CITE.DATA </w:instrText>
            </w:r>
            <w:r>
              <w:fldChar w:fldCharType="end"/>
            </w:r>
            <w:r>
              <w:fldChar w:fldCharType="separate"/>
            </w:r>
            <w:r>
              <w:rPr>
                <w:noProof/>
              </w:rPr>
              <w:t>(</w:t>
            </w:r>
            <w:hyperlink w:anchor="_ENREF_1" w:tooltip="Abdallah, 2017 #9" w:history="1">
              <w:r w:rsidR="00835BA6">
                <w:rPr>
                  <w:noProof/>
                </w:rPr>
                <w:t>Abdallah et al. 2017</w:t>
              </w:r>
            </w:hyperlink>
            <w:r>
              <w:rPr>
                <w:noProof/>
              </w:rPr>
              <w:t xml:space="preserve">; </w:t>
            </w:r>
            <w:hyperlink w:anchor="_ENREF_51" w:tooltip="Oktay, 2008 #277" w:history="1">
              <w:r w:rsidR="00835BA6">
                <w:rPr>
                  <w:noProof/>
                </w:rPr>
                <w:t>Oktay &amp; Sonmezer 2008</w:t>
              </w:r>
            </w:hyperlink>
            <w:r>
              <w:rPr>
                <w:noProof/>
              </w:rPr>
              <w:t>)</w:t>
            </w:r>
            <w:r>
              <w:fldChar w:fldCharType="end"/>
            </w:r>
          </w:p>
        </w:tc>
      </w:tr>
      <w:tr w:rsidR="009118ED" w14:paraId="7DD04551" w14:textId="77777777" w:rsidTr="003929ED">
        <w:tc>
          <w:tcPr>
            <w:tcW w:w="3289" w:type="dxa"/>
          </w:tcPr>
          <w:p w14:paraId="3DC10599" w14:textId="77777777" w:rsidR="009118ED" w:rsidRDefault="009118ED" w:rsidP="003929ED">
            <w:pPr>
              <w:pStyle w:val="Tabletext1"/>
              <w:ind w:left="0"/>
            </w:pPr>
            <w:r>
              <w:t>Proportion of patients with non-malignant conditions considering fertility preservation or ovarian function monitoring</w:t>
            </w:r>
          </w:p>
        </w:tc>
        <w:tc>
          <w:tcPr>
            <w:tcW w:w="5619" w:type="dxa"/>
          </w:tcPr>
          <w:p w14:paraId="3100913B" w14:textId="41C4ED9A" w:rsidR="009118ED" w:rsidRDefault="009118ED" w:rsidP="00835BA6">
            <w:pPr>
              <w:pStyle w:val="Tabletext1"/>
              <w:ind w:left="0"/>
            </w:pPr>
            <w:r>
              <w:t xml:space="preserve">22% </w:t>
            </w:r>
            <w:r>
              <w:fldChar w:fldCharType="begin"/>
            </w:r>
            <w:r>
              <w:instrText xml:space="preserve"> ADDIN EN.CITE &lt;EndNote&gt;&lt;Cite&gt;&lt;Author&gt;Pacheco&lt;/Author&gt;&lt;Year&gt;2017&lt;/Year&gt;&lt;RecNum&gt;279&lt;/RecNum&gt;&lt;IDText&gt;1111-1120&lt;/IDText&gt;&lt;DisplayText&gt;(Pacheco &amp;amp; Oktay 2017)&lt;/DisplayText&gt;&lt;record&gt;&lt;rec-number&gt;279&lt;/rec-number&gt;&lt;foreign-keys&gt;&lt;key app="EN" db-id="s2dftfxw1fvsr1efx58vfvxtvfwzxea0td02" timestamp="1511748090"&gt;279&lt;/key&gt;&lt;/foreign-keys&gt;&lt;ref-type name="Journal Article"&gt;17&lt;/ref-type&gt;&lt;contributors&gt;&lt;authors&gt;&lt;author&gt;Pacheco, F.&lt;/author&gt;&lt;author&gt;Oktay, K.&lt;/author&gt;&lt;/authors&gt;&lt;/contributors&gt;&lt;auth-address&gt;1 Innovation Fertility Preservation &amp;amp; IVF, New York, NY, USA.&amp;#xD;2 Division of Reproductive Medicine, Department of Obstetrics and Gynecology, New York Medical College, Valhalla, NY, USA.&amp;#xD;3 Classiclinica, Porto Alegre, Rio Grande do Sul, Brazil.&lt;/auth-address&gt;&lt;titles&gt;&lt;title&gt;Current Success and Efficiency of Autologous Ovarian Transplantation: A Meta-Analysis&lt;/title&gt;&lt;secondary-title&gt;Reprod Sci&lt;/secondary-title&gt;&lt;/titles&gt;&lt;periodical&gt;&lt;full-title&gt;Reprod Sci&lt;/full-title&gt;&lt;/periodical&gt;&lt;pages&gt;1111-1120&lt;/pages&gt;&lt;volume&gt;24&lt;/volume&gt;&lt;number&gt;8&lt;/number&gt;&lt;keywords&gt;&lt;keyword&gt;cryopreservation&lt;/keyword&gt;&lt;keyword&gt;fertility preservation&lt;/keyword&gt;&lt;keyword&gt;ovary&lt;/keyword&gt;&lt;keyword&gt;transplantation&lt;/keyword&gt;&lt;/keywords&gt;&lt;dates&gt;&lt;year&gt;2017&lt;/year&gt;&lt;pub-dates&gt;&lt;date&gt;Aug&lt;/date&gt;&lt;/pub-dates&gt;&lt;/dates&gt;&lt;isbn&gt;1933-7205 (Electronic)&amp;#xD;1933-7191 (Linking)&lt;/isbn&gt;&lt;accession-num&gt;28701069&lt;/accession-num&gt;&lt;urls&gt;&lt;related-urls&gt;&lt;url&gt;http://www.ncbi.nlm.nih.gov/pubmed/28701069&lt;/url&gt;&lt;/related-urls&gt;&lt;/urls&gt;&lt;electronic-resource-num&gt;10.1177/1933719117702251&lt;/electronic-resource-num&gt;&lt;/record&gt;&lt;/Cite&gt;&lt;/EndNote&gt;</w:instrText>
            </w:r>
            <w:r>
              <w:fldChar w:fldCharType="separate"/>
            </w:r>
            <w:r>
              <w:rPr>
                <w:noProof/>
              </w:rPr>
              <w:t>(</w:t>
            </w:r>
            <w:hyperlink w:anchor="_ENREF_53" w:tooltip="Pacheco, 2017 #279" w:history="1">
              <w:r w:rsidR="00835BA6">
                <w:rPr>
                  <w:noProof/>
                </w:rPr>
                <w:t>Pacheco &amp; Oktay 2017</w:t>
              </w:r>
            </w:hyperlink>
            <w:r>
              <w:rPr>
                <w:noProof/>
              </w:rPr>
              <w:t>)</w:t>
            </w:r>
            <w:r>
              <w:fldChar w:fldCharType="end"/>
            </w:r>
          </w:p>
        </w:tc>
      </w:tr>
      <w:tr w:rsidR="009118ED" w14:paraId="46564F51" w14:textId="77777777" w:rsidTr="003929ED">
        <w:tc>
          <w:tcPr>
            <w:tcW w:w="3289" w:type="dxa"/>
          </w:tcPr>
          <w:p w14:paraId="3A00402B" w14:textId="77777777" w:rsidR="009118ED" w:rsidRDefault="009118ED" w:rsidP="003929ED">
            <w:pPr>
              <w:pStyle w:val="Tabletext1"/>
              <w:ind w:left="0"/>
            </w:pPr>
            <w:r>
              <w:t>Cancer patients undergoing fertility consultation (referral rate)</w:t>
            </w:r>
          </w:p>
        </w:tc>
        <w:tc>
          <w:tcPr>
            <w:tcW w:w="5619" w:type="dxa"/>
          </w:tcPr>
          <w:p w14:paraId="36AA8252" w14:textId="33EA9057" w:rsidR="009118ED" w:rsidRDefault="00D45979" w:rsidP="00835BA6">
            <w:pPr>
              <w:pStyle w:val="Tabletext1"/>
              <w:ind w:left="0"/>
            </w:pPr>
            <w:r>
              <w:t>59%</w:t>
            </w:r>
            <w:r w:rsidR="009118ED">
              <w:t xml:space="preserve"> </w:t>
            </w:r>
            <w:r w:rsidR="009118ED">
              <w:fldChar w:fldCharType="begin">
                <w:fldData xml:space="preserve">PEVuZE5vdGU+PENpdGU+PEF1dGhvcj5Mb2dhbjwvQXV0aG9yPjxZZWFyPjIwMTc8L1llYXI+PFJl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</w:fldData>
              </w:fldChar>
            </w:r>
            <w:r w:rsidR="009118ED">
              <w:instrText xml:space="preserve"> ADDIN EN.CITE </w:instrText>
            </w:r>
            <w:r w:rsidR="009118ED">
              <w:fldChar w:fldCharType="begin">
                <w:fldData xml:space="preserve">PEVuZE5vdGU+PENpdGU+PEF1dGhvcj5Mb2dhbjwvQXV0aG9yPjxZZWFyPjIwMTc8L1llYXI+PFJl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</w:fldData>
              </w:fldChar>
            </w:r>
            <w:r w:rsidR="009118ED">
              <w:instrText xml:space="preserve"> ADDIN EN.CITE.DATA </w:instrText>
            </w:r>
            <w:r w:rsidR="009118ED">
              <w:fldChar w:fldCharType="end"/>
            </w:r>
            <w:r w:rsidR="009118ED">
              <w:fldChar w:fldCharType="separate"/>
            </w:r>
            <w:r w:rsidR="009118ED">
              <w:rPr>
                <w:noProof/>
              </w:rPr>
              <w:t>(</w:t>
            </w:r>
            <w:hyperlink w:anchor="_ENREF_38" w:tooltip="Logan, 2017 #235" w:history="1">
              <w:r w:rsidR="00835BA6">
                <w:rPr>
                  <w:noProof/>
                </w:rPr>
                <w:t>Logan et al. 2017</w:t>
              </w:r>
            </w:hyperlink>
            <w:r w:rsidR="009118ED">
              <w:rPr>
                <w:noProof/>
              </w:rPr>
              <w:t>)</w:t>
            </w:r>
            <w:r w:rsidR="009118ED">
              <w:fldChar w:fldCharType="end"/>
            </w:r>
          </w:p>
        </w:tc>
      </w:tr>
      <w:tr w:rsidR="009118ED" w14:paraId="70C6012A" w14:textId="77777777" w:rsidTr="003929ED">
        <w:tc>
          <w:tcPr>
            <w:tcW w:w="3289" w:type="dxa"/>
          </w:tcPr>
          <w:p w14:paraId="782DB3DC" w14:textId="12AF385A" w:rsidR="009118ED" w:rsidRDefault="00D45979" w:rsidP="003929ED">
            <w:pPr>
              <w:pStyle w:val="Tabletext1"/>
              <w:ind w:left="0"/>
            </w:pPr>
            <w:r>
              <w:t xml:space="preserve">AMH uptake rate, </w:t>
            </w:r>
            <w:r w:rsidR="009118ED">
              <w:t>current</w:t>
            </w:r>
          </w:p>
        </w:tc>
        <w:tc>
          <w:tcPr>
            <w:tcW w:w="5619" w:type="dxa"/>
          </w:tcPr>
          <w:p w14:paraId="0C59EC2C" w14:textId="3BC72FA2" w:rsidR="009118ED" w:rsidRDefault="009118ED" w:rsidP="003929ED">
            <w:pPr>
              <w:pStyle w:val="Tabletext1"/>
              <w:ind w:left="0"/>
            </w:pPr>
            <w:r>
              <w:t>53% (in female oncology pati</w:t>
            </w:r>
            <w:r w:rsidR="00D45979">
              <w:t>ents, aged 0–</w:t>
            </w:r>
            <w:r>
              <w:t>45 years, who attend fertility clinic consultation), based on local data provided by clinical expert</w:t>
            </w:r>
            <w:r>
              <w:rPr>
                <w:rStyle w:val="FootnoteReference"/>
              </w:rPr>
              <w:footnoteReference w:id="6"/>
            </w:r>
          </w:p>
        </w:tc>
      </w:tr>
      <w:tr w:rsidR="009118ED" w14:paraId="591CFFB0" w14:textId="77777777" w:rsidTr="003929ED">
        <w:tc>
          <w:tcPr>
            <w:tcW w:w="3289" w:type="dxa"/>
          </w:tcPr>
          <w:p w14:paraId="77279666" w14:textId="39F64955" w:rsidR="009118ED" w:rsidRDefault="00D45979" w:rsidP="003929ED">
            <w:pPr>
              <w:pStyle w:val="Tabletext1"/>
              <w:ind w:left="0"/>
            </w:pPr>
            <w:r>
              <w:t xml:space="preserve">AMH uptake rate, </w:t>
            </w:r>
            <w:r w:rsidR="009118ED">
              <w:t>projected</w:t>
            </w:r>
          </w:p>
        </w:tc>
        <w:tc>
          <w:tcPr>
            <w:tcW w:w="5619" w:type="dxa"/>
          </w:tcPr>
          <w:p w14:paraId="44C1C7DB" w14:textId="201BE8EE" w:rsidR="009118ED" w:rsidRDefault="00D45979" w:rsidP="00835BA6">
            <w:pPr>
              <w:pStyle w:val="Tabletext1"/>
              <w:ind w:left="0"/>
            </w:pPr>
            <w:r>
              <w:t>90%</w:t>
            </w:r>
            <w:r w:rsidR="009118ED">
              <w:t xml:space="preserve"> </w:t>
            </w:r>
            <w:r w:rsidR="009118ED">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rsidR="009118ED">
              <w:instrText xml:space="preserve"> ADDIN EN.CITE </w:instrText>
            </w:r>
            <w:r w:rsidR="009118ED">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rsidR="009118ED">
              <w:instrText xml:space="preserve"> ADDIN EN.CITE.DATA </w:instrText>
            </w:r>
            <w:r w:rsidR="009118ED">
              <w:fldChar w:fldCharType="end"/>
            </w:r>
            <w:r w:rsidR="009118ED">
              <w:fldChar w:fldCharType="separate"/>
            </w:r>
            <w:r w:rsidR="009118ED">
              <w:rPr>
                <w:noProof/>
              </w:rPr>
              <w:t>(</w:t>
            </w:r>
            <w:hyperlink w:anchor="_ENREF_70" w:tooltip="Tobler, 2015 #349" w:history="1">
              <w:r w:rsidR="00835BA6">
                <w:rPr>
                  <w:noProof/>
                </w:rPr>
                <w:t>Tobler et al. 2015</w:t>
              </w:r>
            </w:hyperlink>
            <w:r w:rsidR="009118ED">
              <w:rPr>
                <w:noProof/>
              </w:rPr>
              <w:t>)</w:t>
            </w:r>
            <w:r w:rsidR="009118ED">
              <w:fldChar w:fldCharType="end"/>
            </w:r>
          </w:p>
        </w:tc>
      </w:tr>
      <w:tr w:rsidR="009118ED" w14:paraId="2B4694BD" w14:textId="77777777" w:rsidTr="003929ED">
        <w:tc>
          <w:tcPr>
            <w:tcW w:w="3289" w:type="dxa"/>
          </w:tcPr>
          <w:p w14:paraId="4889E8B1" w14:textId="77777777" w:rsidR="009118ED" w:rsidRDefault="009118ED" w:rsidP="003929ED">
            <w:pPr>
              <w:pStyle w:val="Tabletext1"/>
              <w:ind w:left="0"/>
            </w:pPr>
            <w:r>
              <w:t>Average number of tests per patient</w:t>
            </w:r>
          </w:p>
        </w:tc>
        <w:tc>
          <w:tcPr>
            <w:tcW w:w="5619" w:type="dxa"/>
          </w:tcPr>
          <w:p w14:paraId="6DB09B66" w14:textId="38680BD5" w:rsidR="009118ED" w:rsidRDefault="009118ED" w:rsidP="00D45979">
            <w:pPr>
              <w:pStyle w:val="Tabletext1"/>
              <w:ind w:left="0"/>
            </w:pPr>
            <w:r>
              <w:t>3, data provided by clinical expert</w:t>
            </w:r>
            <w:r>
              <w:rPr>
                <w:rStyle w:val="FootnoteReference"/>
              </w:rPr>
              <w:footnoteReference w:id="7"/>
            </w:r>
          </w:p>
        </w:tc>
      </w:tr>
    </w:tbl>
    <w:p w14:paraId="4DC4D3BA" w14:textId="4A6AB3EB" w:rsidR="009118ED" w:rsidRPr="00951C12" w:rsidRDefault="009118ED" w:rsidP="009118ED">
      <w:pPr>
        <w:pStyle w:val="Caption"/>
        <w:rPr>
          <w:b w:val="0"/>
          <w:sz w:val="18"/>
          <w:szCs w:val="18"/>
        </w:rPr>
      </w:pPr>
      <w:r w:rsidRPr="00951C12">
        <w:rPr>
          <w:b w:val="0"/>
          <w:sz w:val="18"/>
          <w:szCs w:val="18"/>
        </w:rPr>
        <w:t>AIHW = Australian Institute of Health and Welfare</w:t>
      </w:r>
      <w:r w:rsidR="00951C12">
        <w:rPr>
          <w:b w:val="0"/>
          <w:sz w:val="18"/>
          <w:szCs w:val="18"/>
        </w:rPr>
        <w:t>; AMH = a</w:t>
      </w:r>
      <w:r w:rsidRPr="00951C12">
        <w:rPr>
          <w:b w:val="0"/>
          <w:sz w:val="18"/>
          <w:szCs w:val="18"/>
        </w:rPr>
        <w:t>nti-Müllerian hormone; MBS = Medicare Benefits Schedule</w:t>
      </w:r>
    </w:p>
    <w:p w14:paraId="12FB61D6" w14:textId="78A363A4" w:rsidR="009118ED" w:rsidRDefault="009118ED" w:rsidP="009118ED">
      <w:pPr>
        <w:pStyle w:val="Heading2"/>
        <w:numPr>
          <w:ilvl w:val="4"/>
          <w:numId w:val="9"/>
        </w:numPr>
      </w:pPr>
      <w:bookmarkStart w:id="420" w:name="_Toc214091270"/>
      <w:bookmarkStart w:id="421" w:name="_Toc341796094"/>
      <w:bookmarkStart w:id="422" w:name="_Toc502832985"/>
      <w:bookmarkStart w:id="423" w:name="_Toc379118300"/>
      <w:bookmarkStart w:id="424" w:name="_Toc381796483"/>
      <w:r>
        <w:t xml:space="preserve">Use and </w:t>
      </w:r>
      <w:r w:rsidR="00DC5CE5">
        <w:t>c</w:t>
      </w:r>
      <w:r>
        <w:t xml:space="preserve">osts of </w:t>
      </w:r>
      <w:bookmarkEnd w:id="420"/>
      <w:bookmarkEnd w:id="421"/>
      <w:r>
        <w:t>AMH testing</w:t>
      </w:r>
      <w:bookmarkEnd w:id="422"/>
    </w:p>
    <w:p w14:paraId="50E50B5C" w14:textId="77777777" w:rsidR="009118ED" w:rsidRDefault="009118ED" w:rsidP="009118ED">
      <w:pPr>
        <w:pStyle w:val="Heading3"/>
      </w:pPr>
      <w:bookmarkStart w:id="425" w:name="_Toc502832986"/>
      <w:bookmarkEnd w:id="423"/>
      <w:bookmarkEnd w:id="424"/>
      <w:r>
        <w:t>Estimated use of AMH testing</w:t>
      </w:r>
      <w:bookmarkEnd w:id="425"/>
    </w:p>
    <w:p w14:paraId="7DF1A03C" w14:textId="4561C39C" w:rsidR="009118ED" w:rsidRDefault="009118ED" w:rsidP="009118ED">
      <w:pPr>
        <w:jc w:val="both"/>
      </w:pPr>
      <w:r>
        <w:t xml:space="preserve">The MBS funded AMH </w:t>
      </w:r>
      <w:r w:rsidRPr="007958EC">
        <w:t xml:space="preserve">test is proposed as an additional test </w:t>
      </w:r>
      <w:r>
        <w:t xml:space="preserve">to AFC, FSH and E2 </w:t>
      </w:r>
      <w:r w:rsidRPr="007958EC">
        <w:t>prior to or following gonadotoxic treatment.</w:t>
      </w:r>
      <w:r>
        <w:t xml:space="preserve"> </w:t>
      </w:r>
      <w:r w:rsidRPr="007E2225">
        <w:t xml:space="preserve">While </w:t>
      </w:r>
      <w:r>
        <w:t xml:space="preserve">other </w:t>
      </w:r>
      <w:r w:rsidRPr="007E2225">
        <w:t>test</w:t>
      </w:r>
      <w:r>
        <w:t>s of ovarian reserve</w:t>
      </w:r>
      <w:r w:rsidRPr="007E2225">
        <w:t xml:space="preserve"> </w:t>
      </w:r>
      <w:r>
        <w:t>(AFC, FSH and E2) are</w:t>
      </w:r>
      <w:r w:rsidRPr="007E2225">
        <w:t xml:space="preserve"> currently funded by the MBS, </w:t>
      </w:r>
      <w:r>
        <w:t xml:space="preserve">they </w:t>
      </w:r>
      <w:r w:rsidRPr="007E2225">
        <w:t xml:space="preserve">are not restricted to the </w:t>
      </w:r>
      <w:r>
        <w:t xml:space="preserve">proposed </w:t>
      </w:r>
      <w:r w:rsidRPr="007E2225">
        <w:t>population.</w:t>
      </w:r>
      <w:r>
        <w:t xml:space="preserve"> Therefore, an epidemiological approach, combined with uptake estimates, </w:t>
      </w:r>
      <w:r w:rsidR="00951C12">
        <w:t>has been</w:t>
      </w:r>
      <w:r>
        <w:t xml:space="preserve"> </w:t>
      </w:r>
      <w:r w:rsidR="00951C12">
        <w:t>used</w:t>
      </w:r>
      <w:r>
        <w:t xml:space="preserve"> to project the number of services of AMH that would be MBS funded </w:t>
      </w:r>
      <w:r w:rsidR="00951C12">
        <w:t>under the proposed restriction.</w:t>
      </w:r>
    </w:p>
    <w:p w14:paraId="399D1981" w14:textId="77777777" w:rsidR="009118ED" w:rsidRPr="0025683D" w:rsidRDefault="009118ED" w:rsidP="009118ED">
      <w:pPr>
        <w:pStyle w:val="Heading4"/>
      </w:pPr>
      <w:r>
        <w:lastRenderedPageBreak/>
        <w:t>Cancer patients</w:t>
      </w:r>
    </w:p>
    <w:p w14:paraId="5AE83F81" w14:textId="7E284308" w:rsidR="009118ED" w:rsidRDefault="00951C12" w:rsidP="009118ED">
      <w:pPr>
        <w:pStyle w:val="Heading5"/>
      </w:pPr>
      <w:r>
        <w:t>Eligible p</w:t>
      </w:r>
      <w:r w:rsidR="009118ED">
        <w:t>opulation</w:t>
      </w:r>
    </w:p>
    <w:p w14:paraId="1AD9294F" w14:textId="54C57B1C" w:rsidR="009118ED" w:rsidRDefault="009118ED" w:rsidP="009118ED">
      <w:pPr>
        <w:jc w:val="both"/>
      </w:pPr>
      <w:r>
        <w:t>Data on the number of incident cas</w:t>
      </w:r>
      <w:r w:rsidR="00951C12">
        <w:t xml:space="preserve">es of cancer in females aged under </w:t>
      </w:r>
      <w:r>
        <w:t xml:space="preserve">45 years is sourced from Australian cancer data </w:t>
      </w:r>
      <w:r>
        <w:fldChar w:fldCharType="begin"/>
      </w:r>
      <w:r>
        <w:instrText xml:space="preserve"> ADDIN EN.CITE &lt;EndNote&gt;&lt;Cite&gt;&lt;Author&gt;Australian Institute of Health and Welfare&lt;/Author&gt;&lt;Year&gt;2017&lt;/Year&gt;&lt;RecNum&gt;42&lt;/RecNum&gt;&lt;IDText&gt;205&lt;/IDText&gt;&lt;DisplayText&gt;(Australian Institute of Health and Welfare 2017)&lt;/DisplayText&gt;&lt;record&gt;&lt;rec-number&gt;42&lt;/rec-number&gt;&lt;foreign-keys&gt;&lt;key app="EN" db-id="s2dftfxw1fvsr1efx58vfvxtvfwzxea0td02" timestamp="1511748064"&gt;42&lt;/key&gt;&lt;/foreign-keys&gt;&lt;ref-type name="Catalog"&gt;8&lt;/ref-type&gt;&lt;contributors&gt;&lt;authors&gt;&lt;author&gt;Australian Institute of Health and Welfare, &lt;/author&gt;&lt;/authors&gt;&lt;/contributors&gt;&lt;titles&gt;&lt;title&gt;Cancer in Australia 2017&lt;/title&gt;&lt;secondary-title&gt;Cancer series no. 101. Cat. no. CAN 100&lt;/secondary-title&gt;&lt;/titles&gt;&lt;pages&gt;205&lt;/pages&gt;&lt;num-vols&gt;CAN 100&lt;/num-vols&gt;&lt;dates&gt;&lt;year&gt;2017&lt;/year&gt;&lt;/dates&gt;&lt;pub-location&gt;Canberra&lt;/pub-location&gt;&lt;publisher&gt;AIHW&lt;/publisher&gt;&lt;urls&gt;&lt;related-urls&gt;&lt;url&gt;https://www.aihw.gov.au/getmedia/3da1f3c2-30f0-4475-8aed-1f19f8e16d48/20066-cancer-2017.pdf.aspx?inline=true&lt;/url&gt;&lt;/related-urls&gt;&lt;/urls&gt;&lt;/record&gt;&lt;/Cite&gt;&lt;/EndNote&gt;</w:instrText>
      </w:r>
      <w:r>
        <w:fldChar w:fldCharType="separate"/>
      </w:r>
      <w:r>
        <w:rPr>
          <w:noProof/>
        </w:rPr>
        <w:t>(</w:t>
      </w:r>
      <w:hyperlink w:anchor="_ENREF_9" w:tooltip="Australian Institute of Health and Welfare, 2017 #42" w:history="1">
        <w:r w:rsidR="00835BA6">
          <w:rPr>
            <w:noProof/>
          </w:rPr>
          <w:t>Australian Institute of Health and Welfare 2017</w:t>
        </w:r>
      </w:hyperlink>
      <w:r>
        <w:rPr>
          <w:noProof/>
        </w:rPr>
        <w:t>)</w:t>
      </w:r>
      <w:r>
        <w:fldChar w:fldCharType="end"/>
      </w:r>
      <w:r>
        <w:t>. This data shows an average growth rate of 0.36% in incident cases between 2004 and 2017. This growth rate is applied to project the number of incide</w:t>
      </w:r>
      <w:r w:rsidR="00951C12">
        <w:t>nt cases of cancer in females aged 0 to 44 </w:t>
      </w:r>
      <w:r>
        <w:t>years over the next five years. The majority of cases of cancer in females und</w:t>
      </w:r>
      <w:r w:rsidR="00951C12">
        <w:t xml:space="preserve">er 44 years occur post-puberty. More than </w:t>
      </w:r>
      <w:r>
        <w:t>95% of these cases are in females</w:t>
      </w:r>
      <w:r w:rsidR="00951C12">
        <w:t xml:space="preserve"> over the age of 15 years old</w:t>
      </w:r>
      <w:r>
        <w:t>.</w:t>
      </w:r>
    </w:p>
    <w:p w14:paraId="18126F54" w14:textId="2B40C3F1" w:rsidR="009118ED" w:rsidRDefault="009118ED" w:rsidP="009118ED">
      <w:pPr>
        <w:jc w:val="both"/>
      </w:pPr>
      <w:r>
        <w:t xml:space="preserve">It is anticipated that approximately 50% of women of reproductive age who are diagnosed with a malignant condition will undergo gonadotoxic treatment compromising their fertility </w:t>
      </w:r>
      <w:r>
        <w:fldChar w:fldCharType="begin">
          <w:fldData xml:space="preserve">PEVuZE5vdGU+PENpdGU+PEF1dGhvcj5BYmRhbGxhaDwvQXV0aG9yPjxZZWFyPjIwMTc8L1llYXI+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</w:fldData>
        </w:fldChar>
      </w:r>
      <w:r>
        <w:instrText xml:space="preserve"> ADDIN EN.CITE </w:instrText>
      </w:r>
      <w:r>
        <w:fldChar w:fldCharType="begin">
          <w:fldData xml:space="preserve">PEVuZE5vdGU+PENpdGU+PEF1dGhvcj5BYmRhbGxhaDwvQXV0aG9yPjxZZWFyPjIwMTc8L1llYXI+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</w:fldData>
        </w:fldChar>
      </w:r>
      <w:r>
        <w:instrText xml:space="preserve"> ADDIN EN.CITE.DATA </w:instrText>
      </w:r>
      <w:r>
        <w:fldChar w:fldCharType="end"/>
      </w:r>
      <w:r>
        <w:fldChar w:fldCharType="separate"/>
      </w:r>
      <w:r>
        <w:rPr>
          <w:noProof/>
        </w:rPr>
        <w:t>(</w:t>
      </w:r>
      <w:hyperlink w:anchor="_ENREF_1" w:tooltip="Abdallah, 2017 #9" w:history="1">
        <w:r w:rsidR="00835BA6">
          <w:rPr>
            <w:noProof/>
          </w:rPr>
          <w:t>Abdallah et al. 2017</w:t>
        </w:r>
      </w:hyperlink>
      <w:r>
        <w:rPr>
          <w:noProof/>
        </w:rPr>
        <w:t xml:space="preserve">; </w:t>
      </w:r>
      <w:hyperlink w:anchor="_ENREF_51" w:tooltip="Oktay, 2008 #277" w:history="1">
        <w:r w:rsidR="00835BA6">
          <w:rPr>
            <w:noProof/>
          </w:rPr>
          <w:t>Oktay &amp; Sonmezer 2008</w:t>
        </w:r>
      </w:hyperlink>
      <w:r>
        <w:rPr>
          <w:noProof/>
        </w:rPr>
        <w:t>)</w:t>
      </w:r>
      <w:r>
        <w:fldChar w:fldCharType="end"/>
      </w:r>
      <w:r w:rsidR="00951C12">
        <w:t>.</w:t>
      </w:r>
      <w:r>
        <w:t xml:space="preserve"> </w:t>
      </w:r>
      <w:r w:rsidR="00951C12">
        <w:t>Therefore, this number</w:t>
      </w:r>
      <w:r>
        <w:t xml:space="preserve"> is applied to the incide</w:t>
      </w:r>
      <w:r w:rsidR="00951C12">
        <w:t>nt cases of cancer (females 0–</w:t>
      </w:r>
      <w:r>
        <w:t>44 years) to estimate the number of patients potentially eligible for AMH testing. If the rate of gonadotoxic treatment in pre-pubescent cancer cases is different (an estimate was not identified) this will make little difference on the overall estimate of the eligible population.</w:t>
      </w:r>
    </w:p>
    <w:p w14:paraId="1645A2C4" w14:textId="32C687FC" w:rsidR="009118ED" w:rsidRDefault="009118ED" w:rsidP="009118ED">
      <w:pPr>
        <w:jc w:val="both"/>
      </w:pPr>
      <w:r>
        <w:rPr>
          <w:highlight w:val="yellow"/>
        </w:rPr>
        <w:fldChar w:fldCharType="begin"/>
      </w:r>
      <w:r>
        <w:instrText xml:space="preserve"> REF _Ref496793087 \h </w:instrText>
      </w:r>
      <w:r>
        <w:rPr>
          <w:highlight w:val="yellow"/>
        </w:rPr>
      </w:r>
      <w:r>
        <w:rPr>
          <w:highlight w:val="yellow"/>
        </w:rPr>
        <w:fldChar w:fldCharType="separate"/>
      </w:r>
      <w:r w:rsidR="00AC4BE5">
        <w:t xml:space="preserve">Table </w:t>
      </w:r>
      <w:r w:rsidR="00AC4BE5">
        <w:rPr>
          <w:noProof/>
        </w:rPr>
        <w:t>67</w:t>
      </w:r>
      <w:r>
        <w:rPr>
          <w:highlight w:val="yellow"/>
        </w:rPr>
        <w:fldChar w:fldCharType="end"/>
      </w:r>
      <w:r>
        <w:t xml:space="preserve"> presents the number of inci</w:t>
      </w:r>
      <w:r w:rsidR="00951C12">
        <w:t>dent cases of cancer (females 0–</w:t>
      </w:r>
      <w:r>
        <w:t>44 years) and number of patients eligible for AMH testing based on the incident estimates for 2017</w:t>
      </w:r>
      <w:r w:rsidR="00951C12">
        <w:t xml:space="preserve"> </w:t>
      </w:r>
      <w:r>
        <w:fldChar w:fldCharType="begin"/>
      </w:r>
      <w:r>
        <w:instrText xml:space="preserve"> ADDIN EN.CITE &lt;EndNote&gt;&lt;Cite&gt;&lt;Author&gt;Australian Institute of Health and Welfare&lt;/Author&gt;&lt;Year&gt;2017&lt;/Year&gt;&lt;RecNum&gt;42&lt;/RecNum&gt;&lt;IDText&gt;205&lt;/IDText&gt;&lt;DisplayText&gt;(Australian Institute of Health and Welfare 2017)&lt;/DisplayText&gt;&lt;record&gt;&lt;rec-number&gt;42&lt;/rec-number&gt;&lt;foreign-keys&gt;&lt;key app="EN" db-id="s2dftfxw1fvsr1efx58vfvxtvfwzxea0td02" timestamp="1511748064"&gt;42&lt;/key&gt;&lt;/foreign-keys&gt;&lt;ref-type name="Catalog"&gt;8&lt;/ref-type&gt;&lt;contributors&gt;&lt;authors&gt;&lt;author&gt;Australian Institute of Health and Welfare, &lt;/author&gt;&lt;/authors&gt;&lt;/contributors&gt;&lt;titles&gt;&lt;title&gt;Cancer in Australia 2017&lt;/title&gt;&lt;secondary-title&gt;Cancer series no. 101. Cat. no. CAN 100&lt;/secondary-title&gt;&lt;/titles&gt;&lt;pages&gt;205&lt;/pages&gt;&lt;num-vols&gt;CAN 100&lt;/num-vols&gt;&lt;dates&gt;&lt;year&gt;2017&lt;/year&gt;&lt;/dates&gt;&lt;pub-location&gt;Canberra&lt;/pub-location&gt;&lt;publisher&gt;AIHW&lt;/publisher&gt;&lt;urls&gt;&lt;related-urls&gt;&lt;url&gt;https://www.aihw.gov.au/getmedia/3da1f3c2-30f0-4475-8aed-1f19f8e16d48/20066-cancer-2017.pdf.aspx?inline=true&lt;/url&gt;&lt;/related-urls&gt;&lt;/urls&gt;&lt;/record&gt;&lt;/Cite&gt;&lt;/EndNote&gt;</w:instrText>
      </w:r>
      <w:r>
        <w:fldChar w:fldCharType="separate"/>
      </w:r>
      <w:r>
        <w:rPr>
          <w:noProof/>
        </w:rPr>
        <w:t>(</w:t>
      </w:r>
      <w:hyperlink w:anchor="_ENREF_9" w:tooltip="Australian Institute of Health and Welfare, 2017 #42" w:history="1">
        <w:r w:rsidR="00835BA6">
          <w:rPr>
            <w:noProof/>
          </w:rPr>
          <w:t>Australian Institute of Health and Welfare 2017</w:t>
        </w:r>
      </w:hyperlink>
      <w:r>
        <w:rPr>
          <w:noProof/>
        </w:rPr>
        <w:t>)</w:t>
      </w:r>
      <w:r>
        <w:fldChar w:fldCharType="end"/>
      </w:r>
      <w:r>
        <w:t>.</w:t>
      </w:r>
    </w:p>
    <w:p w14:paraId="0881E3FE" w14:textId="4C536332" w:rsidR="009118ED" w:rsidRDefault="009118ED" w:rsidP="009118ED">
      <w:pPr>
        <w:pStyle w:val="Caption"/>
        <w:keepNext/>
      </w:pPr>
      <w:bookmarkStart w:id="426" w:name="_Ref496793087"/>
      <w:bookmarkStart w:id="427" w:name="_Ref499279515"/>
      <w:bookmarkStart w:id="428" w:name="_Toc502833085"/>
      <w:r>
        <w:t xml:space="preserve">Table </w:t>
      </w:r>
      <w:r w:rsidR="00AC4BE5">
        <w:fldChar w:fldCharType="begin"/>
      </w:r>
      <w:r w:rsidR="00AC4BE5">
        <w:instrText xml:space="preserve"> SEQ Table \* ARABIC </w:instrText>
      </w:r>
      <w:r w:rsidR="00AC4BE5">
        <w:fldChar w:fldCharType="separate"/>
      </w:r>
      <w:r w:rsidR="00AC4BE5">
        <w:rPr>
          <w:noProof/>
        </w:rPr>
        <w:t>67</w:t>
      </w:r>
      <w:r w:rsidR="00AC4BE5">
        <w:rPr>
          <w:noProof/>
        </w:rPr>
        <w:fldChar w:fldCharType="end"/>
      </w:r>
      <w:bookmarkEnd w:id="426"/>
      <w:r>
        <w:tab/>
        <w:t>Incide</w:t>
      </w:r>
      <w:r w:rsidR="001E7102">
        <w:t>nt cases of cancer (females 0–</w:t>
      </w:r>
      <w:r>
        <w:t>44 years) estimated to undergo gonadotoxic treatment (2017)</w:t>
      </w:r>
      <w:bookmarkEnd w:id="427"/>
      <w:bookmarkEnd w:id="428"/>
    </w:p>
    <w:tbl>
      <w:tblPr>
        <w:tblStyle w:val="TableGrid7"/>
        <w:tblW w:w="5000" w:type="pct"/>
        <w:tblLook w:val="04A0" w:firstRow="1" w:lastRow="0" w:firstColumn="1" w:lastColumn="0" w:noHBand="0" w:noVBand="1"/>
        <w:tblCaption w:val="Incident cases of cancer (females 0 – 44 years) estimated to undergo gonadotoxic treatment (2017)"/>
        <w:tblDescription w:val="Incident cases of cancer (females 0 – 44 years) estimated to undergo gonadotoxic treatment (2017)"/>
      </w:tblPr>
      <w:tblGrid>
        <w:gridCol w:w="4209"/>
        <w:gridCol w:w="3440"/>
        <w:gridCol w:w="1593"/>
      </w:tblGrid>
      <w:tr w:rsidR="009118ED" w:rsidRPr="00DA25B7" w14:paraId="1481D3E6" w14:textId="77777777" w:rsidTr="003929ED">
        <w:trPr>
          <w:trHeight w:val="255"/>
          <w:tblHeader/>
        </w:trPr>
        <w:tc>
          <w:tcPr>
            <w:tcW w:w="2277" w:type="pct"/>
            <w:vAlign w:val="center"/>
          </w:tcPr>
          <w:p w14:paraId="7A142FE2" w14:textId="77777777" w:rsidR="009118ED" w:rsidRPr="00260996" w:rsidRDefault="009118ED" w:rsidP="00260996">
            <w:pPr>
              <w:pStyle w:val="TableText0"/>
              <w:rPr>
                <w:b/>
              </w:rPr>
            </w:pPr>
            <w:r w:rsidRPr="00260996">
              <w:rPr>
                <w:b/>
              </w:rPr>
              <w:t>Age group (years)</w:t>
            </w:r>
          </w:p>
        </w:tc>
        <w:tc>
          <w:tcPr>
            <w:tcW w:w="1861" w:type="pct"/>
            <w:vAlign w:val="center"/>
          </w:tcPr>
          <w:p w14:paraId="737DDC2C" w14:textId="77777777" w:rsidR="009118ED" w:rsidRPr="00260996" w:rsidRDefault="009118ED" w:rsidP="00260996">
            <w:pPr>
              <w:pStyle w:val="TableText0"/>
              <w:rPr>
                <w:b/>
              </w:rPr>
            </w:pPr>
            <w:r w:rsidRPr="00260996">
              <w:rPr>
                <w:b/>
              </w:rPr>
              <w:t>Number of incident cases of cancer</w:t>
            </w:r>
          </w:p>
        </w:tc>
        <w:tc>
          <w:tcPr>
            <w:tcW w:w="862" w:type="pct"/>
            <w:tcBorders>
              <w:bottom w:val="single" w:sz="4" w:space="0" w:color="auto"/>
            </w:tcBorders>
            <w:vAlign w:val="center"/>
          </w:tcPr>
          <w:p w14:paraId="3E74738E" w14:textId="77777777" w:rsidR="009118ED" w:rsidRPr="00260996" w:rsidRDefault="009118ED" w:rsidP="00260996">
            <w:pPr>
              <w:pStyle w:val="TableText0"/>
              <w:rPr>
                <w:b/>
              </w:rPr>
            </w:pPr>
            <w:r w:rsidRPr="00260996">
              <w:rPr>
                <w:b/>
              </w:rPr>
              <w:t>% of total</w:t>
            </w:r>
          </w:p>
        </w:tc>
      </w:tr>
      <w:tr w:rsidR="009118ED" w:rsidRPr="00DA25B7" w14:paraId="06E06796" w14:textId="77777777" w:rsidTr="003929ED">
        <w:trPr>
          <w:trHeight w:val="255"/>
        </w:trPr>
        <w:tc>
          <w:tcPr>
            <w:tcW w:w="2277" w:type="pct"/>
            <w:noWrap/>
            <w:vAlign w:val="center"/>
            <w:hideMark/>
          </w:tcPr>
          <w:p w14:paraId="53AAD2B4" w14:textId="0B99362F" w:rsidR="009118ED" w:rsidRPr="00DA25B7" w:rsidRDefault="00951C12" w:rsidP="00260996">
            <w:pPr>
              <w:pStyle w:val="Tabletext1"/>
            </w:pPr>
            <w:r>
              <w:t>0–</w:t>
            </w:r>
            <w:r w:rsidR="009118ED" w:rsidRPr="00DA25B7">
              <w:t>14</w:t>
            </w:r>
          </w:p>
        </w:tc>
        <w:tc>
          <w:tcPr>
            <w:tcW w:w="1861" w:type="pct"/>
            <w:noWrap/>
            <w:vAlign w:val="center"/>
            <w:hideMark/>
          </w:tcPr>
          <w:p w14:paraId="5B622D6A" w14:textId="77777777" w:rsidR="009118ED" w:rsidRPr="00DA25B7" w:rsidRDefault="009118ED" w:rsidP="00260996">
            <w:pPr>
              <w:pStyle w:val="Tabletext1"/>
            </w:pPr>
            <w:r w:rsidRPr="00DA25B7">
              <w:t>322</w:t>
            </w:r>
          </w:p>
        </w:tc>
        <w:tc>
          <w:tcPr>
            <w:tcW w:w="862" w:type="pct"/>
            <w:tcBorders>
              <w:top w:val="single" w:sz="4" w:space="0" w:color="auto"/>
              <w:left w:val="nil"/>
              <w:bottom w:val="single" w:sz="4" w:space="0" w:color="auto"/>
              <w:right w:val="single" w:sz="4" w:space="0" w:color="auto"/>
            </w:tcBorders>
            <w:shd w:val="clear" w:color="auto" w:fill="auto"/>
            <w:vAlign w:val="center"/>
          </w:tcPr>
          <w:p w14:paraId="6075162B" w14:textId="78316E38" w:rsidR="009118ED" w:rsidRPr="00DA25B7" w:rsidRDefault="00951C12" w:rsidP="00260996">
            <w:pPr>
              <w:pStyle w:val="Tabletext1"/>
            </w:pPr>
            <w:r>
              <w:t>4.9</w:t>
            </w:r>
          </w:p>
        </w:tc>
      </w:tr>
      <w:tr w:rsidR="009118ED" w:rsidRPr="00DA25B7" w14:paraId="5D50F45E" w14:textId="77777777" w:rsidTr="003929ED">
        <w:trPr>
          <w:trHeight w:val="255"/>
        </w:trPr>
        <w:tc>
          <w:tcPr>
            <w:tcW w:w="2277" w:type="pct"/>
            <w:noWrap/>
            <w:vAlign w:val="center"/>
            <w:hideMark/>
          </w:tcPr>
          <w:p w14:paraId="69F2918C" w14:textId="457AC0EE" w:rsidR="009118ED" w:rsidRPr="00DA25B7" w:rsidRDefault="00951C12" w:rsidP="00260996">
            <w:pPr>
              <w:pStyle w:val="Tabletext1"/>
            </w:pPr>
            <w:r>
              <w:t>15–</w:t>
            </w:r>
            <w:r w:rsidR="009118ED" w:rsidRPr="00DA25B7">
              <w:t>24</w:t>
            </w:r>
          </w:p>
        </w:tc>
        <w:tc>
          <w:tcPr>
            <w:tcW w:w="1861" w:type="pct"/>
            <w:noWrap/>
            <w:vAlign w:val="center"/>
            <w:hideMark/>
          </w:tcPr>
          <w:p w14:paraId="19C6A092" w14:textId="77777777" w:rsidR="009118ED" w:rsidRPr="00DA25B7" w:rsidRDefault="009118ED" w:rsidP="00260996">
            <w:pPr>
              <w:pStyle w:val="Tabletext1"/>
            </w:pPr>
            <w:r w:rsidRPr="00DA25B7">
              <w:t>432</w:t>
            </w:r>
          </w:p>
        </w:tc>
        <w:tc>
          <w:tcPr>
            <w:tcW w:w="862" w:type="pct"/>
            <w:tcBorders>
              <w:top w:val="single" w:sz="4" w:space="0" w:color="auto"/>
              <w:left w:val="nil"/>
              <w:bottom w:val="single" w:sz="4" w:space="0" w:color="auto"/>
              <w:right w:val="single" w:sz="4" w:space="0" w:color="auto"/>
            </w:tcBorders>
            <w:shd w:val="clear" w:color="auto" w:fill="auto"/>
            <w:vAlign w:val="center"/>
          </w:tcPr>
          <w:p w14:paraId="740ACC6A" w14:textId="548A8136" w:rsidR="009118ED" w:rsidRPr="00DA25B7" w:rsidRDefault="00951C12" w:rsidP="00260996">
            <w:pPr>
              <w:pStyle w:val="Tabletext1"/>
            </w:pPr>
            <w:r>
              <w:t>6.6</w:t>
            </w:r>
          </w:p>
        </w:tc>
      </w:tr>
      <w:tr w:rsidR="009118ED" w:rsidRPr="00DA25B7" w14:paraId="1847B291" w14:textId="77777777" w:rsidTr="003929ED">
        <w:trPr>
          <w:trHeight w:val="255"/>
        </w:trPr>
        <w:tc>
          <w:tcPr>
            <w:tcW w:w="2277" w:type="pct"/>
            <w:noWrap/>
            <w:vAlign w:val="center"/>
            <w:hideMark/>
          </w:tcPr>
          <w:p w14:paraId="05BBAFB7" w14:textId="41F5BFF1" w:rsidR="009118ED" w:rsidRPr="00DA25B7" w:rsidRDefault="009118ED" w:rsidP="00260996">
            <w:pPr>
              <w:pStyle w:val="Tabletext1"/>
              <w:rPr>
                <w:bCs/>
              </w:rPr>
            </w:pPr>
            <w:r w:rsidRPr="00DA25B7">
              <w:rPr>
                <w:bCs/>
              </w:rPr>
              <w:t>25</w:t>
            </w:r>
            <w:r w:rsidR="00951C12">
              <w:t>–</w:t>
            </w:r>
            <w:r w:rsidRPr="00DA25B7">
              <w:rPr>
                <w:bCs/>
              </w:rPr>
              <w:t>39</w:t>
            </w:r>
          </w:p>
        </w:tc>
        <w:tc>
          <w:tcPr>
            <w:tcW w:w="1861" w:type="pct"/>
            <w:noWrap/>
            <w:vAlign w:val="center"/>
            <w:hideMark/>
          </w:tcPr>
          <w:p w14:paraId="0C50B2BC" w14:textId="77777777" w:rsidR="009118ED" w:rsidRPr="00DA25B7" w:rsidRDefault="009118ED" w:rsidP="00260996">
            <w:pPr>
              <w:pStyle w:val="Tabletext1"/>
              <w:rPr>
                <w:bCs/>
              </w:rPr>
            </w:pPr>
            <w:r w:rsidRPr="00DA25B7">
              <w:rPr>
                <w:bCs/>
              </w:rPr>
              <w:t>3,320</w:t>
            </w:r>
          </w:p>
        </w:tc>
        <w:tc>
          <w:tcPr>
            <w:tcW w:w="862" w:type="pct"/>
            <w:tcBorders>
              <w:top w:val="single" w:sz="4" w:space="0" w:color="auto"/>
              <w:left w:val="nil"/>
              <w:bottom w:val="single" w:sz="4" w:space="0" w:color="auto"/>
              <w:right w:val="single" w:sz="4" w:space="0" w:color="auto"/>
            </w:tcBorders>
            <w:shd w:val="clear" w:color="auto" w:fill="auto"/>
            <w:vAlign w:val="center"/>
          </w:tcPr>
          <w:p w14:paraId="0EE59311" w14:textId="2C4F6F70" w:rsidR="009118ED" w:rsidRPr="00DA25B7" w:rsidRDefault="00951C12" w:rsidP="00260996">
            <w:pPr>
              <w:pStyle w:val="Tabletext1"/>
              <w:rPr>
                <w:bCs/>
              </w:rPr>
            </w:pPr>
            <w:r>
              <w:t>50.9</w:t>
            </w:r>
          </w:p>
        </w:tc>
      </w:tr>
      <w:tr w:rsidR="009118ED" w:rsidRPr="00DA25B7" w14:paraId="352651B5" w14:textId="77777777" w:rsidTr="003929ED">
        <w:trPr>
          <w:trHeight w:val="255"/>
        </w:trPr>
        <w:tc>
          <w:tcPr>
            <w:tcW w:w="2277" w:type="pct"/>
            <w:noWrap/>
            <w:vAlign w:val="center"/>
            <w:hideMark/>
          </w:tcPr>
          <w:p w14:paraId="119A31C8" w14:textId="3F013149" w:rsidR="009118ED" w:rsidRPr="00DA25B7" w:rsidRDefault="00951C12" w:rsidP="00260996">
            <w:pPr>
              <w:pStyle w:val="Tabletext1"/>
            </w:pPr>
            <w:r>
              <w:t>40–</w:t>
            </w:r>
            <w:r w:rsidR="009118ED" w:rsidRPr="00DA25B7">
              <w:t>44</w:t>
            </w:r>
          </w:p>
        </w:tc>
        <w:tc>
          <w:tcPr>
            <w:tcW w:w="1861" w:type="pct"/>
            <w:noWrap/>
            <w:vAlign w:val="center"/>
            <w:hideMark/>
          </w:tcPr>
          <w:p w14:paraId="6374759C" w14:textId="77777777" w:rsidR="009118ED" w:rsidRPr="00DA25B7" w:rsidRDefault="009118ED" w:rsidP="00260996">
            <w:pPr>
              <w:pStyle w:val="Tabletext1"/>
            </w:pPr>
            <w:r w:rsidRPr="00DA25B7">
              <w:t>2,446</w:t>
            </w:r>
          </w:p>
        </w:tc>
        <w:tc>
          <w:tcPr>
            <w:tcW w:w="862" w:type="pct"/>
            <w:tcBorders>
              <w:top w:val="single" w:sz="4" w:space="0" w:color="auto"/>
              <w:left w:val="nil"/>
              <w:bottom w:val="single" w:sz="4" w:space="0" w:color="auto"/>
              <w:right w:val="single" w:sz="4" w:space="0" w:color="auto"/>
            </w:tcBorders>
            <w:shd w:val="clear" w:color="auto" w:fill="auto"/>
            <w:vAlign w:val="center"/>
          </w:tcPr>
          <w:p w14:paraId="05D0C51B" w14:textId="4F377A4D" w:rsidR="009118ED" w:rsidRPr="00DA25B7" w:rsidRDefault="00951C12" w:rsidP="00260996">
            <w:pPr>
              <w:pStyle w:val="Tabletext1"/>
            </w:pPr>
            <w:r>
              <w:t>37.5</w:t>
            </w:r>
          </w:p>
        </w:tc>
      </w:tr>
      <w:tr w:rsidR="009118ED" w:rsidRPr="00DA25B7" w14:paraId="7279354E" w14:textId="77777777" w:rsidTr="003929ED">
        <w:trPr>
          <w:trHeight w:val="255"/>
        </w:trPr>
        <w:tc>
          <w:tcPr>
            <w:tcW w:w="2277" w:type="pct"/>
            <w:noWrap/>
            <w:vAlign w:val="center"/>
            <w:hideMark/>
          </w:tcPr>
          <w:p w14:paraId="1A196FBD" w14:textId="0A569902" w:rsidR="009118ED" w:rsidRPr="00260996" w:rsidRDefault="00951C12" w:rsidP="00260996">
            <w:pPr>
              <w:pStyle w:val="Tabletext1"/>
              <w:rPr>
                <w:b/>
              </w:rPr>
            </w:pPr>
            <w:r w:rsidRPr="00260996">
              <w:rPr>
                <w:b/>
              </w:rPr>
              <w:t>Total (0–</w:t>
            </w:r>
            <w:r w:rsidR="009118ED" w:rsidRPr="00260996">
              <w:rPr>
                <w:b/>
              </w:rPr>
              <w:t>44)</w:t>
            </w:r>
          </w:p>
        </w:tc>
        <w:tc>
          <w:tcPr>
            <w:tcW w:w="1861" w:type="pct"/>
            <w:noWrap/>
            <w:vAlign w:val="center"/>
            <w:hideMark/>
          </w:tcPr>
          <w:p w14:paraId="5CE0571D" w14:textId="77777777" w:rsidR="009118ED" w:rsidRPr="00260996" w:rsidRDefault="009118ED" w:rsidP="00260996">
            <w:pPr>
              <w:pStyle w:val="Tabletext1"/>
              <w:rPr>
                <w:b/>
              </w:rPr>
            </w:pPr>
            <w:r w:rsidRPr="00260996">
              <w:rPr>
                <w:b/>
              </w:rPr>
              <w:t>6,520</w:t>
            </w:r>
          </w:p>
        </w:tc>
        <w:tc>
          <w:tcPr>
            <w:tcW w:w="862" w:type="pct"/>
            <w:tcBorders>
              <w:top w:val="single" w:sz="4" w:space="0" w:color="auto"/>
            </w:tcBorders>
            <w:vAlign w:val="center"/>
          </w:tcPr>
          <w:p w14:paraId="257AC8E1" w14:textId="197F092F" w:rsidR="009118ED" w:rsidRPr="00260996" w:rsidRDefault="00951C12" w:rsidP="00260996">
            <w:pPr>
              <w:pStyle w:val="Tabletext1"/>
              <w:rPr>
                <w:b/>
              </w:rPr>
            </w:pPr>
            <w:r w:rsidRPr="00260996">
              <w:rPr>
                <w:b/>
              </w:rPr>
              <w:t>100</w:t>
            </w:r>
          </w:p>
        </w:tc>
      </w:tr>
      <w:tr w:rsidR="009118ED" w:rsidRPr="00C55356" w14:paraId="2C6D5263" w14:textId="77777777" w:rsidTr="003929ED">
        <w:trPr>
          <w:trHeight w:val="255"/>
        </w:trPr>
        <w:tc>
          <w:tcPr>
            <w:tcW w:w="2277" w:type="pct"/>
            <w:noWrap/>
            <w:vAlign w:val="center"/>
          </w:tcPr>
          <w:p w14:paraId="2EFEDBCF" w14:textId="77777777" w:rsidR="009118ED" w:rsidRPr="00C55356" w:rsidRDefault="009118ED" w:rsidP="00260996">
            <w:pPr>
              <w:pStyle w:val="Tabletext1"/>
            </w:pPr>
            <w:r>
              <w:t>%</w:t>
            </w:r>
            <w:r w:rsidRPr="00C55356">
              <w:t xml:space="preserve"> </w:t>
            </w:r>
            <w:r>
              <w:t xml:space="preserve">of patients </w:t>
            </w:r>
            <w:r w:rsidRPr="00C55356">
              <w:t>undergoing gonadotoxic treatment</w:t>
            </w:r>
          </w:p>
        </w:tc>
        <w:tc>
          <w:tcPr>
            <w:tcW w:w="1861" w:type="pct"/>
            <w:noWrap/>
            <w:vAlign w:val="center"/>
          </w:tcPr>
          <w:p w14:paraId="02437263" w14:textId="77777777" w:rsidR="009118ED" w:rsidRPr="00C55356" w:rsidRDefault="009118ED" w:rsidP="00260996">
            <w:pPr>
              <w:pStyle w:val="Tabletext1"/>
            </w:pPr>
            <w:r>
              <w:t>50%</w:t>
            </w:r>
          </w:p>
        </w:tc>
        <w:tc>
          <w:tcPr>
            <w:tcW w:w="862" w:type="pct"/>
            <w:vAlign w:val="center"/>
          </w:tcPr>
          <w:p w14:paraId="7087FFCD" w14:textId="77777777" w:rsidR="009118ED" w:rsidRDefault="009118ED" w:rsidP="00260996">
            <w:pPr>
              <w:pStyle w:val="Tabletext1"/>
            </w:pPr>
          </w:p>
        </w:tc>
      </w:tr>
      <w:tr w:rsidR="009118ED" w:rsidRPr="009A78F9" w14:paraId="283A9E6F" w14:textId="77777777" w:rsidTr="003929ED">
        <w:trPr>
          <w:trHeight w:val="255"/>
        </w:trPr>
        <w:tc>
          <w:tcPr>
            <w:tcW w:w="2277" w:type="pct"/>
            <w:noWrap/>
            <w:vAlign w:val="center"/>
          </w:tcPr>
          <w:p w14:paraId="78FE748E" w14:textId="77777777" w:rsidR="009118ED" w:rsidRPr="00260996" w:rsidRDefault="009118ED" w:rsidP="00260996">
            <w:pPr>
              <w:pStyle w:val="Tabletext1"/>
              <w:rPr>
                <w:b/>
              </w:rPr>
            </w:pPr>
            <w:r w:rsidRPr="00260996">
              <w:rPr>
                <w:b/>
              </w:rPr>
              <w:t>Number of patients eligible for AMH testing</w:t>
            </w:r>
          </w:p>
        </w:tc>
        <w:tc>
          <w:tcPr>
            <w:tcW w:w="1861" w:type="pct"/>
            <w:noWrap/>
            <w:vAlign w:val="center"/>
          </w:tcPr>
          <w:p w14:paraId="54CA6E8F" w14:textId="6854D164" w:rsidR="009118ED" w:rsidRPr="00260996" w:rsidRDefault="009118ED" w:rsidP="00AE748A">
            <w:pPr>
              <w:pStyle w:val="Tabletext1"/>
              <w:rPr>
                <w:b/>
                <w:vertAlign w:val="superscript"/>
              </w:rPr>
            </w:pPr>
            <w:r w:rsidRPr="00260996">
              <w:rPr>
                <w:b/>
              </w:rPr>
              <w:t>3,260</w:t>
            </w:r>
            <w:r w:rsidR="00AE748A">
              <w:rPr>
                <w:b/>
                <w:vertAlign w:val="superscript"/>
              </w:rPr>
              <w:t>a</w:t>
            </w:r>
          </w:p>
        </w:tc>
        <w:tc>
          <w:tcPr>
            <w:tcW w:w="862" w:type="pct"/>
            <w:vAlign w:val="center"/>
          </w:tcPr>
          <w:p w14:paraId="75005144" w14:textId="77777777" w:rsidR="009118ED" w:rsidRPr="00260996" w:rsidRDefault="009118ED" w:rsidP="00260996">
            <w:pPr>
              <w:pStyle w:val="Tabletext1"/>
              <w:rPr>
                <w:b/>
              </w:rPr>
            </w:pPr>
          </w:p>
        </w:tc>
      </w:tr>
    </w:tbl>
    <w:p w14:paraId="0E797502" w14:textId="3DC640F2" w:rsidR="009118ED" w:rsidRPr="00951C12" w:rsidRDefault="00951C12" w:rsidP="00951C12">
      <w:pPr>
        <w:pStyle w:val="TableNotes1"/>
        <w:spacing w:before="0"/>
        <w:contextualSpacing/>
        <w:rPr>
          <w:sz w:val="18"/>
          <w:szCs w:val="18"/>
        </w:rPr>
      </w:pPr>
      <w:r w:rsidRPr="00951C12">
        <w:rPr>
          <w:sz w:val="18"/>
          <w:szCs w:val="18"/>
        </w:rPr>
        <w:t>AMH = a</w:t>
      </w:r>
      <w:r w:rsidR="009118ED" w:rsidRPr="00951C12">
        <w:rPr>
          <w:sz w:val="18"/>
          <w:szCs w:val="18"/>
        </w:rPr>
        <w:t>nti-Müllerian hormone</w:t>
      </w:r>
    </w:p>
    <w:p w14:paraId="0697722F" w14:textId="78A32A9D" w:rsidR="00951C12" w:rsidRPr="00951C12" w:rsidRDefault="00AE748A" w:rsidP="009118ED">
      <w:pPr>
        <w:pStyle w:val="TableNotes1"/>
        <w:spacing w:before="0"/>
        <w:contextualSpacing/>
        <w:rPr>
          <w:sz w:val="18"/>
          <w:szCs w:val="18"/>
        </w:rPr>
      </w:pPr>
      <w:r>
        <w:rPr>
          <w:sz w:val="18"/>
          <w:szCs w:val="18"/>
          <w:vertAlign w:val="superscript"/>
        </w:rPr>
        <w:t>a</w:t>
      </w:r>
      <w:r w:rsidR="00951C12" w:rsidRPr="00951C12">
        <w:rPr>
          <w:sz w:val="18"/>
          <w:szCs w:val="18"/>
        </w:rPr>
        <w:t xml:space="preserve"> 6,520 * 50%</w:t>
      </w:r>
    </w:p>
    <w:p w14:paraId="648A967B" w14:textId="31484B70" w:rsidR="009118ED" w:rsidRPr="00951C12" w:rsidRDefault="009118ED" w:rsidP="009118ED">
      <w:pPr>
        <w:pStyle w:val="TableNotes1"/>
        <w:spacing w:before="0"/>
        <w:contextualSpacing/>
        <w:rPr>
          <w:sz w:val="18"/>
          <w:szCs w:val="18"/>
        </w:rPr>
      </w:pPr>
      <w:r w:rsidRPr="00951C12">
        <w:rPr>
          <w:sz w:val="18"/>
          <w:szCs w:val="18"/>
        </w:rPr>
        <w:t>Source: Chapter 3; Table A3.1: Estimated incidence rates of all cancers combined, by age at diagnosis and sex, 2017</w:t>
      </w:r>
      <w:r w:rsidR="002B4DC5">
        <w:rPr>
          <w:sz w:val="18"/>
          <w:szCs w:val="18"/>
        </w:rPr>
        <w:t xml:space="preserve"> </w:t>
      </w:r>
      <w:r w:rsidRPr="00951C12">
        <w:rPr>
          <w:sz w:val="18"/>
          <w:szCs w:val="18"/>
        </w:rPr>
        <w:fldChar w:fldCharType="begin"/>
      </w:r>
      <w:r w:rsidRPr="00951C12">
        <w:rPr>
          <w:sz w:val="18"/>
          <w:szCs w:val="18"/>
        </w:rPr>
        <w:instrText xml:space="preserve"> ADDIN EN.CITE &lt;EndNote&gt;&lt;Cite&gt;&lt;Author&gt;Australian Institute of Health and Welfare&lt;/Author&gt;&lt;Year&gt;2017&lt;/Year&gt;&lt;RecNum&gt;42&lt;/RecNum&gt;&lt;IDText&gt;205&lt;/IDText&gt;&lt;DisplayText&gt;(Australian Institute of Health and Welfare 2017)&lt;/DisplayText&gt;&lt;record&gt;&lt;rec-number&gt;42&lt;/rec-number&gt;&lt;foreign-keys&gt;&lt;key app="EN" db-id="s2dftfxw1fvsr1efx58vfvxtvfwzxea0td02" timestamp="1511748064"&gt;42&lt;/key&gt;&lt;/foreign-keys&gt;&lt;ref-type name="Catalog"&gt;8&lt;/ref-type&gt;&lt;contributors&gt;&lt;authors&gt;&lt;author&gt;Australian Institute of Health and Welfare, &lt;/author&gt;&lt;/authors&gt;&lt;/contributors&gt;&lt;titles&gt;&lt;title&gt;Cancer in Australia 2017&lt;/title&gt;&lt;secondary-title&gt;Cancer series no. 101. Cat. no. CAN 100&lt;/secondary-title&gt;&lt;/titles&gt;&lt;pages&gt;205&lt;/pages&gt;&lt;num-vols&gt;CAN 100&lt;/num-vols&gt;&lt;dates&gt;&lt;year&gt;2017&lt;/year&gt;&lt;/dates&gt;&lt;pub-location&gt;Canberra&lt;/pub-location&gt;&lt;publisher&gt;AIHW&lt;/publisher&gt;&lt;urls&gt;&lt;related-urls&gt;&lt;url&gt;https://www.aihw.gov.au/getmedia/3da1f3c2-30f0-4475-8aed-1f19f8e16d48/20066-cancer-2017.pdf.aspx?inline=true&lt;/url&gt;&lt;/related-urls&gt;&lt;/urls&gt;&lt;/record&gt;&lt;/Cite&gt;&lt;/EndNote&gt;</w:instrText>
      </w:r>
      <w:r w:rsidRPr="00951C12">
        <w:rPr>
          <w:sz w:val="18"/>
          <w:szCs w:val="18"/>
        </w:rPr>
        <w:fldChar w:fldCharType="separate"/>
      </w:r>
      <w:r w:rsidRPr="00951C12">
        <w:rPr>
          <w:noProof/>
          <w:sz w:val="18"/>
          <w:szCs w:val="18"/>
        </w:rPr>
        <w:t>(</w:t>
      </w:r>
      <w:hyperlink w:anchor="_ENREF_9" w:tooltip="Australian Institute of Health and Welfare, 2017 #42" w:history="1">
        <w:r w:rsidR="00835BA6" w:rsidRPr="00951C12">
          <w:rPr>
            <w:noProof/>
            <w:sz w:val="18"/>
            <w:szCs w:val="18"/>
          </w:rPr>
          <w:t>Australian Institute of Health and Welfare 2017</w:t>
        </w:r>
      </w:hyperlink>
      <w:r w:rsidRPr="00951C12">
        <w:rPr>
          <w:noProof/>
          <w:sz w:val="18"/>
          <w:szCs w:val="18"/>
        </w:rPr>
        <w:t>)</w:t>
      </w:r>
      <w:r w:rsidRPr="00951C12">
        <w:rPr>
          <w:sz w:val="18"/>
          <w:szCs w:val="18"/>
        </w:rPr>
        <w:fldChar w:fldCharType="end"/>
      </w:r>
      <w:r w:rsidR="00951C12">
        <w:rPr>
          <w:sz w:val="18"/>
          <w:szCs w:val="18"/>
        </w:rPr>
        <w:t>.</w:t>
      </w:r>
    </w:p>
    <w:p w14:paraId="33BBD4D6" w14:textId="77777777" w:rsidR="009118ED" w:rsidRDefault="009118ED" w:rsidP="009118ED">
      <w:pPr>
        <w:pStyle w:val="Heading5"/>
      </w:pPr>
      <w:r>
        <w:t>Proportion of female cancer patients referred to fertility specialists</w:t>
      </w:r>
    </w:p>
    <w:p w14:paraId="47E0DBA6" w14:textId="1104663C" w:rsidR="009118ED" w:rsidRDefault="009118ED" w:rsidP="009118ED">
      <w:pPr>
        <w:jc w:val="both"/>
      </w:pPr>
      <w:r>
        <w:t>There is little evidence on the proportion of oncology patients being specifically referred for oncofertility counselling. A proportion of patients who are too young</w:t>
      </w:r>
      <w:r w:rsidR="00951C12">
        <w:t>,</w:t>
      </w:r>
      <w:r>
        <w:t xml:space="preserve"> or do not desire fertility preservation due to advance</w:t>
      </w:r>
      <w:r w:rsidR="00951C12">
        <w:t>d</w:t>
      </w:r>
      <w:r>
        <w:t xml:space="preserve"> age or having had completed their families</w:t>
      </w:r>
      <w:r w:rsidR="00951C12">
        <w:t>,</w:t>
      </w:r>
      <w:r>
        <w:t xml:space="preserve"> may not want AMH tests. A recently published systematic review on oncofertility support needs for cancer patients of a </w:t>
      </w:r>
      <w:r w:rsidR="00951C12">
        <w:t>reproductive age (14–45 years</w:t>
      </w:r>
      <w:r>
        <w:t xml:space="preserve">) reported that </w:t>
      </w:r>
      <w:r w:rsidR="00951C12">
        <w:t xml:space="preserve">the </w:t>
      </w:r>
      <w:r>
        <w:t>proportion of women referred to a fertility specialist or service ranged from 14%</w:t>
      </w:r>
      <w:r w:rsidR="00951C12">
        <w:t xml:space="preserve"> to </w:t>
      </w:r>
      <w:r>
        <w:t xml:space="preserve">67% between 2012 and 2016. In the case where 67% of the newly diagnosed breast cancer patients were referred for fertility preservation, 59% actually attended a fertility consultation </w:t>
      </w:r>
      <w:r>
        <w:fldChar w:fldCharType="begin">
          <w:fldData xml:space="preserve">PEVuZE5vdGU+PENpdGU+PEF1dGhvcj5Mb2dhbjwvQXV0aG9yPjxZZWFyPjIwMTc8L1llYXI+PFJl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</w:fldData>
        </w:fldChar>
      </w:r>
      <w:r>
        <w:instrText xml:space="preserve"> ADDIN EN.CITE </w:instrText>
      </w:r>
      <w:r>
        <w:fldChar w:fldCharType="begin">
          <w:fldData xml:space="preserve">PEVuZE5vdGU+PENpdGU+PEF1dGhvcj5Mb2dhbjwvQXV0aG9yPjxZZWFyPjIwMTc8L1llYXI+PFJl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</w:fldData>
        </w:fldChar>
      </w:r>
      <w:r>
        <w:instrText xml:space="preserve"> ADDIN EN.CITE.DATA </w:instrText>
      </w:r>
      <w:r>
        <w:fldChar w:fldCharType="end"/>
      </w:r>
      <w:r>
        <w:fldChar w:fldCharType="separate"/>
      </w:r>
      <w:r>
        <w:rPr>
          <w:noProof/>
        </w:rPr>
        <w:t>(</w:t>
      </w:r>
      <w:hyperlink w:anchor="_ENREF_38" w:tooltip="Logan, 2017 #235" w:history="1">
        <w:r w:rsidR="00835BA6">
          <w:rPr>
            <w:noProof/>
          </w:rPr>
          <w:t>Logan et al. 2017</w:t>
        </w:r>
      </w:hyperlink>
      <w:r>
        <w:rPr>
          <w:noProof/>
        </w:rPr>
        <w:t>)</w:t>
      </w:r>
      <w:r>
        <w:fldChar w:fldCharType="end"/>
      </w:r>
      <w:r w:rsidR="00951C12">
        <w:t>.</w:t>
      </w:r>
    </w:p>
    <w:p w14:paraId="18575B34" w14:textId="7182F3CB" w:rsidR="009118ED" w:rsidRPr="0074166A" w:rsidRDefault="009118ED" w:rsidP="009118ED">
      <w:pPr>
        <w:jc w:val="both"/>
      </w:pPr>
      <w:r>
        <w:lastRenderedPageBreak/>
        <w:t>In the base</w:t>
      </w:r>
      <w:r w:rsidR="00DF36E4">
        <w:t xml:space="preserve"> </w:t>
      </w:r>
      <w:r>
        <w:t>case analysis, it is assumed that around 59% of the oncology patients would attend counselling for fertility preservation. Referral rates of 14% and 67% are assessed in sensitivity analysis.</w:t>
      </w:r>
    </w:p>
    <w:p w14:paraId="6A52A2F2" w14:textId="77777777" w:rsidR="009118ED" w:rsidRPr="0025683D" w:rsidRDefault="009118ED" w:rsidP="009118ED">
      <w:pPr>
        <w:pStyle w:val="Heading4"/>
      </w:pPr>
      <w:r>
        <w:t>Non-cancer patients</w:t>
      </w:r>
    </w:p>
    <w:p w14:paraId="7F41FB92" w14:textId="53A103AD" w:rsidR="009118ED" w:rsidRDefault="009118ED" w:rsidP="009118ED">
      <w:pPr>
        <w:jc w:val="both"/>
      </w:pPr>
      <w:r>
        <w:t xml:space="preserve">In addition to malignant conditions, there are number of non-malignant indications that may require gonadotoxic treatment. Data reporting this proportion in Australian settings could not be identified. Demeestere et al reported that non-oncological conditions represented nearly 20% of the indications in the studied population of patients requiring fertility preservation </w:t>
      </w:r>
      <w:r>
        <w:fldChar w:fldCharType="begin"/>
      </w:r>
      <w:r>
        <w:instrText xml:space="preserve"> ADDIN EN.CITE &lt;EndNote&gt;&lt;Cite&gt;&lt;Author&gt;Demeestere&lt;/Author&gt;&lt;Year&gt;2009&lt;/Year&gt;&lt;RecNum&gt;115&lt;/RecNum&gt;&lt;IDText&gt;649-65&lt;/IDText&gt;&lt;DisplayText&gt;(Demeestere et al. 2009)&lt;/DisplayText&gt;&lt;record&gt;&lt;rec-number&gt;115&lt;/rec-number&gt;&lt;foreign-keys&gt;&lt;key app="EN" db-id="s2dftfxw1fvsr1efx58vfvxtvfwzxea0td02" timestamp="1511748070"&gt;115&lt;/key&gt;&lt;/foreign-keys&gt;&lt;ref-type name="Journal Article"&gt;17&lt;/ref-type&gt;&lt;contributors&gt;&lt;authors&gt;&lt;author&gt;Demeestere, I.&lt;/author&gt;&lt;author&gt;Simon, P.&lt;/author&gt;&lt;author&gt;Emiliani, S.&lt;/author&gt;&lt;author&gt;Delbaere, A.&lt;/author&gt;&lt;author&gt;Englert, Y.&lt;/author&gt;&lt;/authors&gt;&lt;/contributors&gt;&lt;auth-address&gt;Research Laboratory on Human Reproduction, Medicine Faculty, Universite Libre de Bruxelles (ULB), Erasme Hospital, 808 Route de Lennik, 1070 Brussels, Belgium. idemeest@ulb.ac.be&lt;/auth-address&gt;&lt;titles&gt;&lt;title&gt;Orthotopic and heterotopic ovarian tissue transplantation&lt;/title&gt;&lt;secondary-title&gt;Hum Reprod Update&lt;/secondary-title&gt;&lt;/titles&gt;&lt;periodical&gt;&lt;full-title&gt;Hum Reprod Update&lt;/full-title&gt;&lt;/periodical&gt;&lt;pages&gt;649-65&lt;/pages&gt;&lt;volume&gt;15&lt;/volume&gt;&lt;number&gt;6&lt;/number&gt;&lt;keywords&gt;&lt;keyword&gt;Animals&lt;/keyword&gt;&lt;keyword&gt;Cryopreservation/methods&lt;/keyword&gt;&lt;keyword&gt;Female&lt;/keyword&gt;&lt;keyword&gt;Humans&lt;/keyword&gt;&lt;keyword&gt;Infertility/*therapy&lt;/keyword&gt;&lt;keyword&gt;Neovascularization, Physiologic/physiology&lt;/keyword&gt;&lt;keyword&gt;Ovary/blood supply/*transplantation&lt;/keyword&gt;&lt;keyword&gt;Pregnancy&lt;/keyword&gt;&lt;keyword&gt;Transplantation, Heterotopic/*methods&lt;/keyword&gt;&lt;/keywords&gt;&lt;dates&gt;&lt;year&gt;2009&lt;/year&gt;&lt;pub-dates&gt;&lt;date&gt;Nov-Dec&lt;/date&gt;&lt;/pub-dates&gt;&lt;/dates&gt;&lt;isbn&gt;1460-2369 (Electronic)&amp;#xD;1355-4786 (Linking)&lt;/isbn&gt;&lt;accession-num&gt;19474206&lt;/accession-num&gt;&lt;urls&gt;&lt;related-urls&gt;&lt;url&gt;http://www.ncbi.nlm.nih.gov/pubmed/19474206&lt;/url&gt;&lt;url&gt;https://www.ncbi.nlm.nih.gov/pmc/articles/PMC2759329/pdf/dmp021.pdf&lt;/url&gt;&lt;/related-urls&gt;&lt;/urls&gt;&lt;custom2&gt;2759329&lt;/custom2&gt;&lt;electronic-resource-num&gt;10.1093/humupd/dmp021&lt;/electronic-resource-num&gt;&lt;/record&gt;&lt;/Cite&gt;&lt;/EndNote&gt;</w:instrText>
      </w:r>
      <w:r>
        <w:fldChar w:fldCharType="separate"/>
      </w:r>
      <w:r>
        <w:rPr>
          <w:noProof/>
        </w:rPr>
        <w:t>(</w:t>
      </w:r>
      <w:hyperlink w:anchor="_ENREF_19" w:tooltip="Demeestere, 2009 #115" w:history="1">
        <w:r w:rsidR="00835BA6">
          <w:rPr>
            <w:noProof/>
          </w:rPr>
          <w:t>Demeestere et al. 2009</w:t>
        </w:r>
      </w:hyperlink>
      <w:r>
        <w:rPr>
          <w:noProof/>
        </w:rPr>
        <w:t>)</w:t>
      </w:r>
      <w:r>
        <w:fldChar w:fldCharType="end"/>
      </w:r>
      <w:r>
        <w:t xml:space="preserve">. A recent </w:t>
      </w:r>
      <w:r w:rsidR="00951C12">
        <w:t>meta-analysis</w:t>
      </w:r>
      <w:r>
        <w:t xml:space="preserve"> conducted to </w:t>
      </w:r>
      <w:r w:rsidRPr="00B53993">
        <w:t>determine cohort epidemiologic</w:t>
      </w:r>
      <w:r w:rsidR="00951C12">
        <w:t>al</w:t>
      </w:r>
      <w:r w:rsidRPr="00B53993">
        <w:t xml:space="preserve"> characteristics and success rates of autologous ovarian tissue transplantation </w:t>
      </w:r>
      <w:r>
        <w:t xml:space="preserve">reported that approximately 78% of the women undergoing fertility preservation due to gonadotoxic treatment had malignant conditions and 22% had non-malignant indications </w:t>
      </w:r>
      <w:r>
        <w:fldChar w:fldCharType="begin"/>
      </w:r>
      <w:r>
        <w:instrText xml:space="preserve"> ADDIN EN.CITE &lt;EndNote&gt;&lt;Cite&gt;&lt;Author&gt;Pacheco&lt;/Author&gt;&lt;Year&gt;2017&lt;/Year&gt;&lt;RecNum&gt;279&lt;/RecNum&gt;&lt;IDText&gt;1111-1120&lt;/IDText&gt;&lt;DisplayText&gt;(Pacheco &amp;amp; Oktay 2017)&lt;/DisplayText&gt;&lt;record&gt;&lt;rec-number&gt;279&lt;/rec-number&gt;&lt;foreign-keys&gt;&lt;key app="EN" db-id="s2dftfxw1fvsr1efx58vfvxtvfwzxea0td02" timestamp="1511748090"&gt;279&lt;/key&gt;&lt;/foreign-keys&gt;&lt;ref-type name="Journal Article"&gt;17&lt;/ref-type&gt;&lt;contributors&gt;&lt;authors&gt;&lt;author&gt;Pacheco, F.&lt;/author&gt;&lt;author&gt;Oktay, K.&lt;/author&gt;&lt;/authors&gt;&lt;/contributors&gt;&lt;auth-address&gt;1 Innovation Fertility Preservation &amp;amp; IVF, New York, NY, USA.&amp;#xD;2 Division of Reproductive Medicine, Department of Obstetrics and Gynecology, New York Medical College, Valhalla, NY, USA.&amp;#xD;3 Classiclinica, Porto Alegre, Rio Grande do Sul, Brazil.&lt;/auth-address&gt;&lt;titles&gt;&lt;title&gt;Current Success and Efficiency of Autologous Ovarian Transplantation: A Meta-Analysis&lt;/title&gt;&lt;secondary-title&gt;Reprod Sci&lt;/secondary-title&gt;&lt;/titles&gt;&lt;periodical&gt;&lt;full-title&gt;Reprod Sci&lt;/full-title&gt;&lt;/periodical&gt;&lt;pages&gt;1111-1120&lt;/pages&gt;&lt;volume&gt;24&lt;/volume&gt;&lt;number&gt;8&lt;/number&gt;&lt;keywords&gt;&lt;keyword&gt;cryopreservation&lt;/keyword&gt;&lt;keyword&gt;fertility preservation&lt;/keyword&gt;&lt;keyword&gt;ovary&lt;/keyword&gt;&lt;keyword&gt;transplantation&lt;/keyword&gt;&lt;/keywords&gt;&lt;dates&gt;&lt;year&gt;2017&lt;/year&gt;&lt;pub-dates&gt;&lt;date&gt;Aug&lt;/date&gt;&lt;/pub-dates&gt;&lt;/dates&gt;&lt;isbn&gt;1933-7205 (Electronic)&amp;#xD;1933-7191 (Linking)&lt;/isbn&gt;&lt;accession-num&gt;28701069&lt;/accession-num&gt;&lt;urls&gt;&lt;related-urls&gt;&lt;url&gt;http://www.ncbi.nlm.nih.gov/pubmed/28701069&lt;/url&gt;&lt;/related-urls&gt;&lt;/urls&gt;&lt;electronic-resource-num&gt;10.1177/1933719117702251&lt;/electronic-resource-num&gt;&lt;/record&gt;&lt;/Cite&gt;&lt;/EndNote&gt;</w:instrText>
      </w:r>
      <w:r>
        <w:fldChar w:fldCharType="separate"/>
      </w:r>
      <w:r>
        <w:rPr>
          <w:noProof/>
        </w:rPr>
        <w:t>(</w:t>
      </w:r>
      <w:hyperlink w:anchor="_ENREF_53" w:tooltip="Pacheco, 2017 #279" w:history="1">
        <w:r w:rsidR="00835BA6">
          <w:rPr>
            <w:noProof/>
          </w:rPr>
          <w:t>Pacheco &amp; Oktay 2017</w:t>
        </w:r>
      </w:hyperlink>
      <w:r>
        <w:rPr>
          <w:noProof/>
        </w:rPr>
        <w:t>)</w:t>
      </w:r>
      <w:r>
        <w:fldChar w:fldCharType="end"/>
      </w:r>
      <w:r>
        <w:t>. Based o</w:t>
      </w:r>
      <w:r w:rsidR="001E4DF5">
        <w:t>n the proportion reported in this</w:t>
      </w:r>
      <w:r>
        <w:t xml:space="preserve"> m</w:t>
      </w:r>
      <w:r w:rsidR="001E4DF5">
        <w:t xml:space="preserve">eta-analysis, </w:t>
      </w:r>
      <w:r>
        <w:t>it is assumed that the malignant indications will represent 78% of the target population and 22% of the patients will have non-malignant indications. Using this approach approximately 544 patients with non-malignant indications undergoing gonadotoxic treatment would have been counselled for fertility preservation in addition to 1</w:t>
      </w:r>
      <w:r w:rsidR="001E4DF5">
        <w:t>,930 oncology patients in 2017.</w:t>
      </w:r>
    </w:p>
    <w:p w14:paraId="215D1231" w14:textId="063D616B" w:rsidR="009118ED" w:rsidRDefault="009118ED" w:rsidP="009118ED">
      <w:pPr>
        <w:jc w:val="both"/>
      </w:pPr>
      <w:r>
        <w:t xml:space="preserve">In non-academic literature available to the public, the AMH test is known as the ‘Egg-Timer Test’ and is promoted as providing useful information to women who are delaying pregnancy </w:t>
      </w:r>
      <w:r w:rsidR="004308C4">
        <w:fldChar w:fldCharType="begin"/>
      </w:r>
      <w:r w:rsidR="004308C4">
        <w:instrText xml:space="preserve"> ADDIN EN.CITE &lt;EndNote&gt;&lt;Cite&gt;&lt;Author&gt;Monash IVF&lt;/Author&gt;&lt;Year&gt;2017&lt;/Year&gt;&lt;RecNum&gt;410&lt;/RecNum&gt;&lt;DisplayText&gt;(Monash IVF 2017)&lt;/DisplayText&gt;&lt;record&gt;&lt;rec-number&gt;410&lt;/rec-number&gt;&lt;foreign-keys&gt;&lt;key app="EN" db-id="s2dftfxw1fvsr1efx58vfvxtvfwzxea0td02" timestamp="1513137272"&gt;410&lt;/key&gt;&lt;/foreign-keys&gt;&lt;ref-type name="Web Page"&gt;12&lt;/ref-type&gt;&lt;contributors&gt;&lt;authors&gt;&lt;author&gt;Monash IVF,&lt;/author&gt;&lt;/authors&gt;&lt;/contributors&gt;&lt;titles&gt;&lt;title&gt;Understanding the Egg Timer Test – what is Ovarian Reserve &amp;amp; AMH? &lt;/title&gt;&lt;/titles&gt;&lt;number&gt;2 November 2017&lt;/number&gt;&lt;dates&gt;&lt;year&gt;2017&lt;/year&gt;&lt;/dates&gt;&lt;urls&gt;&lt;related-urls&gt;&lt;url&gt;https://monashivf.com/understanding-egg-timer-test-ovarian-reserve-amh/&lt;/url&gt;&lt;/related-urls&gt;&lt;/urls&gt;&lt;custom2&gt;2 November 2017&lt;/custom2&gt;&lt;/record&gt;&lt;/Cite&gt;&lt;/EndNote&gt;</w:instrText>
      </w:r>
      <w:r w:rsidR="004308C4">
        <w:fldChar w:fldCharType="separate"/>
      </w:r>
      <w:r w:rsidR="004308C4">
        <w:rPr>
          <w:noProof/>
        </w:rPr>
        <w:t>(</w:t>
      </w:r>
      <w:hyperlink w:anchor="_ENREF_44" w:tooltip="Monash IVF, 2017 #410" w:history="1">
        <w:r w:rsidR="00835BA6">
          <w:rPr>
            <w:noProof/>
          </w:rPr>
          <w:t>Monash IVF 2017</w:t>
        </w:r>
      </w:hyperlink>
      <w:r w:rsidR="004308C4">
        <w:rPr>
          <w:noProof/>
        </w:rPr>
        <w:t>)</w:t>
      </w:r>
      <w:r w:rsidR="004308C4">
        <w:fldChar w:fldCharType="end"/>
      </w:r>
      <w:r>
        <w:t xml:space="preserve">. Also, Tobler et al in 2015 </w:t>
      </w:r>
      <w:r>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instrText xml:space="preserve"> ADDIN EN.CITE </w:instrText>
      </w:r>
      <w:r>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instrText xml:space="preserve"> ADDIN EN.CITE.DATA </w:instrText>
      </w:r>
      <w:r>
        <w:fldChar w:fldCharType="end"/>
      </w:r>
      <w:r>
        <w:fldChar w:fldCharType="separate"/>
      </w:r>
      <w:r>
        <w:rPr>
          <w:noProof/>
        </w:rPr>
        <w:t>(</w:t>
      </w:r>
      <w:hyperlink w:anchor="_ENREF_70" w:tooltip="Tobler, 2015 #349" w:history="1">
        <w:r w:rsidR="00835BA6">
          <w:rPr>
            <w:noProof/>
          </w:rPr>
          <w:t>Tobler et al. 2015</w:t>
        </w:r>
      </w:hyperlink>
      <w:r>
        <w:rPr>
          <w:noProof/>
        </w:rPr>
        <w:t>)</w:t>
      </w:r>
      <w:r>
        <w:fldChar w:fldCharType="end"/>
      </w:r>
      <w:r>
        <w:t xml:space="preserve"> identified that 91% of surveyed Australian infertility clinics considered an AMH test appropriate </w:t>
      </w:r>
      <w:r w:rsidR="001E4DF5">
        <w:t>for</w:t>
      </w:r>
      <w:r>
        <w:t xml:space="preserve"> </w:t>
      </w:r>
      <w:r w:rsidR="001E4DF5">
        <w:t>first-line management of infertility. T</w:t>
      </w:r>
      <w:r>
        <w:t>herefore the</w:t>
      </w:r>
      <w:r w:rsidR="001E4DF5">
        <w:t>re is</w:t>
      </w:r>
      <w:r>
        <w:t xml:space="preserve"> potential for </w:t>
      </w:r>
      <w:r w:rsidR="001E4DF5">
        <w:t xml:space="preserve">considerable </w:t>
      </w:r>
      <w:r>
        <w:t>leakage beyond those patients who have received gonadotoxic treatment to a broader population. This is exami</w:t>
      </w:r>
      <w:r w:rsidR="001E4DF5">
        <w:t xml:space="preserve">ned in the sensitivity </w:t>
      </w:r>
      <w:r w:rsidR="001E4DF5" w:rsidRPr="003B43EC">
        <w:t>analyses in Section</w:t>
      </w:r>
      <w:r w:rsidRPr="003B43EC">
        <w:t xml:space="preserve"> E.6.</w:t>
      </w:r>
    </w:p>
    <w:p w14:paraId="0A8FA8E9" w14:textId="77777777" w:rsidR="009118ED" w:rsidRDefault="009118ED" w:rsidP="009118ED">
      <w:pPr>
        <w:pStyle w:val="Heading4"/>
      </w:pPr>
      <w:r>
        <w:t>Uptake of AMH testing</w:t>
      </w:r>
    </w:p>
    <w:p w14:paraId="444FB495" w14:textId="696212DC" w:rsidR="009118ED" w:rsidRDefault="009118ED" w:rsidP="009118ED">
      <w:pPr>
        <w:jc w:val="both"/>
      </w:pPr>
      <w:r>
        <w:t xml:space="preserve">Data provided by </w:t>
      </w:r>
      <w:r w:rsidR="001E4DF5">
        <w:t xml:space="preserve">a </w:t>
      </w:r>
      <w:r>
        <w:t>clinical expert indicated that nearly 5</w:t>
      </w:r>
      <w:r w:rsidR="001E4DF5">
        <w:t>3% of female oncology patients aged 0 to 44 years</w:t>
      </w:r>
      <w:r>
        <w:t xml:space="preserve"> who sought fertility specialist advice, underwent AMH testing at least onc</w:t>
      </w:r>
      <w:r w:rsidR="001E4DF5">
        <w:t>e over the past six years (2011–</w:t>
      </w:r>
      <w:r>
        <w:t xml:space="preserve">2017). While some patients are considered too young, other reasons why the test was not done included a lack of </w:t>
      </w:r>
      <w:r w:rsidRPr="0048395D">
        <w:t>availab</w:t>
      </w:r>
      <w:r>
        <w:t xml:space="preserve">ility (in the </w:t>
      </w:r>
      <w:r w:rsidRPr="0048395D">
        <w:t>first few years</w:t>
      </w:r>
      <w:r>
        <w:t xml:space="preserve"> of data collection)</w:t>
      </w:r>
      <w:r w:rsidRPr="0048395D">
        <w:t xml:space="preserve"> and </w:t>
      </w:r>
      <w:r>
        <w:t xml:space="preserve">the </w:t>
      </w:r>
      <w:r w:rsidRPr="0048395D">
        <w:t>expens</w:t>
      </w:r>
      <w:r>
        <w:t>e.</w:t>
      </w:r>
      <w:r>
        <w:rPr>
          <w:rStyle w:val="FootnoteReference"/>
        </w:rPr>
        <w:footnoteReference w:id="8"/>
      </w:r>
      <w:r>
        <w:t xml:space="preserve"> Therefore, it is assumed that if the AMH test is MBS funded, the uptake will increase. </w:t>
      </w:r>
      <w:r w:rsidR="001E4DF5">
        <w:t>T</w:t>
      </w:r>
      <w:r>
        <w:t>he data by Tobler et al, indicating that over 90% of Australian IVF</w:t>
      </w:r>
      <w:r w:rsidR="001E4DF5">
        <w:t xml:space="preserve"> clinics considered AMH a first-</w:t>
      </w:r>
      <w:r>
        <w:t xml:space="preserve">line </w:t>
      </w:r>
      <w:r w:rsidR="001E4DF5">
        <w:t>and</w:t>
      </w:r>
      <w:r>
        <w:t xml:space="preserve"> </w:t>
      </w:r>
      <w:r w:rsidR="001E4DF5">
        <w:t>r</w:t>
      </w:r>
      <w:r>
        <w:t xml:space="preserve">elevant or extremely relevant test, and that it would be used routinely if available at no cost </w:t>
      </w:r>
      <w:r>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instrText xml:space="preserve"> ADDIN EN.CITE </w:instrText>
      </w:r>
      <w:r>
        <w:fldChar w:fldCharType="begin">
          <w:fldData xml:space="preserve">PEVuZE5vdGU+PENpdGU+PEF1dGhvcj5Ub2JsZXI8L0F1dGhvcj48WWVhcj4yMDE1PC9ZZWFyPjxS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</w:fldData>
        </w:fldChar>
      </w:r>
      <w:r>
        <w:instrText xml:space="preserve"> ADDIN EN.CITE.DATA </w:instrText>
      </w:r>
      <w:r>
        <w:fldChar w:fldCharType="end"/>
      </w:r>
      <w:r>
        <w:fldChar w:fldCharType="separate"/>
      </w:r>
      <w:r>
        <w:rPr>
          <w:noProof/>
        </w:rPr>
        <w:t>(</w:t>
      </w:r>
      <w:hyperlink w:anchor="_ENREF_70" w:tooltip="Tobler, 2015 #349" w:history="1">
        <w:r w:rsidR="00835BA6">
          <w:rPr>
            <w:noProof/>
          </w:rPr>
          <w:t>Tobler et al. 2015</w:t>
        </w:r>
      </w:hyperlink>
      <w:r>
        <w:rPr>
          <w:noProof/>
        </w:rPr>
        <w:t>)</w:t>
      </w:r>
      <w:r>
        <w:fldChar w:fldCharType="end"/>
      </w:r>
      <w:r w:rsidR="001E4DF5">
        <w:t xml:space="preserve">. Based on this data, it is estimated </w:t>
      </w:r>
      <w:r>
        <w:t xml:space="preserve">that in patients who receive fertility advice, the uptake of AMH </w:t>
      </w:r>
      <w:r w:rsidRPr="003B43EC">
        <w:t>testing would increase to 90%. Uptake rates of 53% and 100% are assessed in the sensitivity analysis (see Section E.6).</w:t>
      </w:r>
    </w:p>
    <w:p w14:paraId="40CF8BF9" w14:textId="77777777" w:rsidR="009118ED" w:rsidRDefault="009118ED" w:rsidP="009118ED">
      <w:pPr>
        <w:pStyle w:val="Heading5"/>
      </w:pPr>
      <w:r>
        <w:lastRenderedPageBreak/>
        <w:t>Number of AMH tests per patient</w:t>
      </w:r>
    </w:p>
    <w:p w14:paraId="7539B31C" w14:textId="4EE55F26" w:rsidR="009118ED" w:rsidRPr="0025683D" w:rsidRDefault="009118ED" w:rsidP="009118ED">
      <w:pPr>
        <w:jc w:val="both"/>
      </w:pPr>
      <w:r>
        <w:t xml:space="preserve">AMH testing is also proposed for </w:t>
      </w:r>
      <w:r w:rsidR="001E4DF5">
        <w:t xml:space="preserve">the </w:t>
      </w:r>
      <w:r>
        <w:t>a</w:t>
      </w:r>
      <w:r w:rsidR="001E4DF5">
        <w:t xml:space="preserve">ssessment of ovarian reserve, at a </w:t>
      </w:r>
      <w:r w:rsidRPr="000758E7">
        <w:t>maximum of one AMH test per year</w:t>
      </w:r>
      <w:r w:rsidR="001E4DF5">
        <w:t xml:space="preserve">, following gonadotoxic treatment </w:t>
      </w:r>
      <w:r w:rsidRPr="000758E7">
        <w:t xml:space="preserve">to assess the gonadotoxic effects of treatment, pubertal delay, ovarian failure, </w:t>
      </w:r>
      <w:r w:rsidR="001E4DF5">
        <w:t xml:space="preserve">and/or </w:t>
      </w:r>
      <w:r w:rsidRPr="000758E7">
        <w:t>the need for fertility preservation following treatment</w:t>
      </w:r>
      <w:r w:rsidR="001E4DF5">
        <w:t>,</w:t>
      </w:r>
      <w:r w:rsidRPr="000758E7">
        <w:t xml:space="preserve"> and to assess the need for assisted reproductive treatment for family planning</w:t>
      </w:r>
      <w:r>
        <w:t xml:space="preserve">. Not all women in the target population will undergo AMH testing annually and many will consider it only when they start planning to have children. Data </w:t>
      </w:r>
      <w:r w:rsidR="001E4DF5">
        <w:t>on the</w:t>
      </w:r>
      <w:r>
        <w:t xml:space="preserve"> current usage of AMH tests for both pre-gonadotoxic treatment and post-gonadotoxic treatment in Australia </w:t>
      </w:r>
      <w:r w:rsidR="001E4DF5">
        <w:t>are lacking.</w:t>
      </w:r>
    </w:p>
    <w:p w14:paraId="41992957" w14:textId="1645146F" w:rsidR="009118ED" w:rsidRDefault="009118ED" w:rsidP="009118ED">
      <w:pPr>
        <w:jc w:val="both"/>
      </w:pPr>
      <w:r>
        <w:t>Clinical expert advice was that three AMH tests per patient, on average, may be performed</w:t>
      </w:r>
      <w:r w:rsidR="001E4DF5">
        <w:t>.</w:t>
      </w:r>
      <w:r>
        <w:rPr>
          <w:rStyle w:val="FootnoteReference"/>
        </w:rPr>
        <w:footnoteReference w:id="9"/>
      </w:r>
      <w:r w:rsidRPr="00812390">
        <w:t xml:space="preserve"> </w:t>
      </w:r>
      <w:r>
        <w:t>To estimate the overall number o</w:t>
      </w:r>
      <w:r w:rsidR="001E4DF5">
        <w:t xml:space="preserve">f AMH tests performed annually, </w:t>
      </w:r>
      <w:r>
        <w:t>both prior to</w:t>
      </w:r>
      <w:r w:rsidR="001E4DF5">
        <w:t xml:space="preserve"> and post-gonadotoxic treatment</w:t>
      </w:r>
      <w:r>
        <w:t xml:space="preserve">, the number of patients undergoing gonadotoxic treatment for malignant and non-malignant indications expected to uptake AMH </w:t>
      </w:r>
      <w:r w:rsidR="001E4DF5">
        <w:t xml:space="preserve">tests, was multiplied by three, the </w:t>
      </w:r>
      <w:r>
        <w:t>aver</w:t>
      </w:r>
      <w:r w:rsidR="001E4DF5">
        <w:t>age number of tests per patient</w:t>
      </w:r>
      <w:r>
        <w:t>.</w:t>
      </w:r>
      <w:r w:rsidR="001E4DF5">
        <w:t xml:space="preserve"> </w:t>
      </w:r>
      <w:r>
        <w:t>T</w:t>
      </w:r>
      <w:r w:rsidRPr="00B9769B">
        <w:t>his approach is uncertain</w:t>
      </w:r>
      <w:r>
        <w:t>, but is conservative as AMH tests perform</w:t>
      </w:r>
      <w:r w:rsidR="001E4DF5">
        <w:t>ed clinically may be less</w:t>
      </w:r>
      <w:r>
        <w:t xml:space="preserve"> than estimated.</w:t>
      </w:r>
    </w:p>
    <w:p w14:paraId="2BD3C54D" w14:textId="77777777" w:rsidR="009118ED" w:rsidRDefault="009118ED" w:rsidP="009118ED">
      <w:pPr>
        <w:jc w:val="both"/>
      </w:pPr>
      <w:r>
        <w:rPr>
          <w:highlight w:val="yellow"/>
        </w:rPr>
        <w:fldChar w:fldCharType="begin"/>
      </w:r>
      <w:r>
        <w:instrText xml:space="preserve"> REF _Ref496796782 \h </w:instrText>
      </w:r>
      <w:r>
        <w:rPr>
          <w:highlight w:val="yellow"/>
        </w:rPr>
      </w:r>
      <w:r>
        <w:rPr>
          <w:highlight w:val="yellow"/>
        </w:rPr>
        <w:fldChar w:fldCharType="separate"/>
      </w:r>
      <w:r w:rsidR="00AC4BE5">
        <w:t xml:space="preserve">Table </w:t>
      </w:r>
      <w:r w:rsidR="00AC4BE5">
        <w:rPr>
          <w:noProof/>
        </w:rPr>
        <w:t>68</w:t>
      </w:r>
      <w:r>
        <w:rPr>
          <w:highlight w:val="yellow"/>
        </w:rPr>
        <w:fldChar w:fldCharType="end"/>
      </w:r>
      <w:r>
        <w:t xml:space="preserve"> shows the steps taken to project the total number of AMH tests that will be performed annually over the first five years of the listing.</w:t>
      </w:r>
    </w:p>
    <w:p w14:paraId="7644D484" w14:textId="77324545" w:rsidR="009118ED" w:rsidRPr="00C17B39" w:rsidRDefault="009118ED" w:rsidP="009118ED">
      <w:pPr>
        <w:pStyle w:val="Caption"/>
        <w:keepNext/>
        <w:rPr>
          <w:b w:val="0"/>
        </w:rPr>
      </w:pPr>
      <w:bookmarkStart w:id="429" w:name="_Ref496796782"/>
      <w:bookmarkStart w:id="430" w:name="_Toc502833086"/>
      <w:r>
        <w:t xml:space="preserve">Table </w:t>
      </w:r>
      <w:r w:rsidR="00AC4BE5">
        <w:fldChar w:fldCharType="begin"/>
      </w:r>
      <w:r w:rsidR="00AC4BE5">
        <w:instrText xml:space="preserve"> SEQ Table \* ARABIC </w:instrText>
      </w:r>
      <w:r w:rsidR="00AC4BE5">
        <w:fldChar w:fldCharType="separate"/>
      </w:r>
      <w:r w:rsidR="00AC4BE5">
        <w:rPr>
          <w:noProof/>
        </w:rPr>
        <w:t>68</w:t>
      </w:r>
      <w:r w:rsidR="00AC4BE5">
        <w:rPr>
          <w:noProof/>
        </w:rPr>
        <w:fldChar w:fldCharType="end"/>
      </w:r>
      <w:bookmarkEnd w:id="429"/>
      <w:r>
        <w:tab/>
        <w:t>Estimate of number</w:t>
      </w:r>
      <w:r w:rsidR="001E4DF5">
        <w:t xml:space="preserve"> of AMH tests performed, 2018–19 to 2022–</w:t>
      </w:r>
      <w:r>
        <w:t>23</w:t>
      </w:r>
      <w:bookmarkEnd w:id="430"/>
    </w:p>
    <w:tbl>
      <w:tblPr>
        <w:tblStyle w:val="TableGrid"/>
        <w:tblW w:w="0" w:type="auto"/>
        <w:tblLook w:val="04A0" w:firstRow="1" w:lastRow="0" w:firstColumn="1" w:lastColumn="0" w:noHBand="0" w:noVBand="1"/>
        <w:tblCaption w:val="Estimate of number of AMH tests performed, 2018 – 19 to 2022 – 23"/>
        <w:tblDescription w:val="Estimate of number of AMH tests performed, 2018 – 19 to 2022 – 23"/>
      </w:tblPr>
      <w:tblGrid>
        <w:gridCol w:w="622"/>
        <w:gridCol w:w="2492"/>
        <w:gridCol w:w="1016"/>
        <w:gridCol w:w="961"/>
        <w:gridCol w:w="960"/>
        <w:gridCol w:w="960"/>
        <w:gridCol w:w="960"/>
        <w:gridCol w:w="1044"/>
      </w:tblGrid>
      <w:tr w:rsidR="009118ED" w:rsidRPr="009D62BF" w14:paraId="42BB8180" w14:textId="77777777" w:rsidTr="003929ED">
        <w:trPr>
          <w:tblHeader/>
        </w:trPr>
        <w:tc>
          <w:tcPr>
            <w:tcW w:w="0" w:type="auto"/>
          </w:tcPr>
          <w:p w14:paraId="4999B8F9" w14:textId="12FAB44A" w:rsidR="009118ED" w:rsidRPr="00DE4CF8" w:rsidRDefault="009118ED" w:rsidP="00AE748A">
            <w:pPr>
              <w:pStyle w:val="Tabletext1"/>
              <w:ind w:left="0"/>
              <w:rPr>
                <w:b/>
                <w:vertAlign w:val="superscript"/>
              </w:rPr>
            </w:pPr>
            <w:r>
              <w:rPr>
                <w:b/>
              </w:rPr>
              <w:t>Row</w:t>
            </w:r>
            <w:r w:rsidR="00AE748A">
              <w:rPr>
                <w:b/>
                <w:vertAlign w:val="superscript"/>
              </w:rPr>
              <w:t>a</w:t>
            </w:r>
          </w:p>
        </w:tc>
        <w:tc>
          <w:tcPr>
            <w:tcW w:w="2492" w:type="dxa"/>
          </w:tcPr>
          <w:p w14:paraId="295A0D63" w14:textId="77777777" w:rsidR="009118ED" w:rsidRPr="009D62BF" w:rsidRDefault="009118ED" w:rsidP="00811281">
            <w:pPr>
              <w:pStyle w:val="Tabletext1"/>
              <w:ind w:left="0"/>
              <w:rPr>
                <w:b/>
              </w:rPr>
            </w:pPr>
            <w:r>
              <w:rPr>
                <w:b/>
              </w:rPr>
              <w:t>Description</w:t>
            </w:r>
          </w:p>
        </w:tc>
        <w:tc>
          <w:tcPr>
            <w:tcW w:w="1016" w:type="dxa"/>
          </w:tcPr>
          <w:p w14:paraId="7EC05C23" w14:textId="38BC1E19" w:rsidR="009118ED" w:rsidRPr="009D62BF" w:rsidRDefault="009118ED" w:rsidP="00811281">
            <w:pPr>
              <w:pStyle w:val="Tabletext1"/>
              <w:ind w:left="0"/>
              <w:rPr>
                <w:b/>
              </w:rPr>
            </w:pPr>
            <w:r w:rsidRPr="009D62BF">
              <w:rPr>
                <w:b/>
              </w:rPr>
              <w:t>2017</w:t>
            </w:r>
            <w:r w:rsidR="00260996">
              <w:rPr>
                <w:b/>
              </w:rPr>
              <w:t>–18</w:t>
            </w:r>
          </w:p>
        </w:tc>
        <w:tc>
          <w:tcPr>
            <w:tcW w:w="961" w:type="dxa"/>
          </w:tcPr>
          <w:p w14:paraId="349BAE5D" w14:textId="1DC857FC" w:rsidR="009118ED" w:rsidRPr="009D62BF" w:rsidRDefault="001E4DF5" w:rsidP="00811281">
            <w:pPr>
              <w:pStyle w:val="Tabletext1"/>
              <w:ind w:left="0"/>
              <w:rPr>
                <w:b/>
              </w:rPr>
            </w:pPr>
            <w:r>
              <w:rPr>
                <w:b/>
              </w:rPr>
              <w:t>2018–</w:t>
            </w:r>
            <w:r w:rsidR="009118ED" w:rsidRPr="009D62BF">
              <w:rPr>
                <w:b/>
              </w:rPr>
              <w:t>19</w:t>
            </w:r>
          </w:p>
        </w:tc>
        <w:tc>
          <w:tcPr>
            <w:tcW w:w="960" w:type="dxa"/>
          </w:tcPr>
          <w:p w14:paraId="537D052B" w14:textId="2523A42F" w:rsidR="009118ED" w:rsidRPr="009D62BF" w:rsidRDefault="001E4DF5" w:rsidP="00811281">
            <w:pPr>
              <w:pStyle w:val="Tabletext1"/>
              <w:ind w:left="0"/>
              <w:rPr>
                <w:b/>
              </w:rPr>
            </w:pPr>
            <w:r>
              <w:rPr>
                <w:b/>
              </w:rPr>
              <w:t>2019–</w:t>
            </w:r>
            <w:r w:rsidR="009118ED" w:rsidRPr="009D62BF">
              <w:rPr>
                <w:b/>
              </w:rPr>
              <w:t>20</w:t>
            </w:r>
          </w:p>
        </w:tc>
        <w:tc>
          <w:tcPr>
            <w:tcW w:w="960" w:type="dxa"/>
          </w:tcPr>
          <w:p w14:paraId="7E3C2539" w14:textId="3664FEC8" w:rsidR="009118ED" w:rsidRPr="009D62BF" w:rsidRDefault="001E4DF5" w:rsidP="00811281">
            <w:pPr>
              <w:pStyle w:val="Tabletext1"/>
              <w:ind w:left="0"/>
              <w:rPr>
                <w:b/>
              </w:rPr>
            </w:pPr>
            <w:r>
              <w:rPr>
                <w:b/>
              </w:rPr>
              <w:t>2020–</w:t>
            </w:r>
            <w:r w:rsidR="009118ED" w:rsidRPr="009D62BF">
              <w:rPr>
                <w:b/>
              </w:rPr>
              <w:t>21</w:t>
            </w:r>
          </w:p>
        </w:tc>
        <w:tc>
          <w:tcPr>
            <w:tcW w:w="960" w:type="dxa"/>
          </w:tcPr>
          <w:p w14:paraId="646CFD68" w14:textId="4E68EC37" w:rsidR="009118ED" w:rsidRPr="009D62BF" w:rsidRDefault="001E4DF5" w:rsidP="00811281">
            <w:pPr>
              <w:pStyle w:val="Tabletext1"/>
              <w:ind w:left="0"/>
              <w:rPr>
                <w:b/>
              </w:rPr>
            </w:pPr>
            <w:r>
              <w:rPr>
                <w:b/>
              </w:rPr>
              <w:t>2021–</w:t>
            </w:r>
            <w:r w:rsidR="009118ED" w:rsidRPr="009D62BF">
              <w:rPr>
                <w:b/>
              </w:rPr>
              <w:t>22</w:t>
            </w:r>
          </w:p>
        </w:tc>
        <w:tc>
          <w:tcPr>
            <w:tcW w:w="1044" w:type="dxa"/>
          </w:tcPr>
          <w:p w14:paraId="444268CE" w14:textId="255AF8D6" w:rsidR="009118ED" w:rsidRPr="009D62BF" w:rsidRDefault="001E4DF5" w:rsidP="00811281">
            <w:pPr>
              <w:pStyle w:val="Tabletext1"/>
              <w:ind w:left="0"/>
              <w:rPr>
                <w:b/>
              </w:rPr>
            </w:pPr>
            <w:r>
              <w:rPr>
                <w:b/>
              </w:rPr>
              <w:t>2022–</w:t>
            </w:r>
            <w:r w:rsidR="009118ED" w:rsidRPr="009D62BF">
              <w:rPr>
                <w:b/>
              </w:rPr>
              <w:t>23</w:t>
            </w:r>
          </w:p>
        </w:tc>
      </w:tr>
      <w:tr w:rsidR="009118ED" w14:paraId="4141A952" w14:textId="77777777" w:rsidTr="003929ED">
        <w:tc>
          <w:tcPr>
            <w:tcW w:w="0" w:type="auto"/>
          </w:tcPr>
          <w:p w14:paraId="2E63DD19" w14:textId="77777777" w:rsidR="009118ED" w:rsidRPr="0099537B" w:rsidRDefault="009118ED" w:rsidP="00811281">
            <w:pPr>
              <w:pStyle w:val="Tabletext1"/>
              <w:ind w:left="0"/>
            </w:pPr>
            <w:r>
              <w:t>A</w:t>
            </w:r>
          </w:p>
        </w:tc>
        <w:tc>
          <w:tcPr>
            <w:tcW w:w="2492" w:type="dxa"/>
          </w:tcPr>
          <w:p w14:paraId="4825DA81" w14:textId="644EAFC1" w:rsidR="009118ED" w:rsidRPr="0062605F" w:rsidRDefault="009118ED" w:rsidP="00AE748A">
            <w:pPr>
              <w:pStyle w:val="Tabletext1"/>
              <w:ind w:left="0"/>
              <w:rPr>
                <w:vertAlign w:val="superscript"/>
              </w:rPr>
            </w:pPr>
            <w:r w:rsidRPr="0099537B">
              <w:t>Projected incident cases of cancer</w:t>
            </w:r>
            <w:r>
              <w:t xml:space="preserve"> in females 0–44 years</w:t>
            </w:r>
            <w:r w:rsidR="00AE748A">
              <w:rPr>
                <w:vertAlign w:val="superscript"/>
              </w:rPr>
              <w:t>b</w:t>
            </w:r>
          </w:p>
        </w:tc>
        <w:tc>
          <w:tcPr>
            <w:tcW w:w="1016" w:type="dxa"/>
          </w:tcPr>
          <w:p w14:paraId="6F3C5935" w14:textId="77777777" w:rsidR="009118ED" w:rsidRDefault="009118ED" w:rsidP="00811281">
            <w:pPr>
              <w:pStyle w:val="Tabletext1"/>
              <w:ind w:left="0"/>
            </w:pPr>
            <w:r w:rsidRPr="0099537B">
              <w:t>6,520</w:t>
            </w:r>
          </w:p>
        </w:tc>
        <w:tc>
          <w:tcPr>
            <w:tcW w:w="961" w:type="dxa"/>
          </w:tcPr>
          <w:p w14:paraId="793737FE" w14:textId="77777777" w:rsidR="009118ED" w:rsidRDefault="009118ED" w:rsidP="00811281">
            <w:pPr>
              <w:pStyle w:val="Tabletext1"/>
              <w:ind w:left="0"/>
            </w:pPr>
            <w:r w:rsidRPr="0099537B">
              <w:t>6,543</w:t>
            </w:r>
          </w:p>
        </w:tc>
        <w:tc>
          <w:tcPr>
            <w:tcW w:w="960" w:type="dxa"/>
          </w:tcPr>
          <w:p w14:paraId="566C0149" w14:textId="77777777" w:rsidR="009118ED" w:rsidRDefault="009118ED" w:rsidP="00811281">
            <w:pPr>
              <w:pStyle w:val="Tabletext1"/>
              <w:ind w:left="0"/>
            </w:pPr>
            <w:r w:rsidRPr="0099537B">
              <w:t>6,567</w:t>
            </w:r>
          </w:p>
        </w:tc>
        <w:tc>
          <w:tcPr>
            <w:tcW w:w="960" w:type="dxa"/>
          </w:tcPr>
          <w:p w14:paraId="087A2AA9" w14:textId="77777777" w:rsidR="009118ED" w:rsidRDefault="009118ED" w:rsidP="00811281">
            <w:pPr>
              <w:pStyle w:val="Tabletext1"/>
              <w:ind w:left="0"/>
            </w:pPr>
            <w:r w:rsidRPr="0099537B">
              <w:t>6,591</w:t>
            </w:r>
          </w:p>
        </w:tc>
        <w:tc>
          <w:tcPr>
            <w:tcW w:w="960" w:type="dxa"/>
          </w:tcPr>
          <w:p w14:paraId="51C34067" w14:textId="77777777" w:rsidR="009118ED" w:rsidRDefault="009118ED" w:rsidP="00811281">
            <w:pPr>
              <w:pStyle w:val="Tabletext1"/>
              <w:ind w:left="0"/>
            </w:pPr>
            <w:r w:rsidRPr="0099537B">
              <w:t>6,614</w:t>
            </w:r>
          </w:p>
        </w:tc>
        <w:tc>
          <w:tcPr>
            <w:tcW w:w="1044" w:type="dxa"/>
          </w:tcPr>
          <w:p w14:paraId="4A8A934C" w14:textId="77777777" w:rsidR="009118ED" w:rsidRDefault="009118ED" w:rsidP="00811281">
            <w:pPr>
              <w:pStyle w:val="Tabletext1"/>
              <w:ind w:left="0"/>
            </w:pPr>
            <w:r w:rsidRPr="0099537B">
              <w:t>6,638</w:t>
            </w:r>
          </w:p>
        </w:tc>
      </w:tr>
      <w:tr w:rsidR="009118ED" w14:paraId="6A3616A2" w14:textId="77777777" w:rsidTr="003929ED">
        <w:tc>
          <w:tcPr>
            <w:tcW w:w="0" w:type="auto"/>
          </w:tcPr>
          <w:p w14:paraId="0F09790C" w14:textId="77777777" w:rsidR="009118ED" w:rsidRDefault="009118ED" w:rsidP="00811281">
            <w:pPr>
              <w:pStyle w:val="Tabletext1"/>
              <w:ind w:left="0"/>
            </w:pPr>
            <w:r>
              <w:t>B</w:t>
            </w:r>
          </w:p>
        </w:tc>
        <w:tc>
          <w:tcPr>
            <w:tcW w:w="2492" w:type="dxa"/>
          </w:tcPr>
          <w:p w14:paraId="7975750F" w14:textId="77777777" w:rsidR="009118ED" w:rsidRDefault="009118ED" w:rsidP="00811281">
            <w:pPr>
              <w:pStyle w:val="Tabletext1"/>
              <w:ind w:left="0"/>
            </w:pPr>
            <w:r>
              <w:t>Proportion undergoing gonadotoxic treatment (B = A * 50%)</w:t>
            </w:r>
          </w:p>
        </w:tc>
        <w:tc>
          <w:tcPr>
            <w:tcW w:w="1016" w:type="dxa"/>
          </w:tcPr>
          <w:p w14:paraId="2A18A707" w14:textId="77777777" w:rsidR="009118ED" w:rsidRDefault="009118ED" w:rsidP="00811281">
            <w:pPr>
              <w:pStyle w:val="Tabletext1"/>
              <w:ind w:left="0"/>
            </w:pPr>
            <w:r w:rsidRPr="0099537B">
              <w:t>3,260</w:t>
            </w:r>
          </w:p>
        </w:tc>
        <w:tc>
          <w:tcPr>
            <w:tcW w:w="961" w:type="dxa"/>
          </w:tcPr>
          <w:p w14:paraId="0ECC84A6" w14:textId="77777777" w:rsidR="009118ED" w:rsidRDefault="009118ED" w:rsidP="00811281">
            <w:pPr>
              <w:pStyle w:val="Tabletext1"/>
              <w:ind w:left="0"/>
            </w:pPr>
            <w:r w:rsidRPr="0099537B">
              <w:t>3,272</w:t>
            </w:r>
          </w:p>
        </w:tc>
        <w:tc>
          <w:tcPr>
            <w:tcW w:w="960" w:type="dxa"/>
          </w:tcPr>
          <w:p w14:paraId="57098442" w14:textId="77777777" w:rsidR="009118ED" w:rsidRDefault="009118ED" w:rsidP="00811281">
            <w:pPr>
              <w:pStyle w:val="Tabletext1"/>
              <w:ind w:left="0"/>
            </w:pPr>
            <w:r w:rsidRPr="0099537B">
              <w:t>3,284</w:t>
            </w:r>
          </w:p>
        </w:tc>
        <w:tc>
          <w:tcPr>
            <w:tcW w:w="960" w:type="dxa"/>
          </w:tcPr>
          <w:p w14:paraId="2323BB69" w14:textId="77777777" w:rsidR="009118ED" w:rsidRDefault="009118ED" w:rsidP="00811281">
            <w:pPr>
              <w:pStyle w:val="Tabletext1"/>
              <w:ind w:left="0"/>
            </w:pPr>
            <w:r w:rsidRPr="0099537B">
              <w:t>3,295</w:t>
            </w:r>
          </w:p>
        </w:tc>
        <w:tc>
          <w:tcPr>
            <w:tcW w:w="960" w:type="dxa"/>
          </w:tcPr>
          <w:p w14:paraId="2CD9600C" w14:textId="77777777" w:rsidR="009118ED" w:rsidRDefault="009118ED" w:rsidP="00811281">
            <w:pPr>
              <w:pStyle w:val="Tabletext1"/>
              <w:ind w:left="0"/>
            </w:pPr>
            <w:r w:rsidRPr="0099537B">
              <w:t>3,307</w:t>
            </w:r>
          </w:p>
        </w:tc>
        <w:tc>
          <w:tcPr>
            <w:tcW w:w="1044" w:type="dxa"/>
          </w:tcPr>
          <w:p w14:paraId="2A4668FA" w14:textId="77777777" w:rsidR="009118ED" w:rsidRDefault="009118ED" w:rsidP="00811281">
            <w:pPr>
              <w:pStyle w:val="Tabletext1"/>
              <w:ind w:left="0"/>
            </w:pPr>
            <w:r w:rsidRPr="0099537B">
              <w:t>3,319</w:t>
            </w:r>
          </w:p>
        </w:tc>
      </w:tr>
      <w:tr w:rsidR="009118ED" w14:paraId="6C90DA02" w14:textId="77777777" w:rsidTr="003929ED">
        <w:tc>
          <w:tcPr>
            <w:tcW w:w="0" w:type="auto"/>
          </w:tcPr>
          <w:p w14:paraId="380F408F" w14:textId="77777777" w:rsidR="009118ED" w:rsidRDefault="009118ED" w:rsidP="00811281">
            <w:pPr>
              <w:pStyle w:val="Tabletext1"/>
              <w:ind w:left="0"/>
            </w:pPr>
            <w:r>
              <w:t>C</w:t>
            </w:r>
          </w:p>
        </w:tc>
        <w:tc>
          <w:tcPr>
            <w:tcW w:w="2492" w:type="dxa"/>
          </w:tcPr>
          <w:p w14:paraId="3C2C8385" w14:textId="77777777" w:rsidR="009118ED" w:rsidRDefault="009118ED" w:rsidP="00811281">
            <w:pPr>
              <w:pStyle w:val="Tabletext1"/>
              <w:ind w:left="0"/>
            </w:pPr>
            <w:r>
              <w:t xml:space="preserve">Proportion of female cancer patients referred/counselled for fertility preservation </w:t>
            </w:r>
            <w:r>
              <w:br/>
              <w:t>(C = B * 59%)</w:t>
            </w:r>
          </w:p>
        </w:tc>
        <w:tc>
          <w:tcPr>
            <w:tcW w:w="1016" w:type="dxa"/>
          </w:tcPr>
          <w:p w14:paraId="12BE496E" w14:textId="77777777" w:rsidR="009118ED" w:rsidRPr="0099537B" w:rsidRDefault="009118ED" w:rsidP="00811281">
            <w:pPr>
              <w:pStyle w:val="Tabletext1"/>
              <w:ind w:left="0"/>
            </w:pPr>
            <w:r w:rsidRPr="00946FD0">
              <w:t>1,923</w:t>
            </w:r>
          </w:p>
        </w:tc>
        <w:tc>
          <w:tcPr>
            <w:tcW w:w="961" w:type="dxa"/>
          </w:tcPr>
          <w:p w14:paraId="2913B8B6" w14:textId="77777777" w:rsidR="009118ED" w:rsidRPr="0099537B" w:rsidRDefault="009118ED" w:rsidP="00811281">
            <w:pPr>
              <w:pStyle w:val="Tabletext1"/>
              <w:ind w:left="0"/>
            </w:pPr>
            <w:r w:rsidRPr="00946FD0">
              <w:t>1,930</w:t>
            </w:r>
          </w:p>
        </w:tc>
        <w:tc>
          <w:tcPr>
            <w:tcW w:w="960" w:type="dxa"/>
          </w:tcPr>
          <w:p w14:paraId="74A1D6FC" w14:textId="77777777" w:rsidR="009118ED" w:rsidRPr="0099537B" w:rsidRDefault="009118ED" w:rsidP="00811281">
            <w:pPr>
              <w:pStyle w:val="Tabletext1"/>
              <w:ind w:left="0"/>
            </w:pPr>
            <w:r w:rsidRPr="00946FD0">
              <w:t>1,937</w:t>
            </w:r>
          </w:p>
        </w:tc>
        <w:tc>
          <w:tcPr>
            <w:tcW w:w="960" w:type="dxa"/>
          </w:tcPr>
          <w:p w14:paraId="7FC17C93" w14:textId="77777777" w:rsidR="009118ED" w:rsidRPr="0099537B" w:rsidRDefault="009118ED" w:rsidP="00811281">
            <w:pPr>
              <w:pStyle w:val="Tabletext1"/>
              <w:ind w:left="0"/>
            </w:pPr>
            <w:r w:rsidRPr="00946FD0">
              <w:t>1,944</w:t>
            </w:r>
          </w:p>
        </w:tc>
        <w:tc>
          <w:tcPr>
            <w:tcW w:w="960" w:type="dxa"/>
          </w:tcPr>
          <w:p w14:paraId="3CD51D7F" w14:textId="77777777" w:rsidR="009118ED" w:rsidRPr="0099537B" w:rsidRDefault="009118ED" w:rsidP="00811281">
            <w:pPr>
              <w:pStyle w:val="Tabletext1"/>
              <w:ind w:left="0"/>
            </w:pPr>
            <w:r w:rsidRPr="00946FD0">
              <w:t>1,951</w:t>
            </w:r>
          </w:p>
        </w:tc>
        <w:tc>
          <w:tcPr>
            <w:tcW w:w="1044" w:type="dxa"/>
          </w:tcPr>
          <w:p w14:paraId="56D961FC" w14:textId="77777777" w:rsidR="009118ED" w:rsidRPr="0099537B" w:rsidRDefault="009118ED" w:rsidP="00811281">
            <w:pPr>
              <w:pStyle w:val="Tabletext1"/>
              <w:ind w:left="0"/>
            </w:pPr>
            <w:r>
              <w:t>1,958</w:t>
            </w:r>
          </w:p>
        </w:tc>
      </w:tr>
      <w:tr w:rsidR="009118ED" w14:paraId="7012B752" w14:textId="77777777" w:rsidTr="003929ED">
        <w:tc>
          <w:tcPr>
            <w:tcW w:w="0" w:type="auto"/>
          </w:tcPr>
          <w:p w14:paraId="0C087A49" w14:textId="77777777" w:rsidR="009118ED" w:rsidRPr="0099537B" w:rsidRDefault="009118ED" w:rsidP="00811281">
            <w:pPr>
              <w:pStyle w:val="Tabletext1"/>
              <w:ind w:left="0"/>
            </w:pPr>
            <w:r>
              <w:t>D</w:t>
            </w:r>
          </w:p>
        </w:tc>
        <w:tc>
          <w:tcPr>
            <w:tcW w:w="2492" w:type="dxa"/>
          </w:tcPr>
          <w:p w14:paraId="3C480A3A" w14:textId="77777777" w:rsidR="009118ED" w:rsidRDefault="009118ED" w:rsidP="00811281">
            <w:pPr>
              <w:pStyle w:val="Tabletext1"/>
              <w:ind w:left="0"/>
            </w:pPr>
            <w:r w:rsidRPr="0099537B">
              <w:t>Number of patients with non-malignant indications</w:t>
            </w:r>
            <w:r>
              <w:t xml:space="preserve"> (D = C*22% / 78%)</w:t>
            </w:r>
          </w:p>
        </w:tc>
        <w:tc>
          <w:tcPr>
            <w:tcW w:w="1016" w:type="dxa"/>
          </w:tcPr>
          <w:p w14:paraId="32BD2664" w14:textId="77777777" w:rsidR="009118ED" w:rsidRDefault="009118ED" w:rsidP="00811281">
            <w:pPr>
              <w:pStyle w:val="Tabletext1"/>
              <w:ind w:left="0"/>
            </w:pPr>
            <w:r w:rsidRPr="000F1F05">
              <w:t>542</w:t>
            </w:r>
          </w:p>
        </w:tc>
        <w:tc>
          <w:tcPr>
            <w:tcW w:w="961" w:type="dxa"/>
          </w:tcPr>
          <w:p w14:paraId="1D76A392" w14:textId="77777777" w:rsidR="009118ED" w:rsidRDefault="009118ED" w:rsidP="00811281">
            <w:pPr>
              <w:pStyle w:val="Tabletext1"/>
              <w:ind w:left="0"/>
            </w:pPr>
            <w:r w:rsidRPr="000F1F05">
              <w:t>544</w:t>
            </w:r>
          </w:p>
        </w:tc>
        <w:tc>
          <w:tcPr>
            <w:tcW w:w="960" w:type="dxa"/>
          </w:tcPr>
          <w:p w14:paraId="6B6DD853" w14:textId="77777777" w:rsidR="009118ED" w:rsidRDefault="009118ED" w:rsidP="00811281">
            <w:pPr>
              <w:pStyle w:val="Tabletext1"/>
              <w:ind w:left="0"/>
            </w:pPr>
            <w:r w:rsidRPr="000F1F05">
              <w:t>546</w:t>
            </w:r>
          </w:p>
        </w:tc>
        <w:tc>
          <w:tcPr>
            <w:tcW w:w="960" w:type="dxa"/>
          </w:tcPr>
          <w:p w14:paraId="7010E282" w14:textId="77777777" w:rsidR="009118ED" w:rsidRDefault="009118ED" w:rsidP="00811281">
            <w:pPr>
              <w:pStyle w:val="Tabletext1"/>
              <w:ind w:left="0"/>
            </w:pPr>
            <w:r w:rsidRPr="000F1F05">
              <w:t>548</w:t>
            </w:r>
          </w:p>
        </w:tc>
        <w:tc>
          <w:tcPr>
            <w:tcW w:w="960" w:type="dxa"/>
          </w:tcPr>
          <w:p w14:paraId="52CE86E4" w14:textId="77777777" w:rsidR="009118ED" w:rsidRDefault="009118ED" w:rsidP="00811281">
            <w:pPr>
              <w:pStyle w:val="Tabletext1"/>
              <w:ind w:left="0"/>
            </w:pPr>
            <w:r w:rsidRPr="000F1F05">
              <w:t>550</w:t>
            </w:r>
          </w:p>
        </w:tc>
        <w:tc>
          <w:tcPr>
            <w:tcW w:w="1044" w:type="dxa"/>
          </w:tcPr>
          <w:p w14:paraId="5819C7CC" w14:textId="77777777" w:rsidR="009118ED" w:rsidRDefault="009118ED" w:rsidP="00811281">
            <w:pPr>
              <w:pStyle w:val="Tabletext1"/>
              <w:ind w:left="0"/>
            </w:pPr>
            <w:r w:rsidRPr="000F1F05">
              <w:t>552</w:t>
            </w:r>
          </w:p>
        </w:tc>
      </w:tr>
      <w:tr w:rsidR="009118ED" w:rsidRPr="00A11197" w14:paraId="2FF35C72" w14:textId="77777777" w:rsidTr="003929ED">
        <w:tc>
          <w:tcPr>
            <w:tcW w:w="0" w:type="auto"/>
          </w:tcPr>
          <w:p w14:paraId="190FB94E" w14:textId="77777777" w:rsidR="009118ED" w:rsidRPr="00A11197" w:rsidRDefault="009118ED" w:rsidP="00811281">
            <w:pPr>
              <w:pStyle w:val="Tabletext1"/>
              <w:ind w:left="0"/>
            </w:pPr>
            <w:r>
              <w:t>E</w:t>
            </w:r>
          </w:p>
        </w:tc>
        <w:tc>
          <w:tcPr>
            <w:tcW w:w="2492" w:type="dxa"/>
          </w:tcPr>
          <w:p w14:paraId="0B44AA33" w14:textId="77777777" w:rsidR="009118ED" w:rsidRPr="00A11197" w:rsidRDefault="009118ED" w:rsidP="00811281">
            <w:pPr>
              <w:pStyle w:val="Tabletext1"/>
              <w:ind w:left="0"/>
            </w:pPr>
            <w:r w:rsidRPr="00A11197">
              <w:t>Total number of patients</w:t>
            </w:r>
            <w:r>
              <w:t xml:space="preserve"> counselled for fertility preservation prior to gonadotoxic treatment (E = C + D)</w:t>
            </w:r>
          </w:p>
        </w:tc>
        <w:tc>
          <w:tcPr>
            <w:tcW w:w="1016" w:type="dxa"/>
          </w:tcPr>
          <w:p w14:paraId="6442173B" w14:textId="77777777" w:rsidR="009118ED" w:rsidRPr="00537D83" w:rsidRDefault="009118ED" w:rsidP="00811281">
            <w:pPr>
              <w:pStyle w:val="Tabletext1"/>
              <w:ind w:left="0"/>
            </w:pPr>
            <w:r w:rsidRPr="00537D83">
              <w:t>2,466</w:t>
            </w:r>
          </w:p>
        </w:tc>
        <w:tc>
          <w:tcPr>
            <w:tcW w:w="961" w:type="dxa"/>
          </w:tcPr>
          <w:p w14:paraId="56820ED2" w14:textId="77777777" w:rsidR="009118ED" w:rsidRPr="00537D83" w:rsidRDefault="009118ED" w:rsidP="00811281">
            <w:pPr>
              <w:pStyle w:val="Tabletext1"/>
              <w:ind w:left="0"/>
            </w:pPr>
            <w:r w:rsidRPr="00537D83">
              <w:t>2,475</w:t>
            </w:r>
          </w:p>
        </w:tc>
        <w:tc>
          <w:tcPr>
            <w:tcW w:w="960" w:type="dxa"/>
          </w:tcPr>
          <w:p w14:paraId="567F66B4" w14:textId="77777777" w:rsidR="009118ED" w:rsidRPr="00537D83" w:rsidRDefault="009118ED" w:rsidP="00811281">
            <w:pPr>
              <w:pStyle w:val="Tabletext1"/>
              <w:ind w:left="0"/>
            </w:pPr>
            <w:r w:rsidRPr="00537D83">
              <w:t>2,484</w:t>
            </w:r>
          </w:p>
        </w:tc>
        <w:tc>
          <w:tcPr>
            <w:tcW w:w="960" w:type="dxa"/>
          </w:tcPr>
          <w:p w14:paraId="7093EE1D" w14:textId="77777777" w:rsidR="009118ED" w:rsidRPr="00537D83" w:rsidRDefault="009118ED" w:rsidP="00811281">
            <w:pPr>
              <w:pStyle w:val="Tabletext1"/>
              <w:ind w:left="0"/>
            </w:pPr>
            <w:r w:rsidRPr="00537D83">
              <w:t>2,493</w:t>
            </w:r>
          </w:p>
        </w:tc>
        <w:tc>
          <w:tcPr>
            <w:tcW w:w="960" w:type="dxa"/>
          </w:tcPr>
          <w:p w14:paraId="7622CFDC" w14:textId="77777777" w:rsidR="009118ED" w:rsidRPr="00537D83" w:rsidRDefault="009118ED" w:rsidP="00811281">
            <w:pPr>
              <w:pStyle w:val="Tabletext1"/>
              <w:ind w:left="0"/>
            </w:pPr>
            <w:r w:rsidRPr="00537D83">
              <w:t>2,502</w:t>
            </w:r>
          </w:p>
        </w:tc>
        <w:tc>
          <w:tcPr>
            <w:tcW w:w="1044" w:type="dxa"/>
          </w:tcPr>
          <w:p w14:paraId="308D188B" w14:textId="77777777" w:rsidR="009118ED" w:rsidRPr="00537D83" w:rsidRDefault="009118ED" w:rsidP="00811281">
            <w:pPr>
              <w:pStyle w:val="Tabletext1"/>
              <w:ind w:left="0"/>
            </w:pPr>
            <w:r w:rsidRPr="00537D83">
              <w:t>2,511</w:t>
            </w:r>
          </w:p>
        </w:tc>
      </w:tr>
      <w:tr w:rsidR="009118ED" w:rsidRPr="00A11197" w14:paraId="6B96EDE9" w14:textId="77777777" w:rsidTr="003929ED">
        <w:tc>
          <w:tcPr>
            <w:tcW w:w="0" w:type="auto"/>
          </w:tcPr>
          <w:p w14:paraId="262E53FD" w14:textId="77777777" w:rsidR="009118ED" w:rsidRPr="00A11197" w:rsidRDefault="009118ED" w:rsidP="00811281">
            <w:pPr>
              <w:pStyle w:val="Tabletext1"/>
              <w:ind w:left="0"/>
            </w:pPr>
            <w:r>
              <w:t>F</w:t>
            </w:r>
          </w:p>
        </w:tc>
        <w:tc>
          <w:tcPr>
            <w:tcW w:w="2492" w:type="dxa"/>
          </w:tcPr>
          <w:p w14:paraId="5A58CAD4" w14:textId="77777777" w:rsidR="009118ED" w:rsidRPr="00A11197" w:rsidRDefault="009118ED" w:rsidP="00811281">
            <w:pPr>
              <w:pStyle w:val="Tabletext1"/>
              <w:ind w:left="0"/>
            </w:pPr>
            <w:r>
              <w:t>Uptake of AMH testing in counselled patients prior to gonadotoxic treatment (F = E * 90%)</w:t>
            </w:r>
          </w:p>
        </w:tc>
        <w:tc>
          <w:tcPr>
            <w:tcW w:w="1016" w:type="dxa"/>
          </w:tcPr>
          <w:p w14:paraId="1B6A1084" w14:textId="2B6379A8" w:rsidR="009118ED" w:rsidRPr="00FC2688" w:rsidRDefault="009118ED" w:rsidP="00AE748A">
            <w:pPr>
              <w:pStyle w:val="Tabletext1"/>
              <w:ind w:left="0"/>
              <w:rPr>
                <w:vertAlign w:val="superscript"/>
              </w:rPr>
            </w:pPr>
            <w:r>
              <w:t>1,307</w:t>
            </w:r>
            <w:r w:rsidR="00AE748A">
              <w:rPr>
                <w:vertAlign w:val="superscript"/>
              </w:rPr>
              <w:t>c</w:t>
            </w:r>
          </w:p>
        </w:tc>
        <w:tc>
          <w:tcPr>
            <w:tcW w:w="961" w:type="dxa"/>
          </w:tcPr>
          <w:p w14:paraId="4F086833" w14:textId="77777777" w:rsidR="009118ED" w:rsidRPr="00A11197" w:rsidRDefault="009118ED" w:rsidP="00811281">
            <w:pPr>
              <w:pStyle w:val="Tabletext1"/>
              <w:ind w:left="0"/>
            </w:pPr>
            <w:r w:rsidRPr="00BD2097">
              <w:t>2,227</w:t>
            </w:r>
          </w:p>
        </w:tc>
        <w:tc>
          <w:tcPr>
            <w:tcW w:w="960" w:type="dxa"/>
          </w:tcPr>
          <w:p w14:paraId="10925AFA" w14:textId="77777777" w:rsidR="009118ED" w:rsidRPr="00A11197" w:rsidRDefault="009118ED" w:rsidP="00811281">
            <w:pPr>
              <w:pStyle w:val="Tabletext1"/>
              <w:ind w:left="0"/>
            </w:pPr>
            <w:r w:rsidRPr="00BD2097">
              <w:t>2,235</w:t>
            </w:r>
          </w:p>
        </w:tc>
        <w:tc>
          <w:tcPr>
            <w:tcW w:w="960" w:type="dxa"/>
          </w:tcPr>
          <w:p w14:paraId="59B8D241" w14:textId="77777777" w:rsidR="009118ED" w:rsidRPr="00A11197" w:rsidRDefault="009118ED" w:rsidP="00811281">
            <w:pPr>
              <w:pStyle w:val="Tabletext1"/>
              <w:ind w:left="0"/>
            </w:pPr>
            <w:r w:rsidRPr="00BD2097">
              <w:t>2,243</w:t>
            </w:r>
          </w:p>
        </w:tc>
        <w:tc>
          <w:tcPr>
            <w:tcW w:w="960" w:type="dxa"/>
          </w:tcPr>
          <w:p w14:paraId="2266F29D" w14:textId="77777777" w:rsidR="009118ED" w:rsidRPr="00A11197" w:rsidRDefault="009118ED" w:rsidP="00811281">
            <w:pPr>
              <w:pStyle w:val="Tabletext1"/>
              <w:ind w:left="0"/>
            </w:pPr>
            <w:r w:rsidRPr="00BD2097">
              <w:t>2,251</w:t>
            </w:r>
          </w:p>
        </w:tc>
        <w:tc>
          <w:tcPr>
            <w:tcW w:w="1044" w:type="dxa"/>
          </w:tcPr>
          <w:p w14:paraId="62763332" w14:textId="77777777" w:rsidR="009118ED" w:rsidRPr="00A11197" w:rsidRDefault="009118ED" w:rsidP="00811281">
            <w:pPr>
              <w:pStyle w:val="Tabletext1"/>
              <w:ind w:left="0"/>
            </w:pPr>
            <w:r w:rsidRPr="00BD2097">
              <w:t>2,260</w:t>
            </w:r>
          </w:p>
        </w:tc>
      </w:tr>
      <w:tr w:rsidR="009118ED" w:rsidRPr="00A11197" w14:paraId="04E86FB3" w14:textId="77777777" w:rsidTr="003929ED">
        <w:tc>
          <w:tcPr>
            <w:tcW w:w="0" w:type="auto"/>
          </w:tcPr>
          <w:p w14:paraId="1832014D" w14:textId="77777777" w:rsidR="009118ED" w:rsidRDefault="009118ED" w:rsidP="00811281">
            <w:pPr>
              <w:pStyle w:val="Tabletext1"/>
              <w:ind w:left="0"/>
            </w:pPr>
            <w:r>
              <w:t>G</w:t>
            </w:r>
          </w:p>
        </w:tc>
        <w:tc>
          <w:tcPr>
            <w:tcW w:w="2492" w:type="dxa"/>
          </w:tcPr>
          <w:p w14:paraId="5168B1FA" w14:textId="3FCAA751" w:rsidR="009118ED" w:rsidRDefault="009118ED" w:rsidP="00811281">
            <w:pPr>
              <w:pStyle w:val="Tabletext1"/>
              <w:ind w:left="0"/>
            </w:pPr>
            <w:r>
              <w:t>Estimated number of</w:t>
            </w:r>
            <w:r w:rsidR="001E4DF5">
              <w:t xml:space="preserve"> AMH tests performed in a year </w:t>
            </w:r>
            <w:r>
              <w:lastRenderedPageBreak/>
              <w:t>(G = F *3)</w:t>
            </w:r>
          </w:p>
        </w:tc>
        <w:tc>
          <w:tcPr>
            <w:tcW w:w="1016" w:type="dxa"/>
          </w:tcPr>
          <w:p w14:paraId="388096D7" w14:textId="77777777" w:rsidR="009118ED" w:rsidRPr="009839BE" w:rsidRDefault="009118ED" w:rsidP="00811281">
            <w:pPr>
              <w:pStyle w:val="Tabletext1"/>
              <w:ind w:left="0"/>
            </w:pPr>
            <w:r>
              <w:lastRenderedPageBreak/>
              <w:t>3,921</w:t>
            </w:r>
          </w:p>
        </w:tc>
        <w:tc>
          <w:tcPr>
            <w:tcW w:w="961" w:type="dxa"/>
          </w:tcPr>
          <w:p w14:paraId="382799D6" w14:textId="77777777" w:rsidR="009118ED" w:rsidRPr="009839BE" w:rsidRDefault="009118ED" w:rsidP="00811281">
            <w:pPr>
              <w:pStyle w:val="Tabletext1"/>
              <w:ind w:left="0"/>
            </w:pPr>
            <w:r w:rsidRPr="00BD2097">
              <w:t>6,682</w:t>
            </w:r>
          </w:p>
        </w:tc>
        <w:tc>
          <w:tcPr>
            <w:tcW w:w="960" w:type="dxa"/>
          </w:tcPr>
          <w:p w14:paraId="62457783" w14:textId="77777777" w:rsidR="009118ED" w:rsidRPr="009839BE" w:rsidRDefault="009118ED" w:rsidP="00811281">
            <w:pPr>
              <w:pStyle w:val="Tabletext1"/>
              <w:ind w:left="0"/>
            </w:pPr>
            <w:r w:rsidRPr="00BD2097">
              <w:t>6,706</w:t>
            </w:r>
          </w:p>
        </w:tc>
        <w:tc>
          <w:tcPr>
            <w:tcW w:w="960" w:type="dxa"/>
          </w:tcPr>
          <w:p w14:paraId="1E06D574" w14:textId="77777777" w:rsidR="009118ED" w:rsidRPr="009839BE" w:rsidRDefault="009118ED" w:rsidP="00811281">
            <w:pPr>
              <w:pStyle w:val="Tabletext1"/>
              <w:ind w:left="0"/>
            </w:pPr>
            <w:r w:rsidRPr="00BD2097">
              <w:t>6,730</w:t>
            </w:r>
          </w:p>
        </w:tc>
        <w:tc>
          <w:tcPr>
            <w:tcW w:w="960" w:type="dxa"/>
          </w:tcPr>
          <w:p w14:paraId="07377618" w14:textId="77777777" w:rsidR="009118ED" w:rsidRPr="009839BE" w:rsidRDefault="009118ED" w:rsidP="00811281">
            <w:pPr>
              <w:pStyle w:val="Tabletext1"/>
              <w:ind w:left="0"/>
            </w:pPr>
            <w:r w:rsidRPr="00BD2097">
              <w:t>6,754</w:t>
            </w:r>
          </w:p>
        </w:tc>
        <w:tc>
          <w:tcPr>
            <w:tcW w:w="1044" w:type="dxa"/>
          </w:tcPr>
          <w:p w14:paraId="75BA3DF9" w14:textId="77777777" w:rsidR="009118ED" w:rsidRPr="009839BE" w:rsidRDefault="009118ED" w:rsidP="00811281">
            <w:pPr>
              <w:pStyle w:val="Tabletext1"/>
              <w:ind w:left="0"/>
            </w:pPr>
            <w:r w:rsidRPr="00BD2097">
              <w:t>6,779</w:t>
            </w:r>
          </w:p>
        </w:tc>
      </w:tr>
    </w:tbl>
    <w:p w14:paraId="350110E9" w14:textId="1A775900" w:rsidR="001E4DF5" w:rsidRPr="001E4DF5" w:rsidRDefault="001E4DF5" w:rsidP="001E4DF5">
      <w:pPr>
        <w:pStyle w:val="TableNotes1"/>
        <w:spacing w:after="0"/>
        <w:rPr>
          <w:sz w:val="18"/>
          <w:szCs w:val="18"/>
        </w:rPr>
      </w:pPr>
      <w:r>
        <w:rPr>
          <w:sz w:val="18"/>
          <w:szCs w:val="18"/>
        </w:rPr>
        <w:lastRenderedPageBreak/>
        <w:t>AMH = a</w:t>
      </w:r>
      <w:r w:rsidRPr="001E4DF5">
        <w:rPr>
          <w:sz w:val="18"/>
          <w:szCs w:val="18"/>
        </w:rPr>
        <w:t>nti-Müllerian hormone</w:t>
      </w:r>
    </w:p>
    <w:p w14:paraId="6411CB6A" w14:textId="48B0D1CC" w:rsidR="009118ED" w:rsidRPr="001E4DF5" w:rsidRDefault="00AE748A" w:rsidP="009118ED">
      <w:pPr>
        <w:pStyle w:val="TableNotes1"/>
        <w:spacing w:before="0" w:after="0"/>
        <w:rPr>
          <w:sz w:val="18"/>
          <w:szCs w:val="18"/>
        </w:rPr>
      </w:pPr>
      <w:r>
        <w:rPr>
          <w:sz w:val="18"/>
          <w:szCs w:val="18"/>
          <w:vertAlign w:val="superscript"/>
        </w:rPr>
        <w:t>a</w:t>
      </w:r>
      <w:r w:rsidR="009118ED" w:rsidRPr="001E4DF5">
        <w:rPr>
          <w:sz w:val="18"/>
          <w:szCs w:val="18"/>
        </w:rPr>
        <w:t xml:space="preserve"> Row numbers are used to represent the calculations</w:t>
      </w:r>
      <w:r w:rsidR="001E4DF5">
        <w:rPr>
          <w:sz w:val="18"/>
          <w:szCs w:val="18"/>
        </w:rPr>
        <w:t>.</w:t>
      </w:r>
    </w:p>
    <w:p w14:paraId="19B593DA" w14:textId="77171E2A" w:rsidR="009118ED" w:rsidRPr="001E4DF5" w:rsidRDefault="00AE748A" w:rsidP="009118ED">
      <w:pPr>
        <w:pStyle w:val="TableNotes1"/>
        <w:spacing w:after="0"/>
        <w:rPr>
          <w:sz w:val="18"/>
          <w:szCs w:val="18"/>
        </w:rPr>
      </w:pPr>
      <w:r>
        <w:rPr>
          <w:sz w:val="18"/>
          <w:szCs w:val="18"/>
          <w:vertAlign w:val="superscript"/>
        </w:rPr>
        <w:t>b</w:t>
      </w:r>
      <w:r w:rsidR="009118ED" w:rsidRPr="001E4DF5">
        <w:rPr>
          <w:sz w:val="18"/>
          <w:szCs w:val="18"/>
        </w:rPr>
        <w:t xml:space="preserve"> Incident cases of cancer are projected by applying 0.36% growth rate on 2017 incident estimates.</w:t>
      </w:r>
    </w:p>
    <w:p w14:paraId="65F5CCB6" w14:textId="3F8A107A" w:rsidR="009118ED" w:rsidRPr="001E4DF5" w:rsidRDefault="00AE748A" w:rsidP="009118ED">
      <w:pPr>
        <w:pStyle w:val="TableNotes1"/>
        <w:spacing w:after="0"/>
        <w:rPr>
          <w:sz w:val="18"/>
          <w:szCs w:val="18"/>
        </w:rPr>
      </w:pPr>
      <w:r>
        <w:rPr>
          <w:sz w:val="18"/>
          <w:szCs w:val="18"/>
          <w:vertAlign w:val="superscript"/>
        </w:rPr>
        <w:t>c</w:t>
      </w:r>
      <w:r w:rsidR="009118ED" w:rsidRPr="001E4DF5">
        <w:rPr>
          <w:sz w:val="18"/>
          <w:szCs w:val="18"/>
        </w:rPr>
        <w:t xml:space="preserve"> Uptake rate in 2017 is assumed to be 53% and for the next five years of listing it is assumed to be 90%.</w:t>
      </w:r>
    </w:p>
    <w:p w14:paraId="2BEB9EA5" w14:textId="77777777" w:rsidR="009118ED" w:rsidRDefault="009118ED" w:rsidP="009118ED">
      <w:pPr>
        <w:pStyle w:val="Heading3"/>
      </w:pPr>
      <w:bookmarkStart w:id="431" w:name="_Toc502832987"/>
      <w:r>
        <w:t>Estimated costs of AMH testing</w:t>
      </w:r>
      <w:bookmarkEnd w:id="431"/>
    </w:p>
    <w:p w14:paraId="0931EB06" w14:textId="16553220" w:rsidR="009118ED" w:rsidRDefault="009118ED" w:rsidP="009118ED">
      <w:pPr>
        <w:jc w:val="both"/>
      </w:pPr>
      <w:r>
        <w:t>The applicant has proposed the scheduled fee for an AMH test is $100. This is higher than the fee currently charged by some providers offering the service to privately funded patients (</w:t>
      </w:r>
      <w:r>
        <w:fldChar w:fldCharType="begin"/>
      </w:r>
      <w:r>
        <w:instrText xml:space="preserve"> REF _Ref501005111 \h </w:instrText>
      </w:r>
      <w:r>
        <w:fldChar w:fldCharType="separate"/>
      </w:r>
      <w:r w:rsidR="00AC4BE5">
        <w:t xml:space="preserve">Table </w:t>
      </w:r>
      <w:r w:rsidR="00AC4BE5">
        <w:rPr>
          <w:noProof/>
        </w:rPr>
        <w:t>69</w:t>
      </w:r>
      <w:r>
        <w:fldChar w:fldCharType="end"/>
      </w:r>
      <w:r w:rsidR="001E4DF5">
        <w:t>).</w:t>
      </w:r>
    </w:p>
    <w:p w14:paraId="5B11F8CE" w14:textId="737A69B6" w:rsidR="009118ED" w:rsidRDefault="009118ED" w:rsidP="009118ED">
      <w:pPr>
        <w:pStyle w:val="Caption"/>
        <w:keepNext/>
      </w:pPr>
      <w:bookmarkStart w:id="432" w:name="_Ref501005111"/>
      <w:bookmarkStart w:id="433" w:name="_Toc502833087"/>
      <w:r>
        <w:t xml:space="preserve">Table </w:t>
      </w:r>
      <w:r w:rsidR="00AC4BE5">
        <w:fldChar w:fldCharType="begin"/>
      </w:r>
      <w:r w:rsidR="00AC4BE5">
        <w:instrText xml:space="preserve"> SEQ Table \* ARABIC </w:instrText>
      </w:r>
      <w:r w:rsidR="00AC4BE5">
        <w:fldChar w:fldCharType="separate"/>
      </w:r>
      <w:r w:rsidR="00AC4BE5">
        <w:rPr>
          <w:noProof/>
        </w:rPr>
        <w:t>69</w:t>
      </w:r>
      <w:r w:rsidR="00AC4BE5">
        <w:rPr>
          <w:noProof/>
        </w:rPr>
        <w:fldChar w:fldCharType="end"/>
      </w:r>
      <w:bookmarkEnd w:id="432"/>
      <w:r>
        <w:tab/>
        <w:t>Proposed or advertised fees</w:t>
      </w:r>
      <w:r w:rsidR="000F404E">
        <w:rPr>
          <w:vertAlign w:val="superscript"/>
        </w:rPr>
        <w:t>a</w:t>
      </w:r>
      <w:r>
        <w:t xml:space="preserve"> for AMH testing</w:t>
      </w:r>
      <w:bookmarkEnd w:id="433"/>
    </w:p>
    <w:tbl>
      <w:tblPr>
        <w:tblStyle w:val="TableGrid"/>
        <w:tblW w:w="0" w:type="auto"/>
        <w:tblLook w:val="04A0" w:firstRow="1" w:lastRow="0" w:firstColumn="1" w:lastColumn="0" w:noHBand="0" w:noVBand="1"/>
        <w:tblCaption w:val="Proposed or advertised feesa for AMH testing"/>
        <w:tblDescription w:val="Proposed or advertised feesa for AMH testing"/>
      </w:tblPr>
      <w:tblGrid>
        <w:gridCol w:w="1838"/>
        <w:gridCol w:w="992"/>
        <w:gridCol w:w="6186"/>
      </w:tblGrid>
      <w:tr w:rsidR="009118ED" w:rsidRPr="002F2479" w14:paraId="6B4D9697" w14:textId="77777777" w:rsidTr="00177003">
        <w:trPr>
          <w:tblHeader/>
        </w:trPr>
        <w:tc>
          <w:tcPr>
            <w:tcW w:w="1838" w:type="dxa"/>
          </w:tcPr>
          <w:p w14:paraId="5B82D671" w14:textId="77777777" w:rsidR="009118ED" w:rsidRPr="007B14B5" w:rsidRDefault="009118ED" w:rsidP="00811281">
            <w:pPr>
              <w:pStyle w:val="Tabletext1"/>
              <w:ind w:left="0"/>
              <w:jc w:val="both"/>
              <w:rPr>
                <w:b/>
              </w:rPr>
            </w:pPr>
            <w:r w:rsidRPr="007B14B5">
              <w:rPr>
                <w:b/>
              </w:rPr>
              <w:t>Provider</w:t>
            </w:r>
          </w:p>
        </w:tc>
        <w:tc>
          <w:tcPr>
            <w:tcW w:w="992" w:type="dxa"/>
          </w:tcPr>
          <w:p w14:paraId="4569A490" w14:textId="77777777" w:rsidR="009118ED" w:rsidRPr="007B14B5" w:rsidRDefault="009118ED" w:rsidP="00811281">
            <w:pPr>
              <w:pStyle w:val="Tabletext1"/>
              <w:ind w:left="0"/>
              <w:jc w:val="both"/>
              <w:rPr>
                <w:b/>
                <w:vertAlign w:val="superscript"/>
              </w:rPr>
            </w:pPr>
            <w:r w:rsidRPr="007B14B5">
              <w:rPr>
                <w:b/>
              </w:rPr>
              <w:t>Cost</w:t>
            </w:r>
          </w:p>
        </w:tc>
        <w:tc>
          <w:tcPr>
            <w:tcW w:w="6186" w:type="dxa"/>
          </w:tcPr>
          <w:p w14:paraId="00DAF74B" w14:textId="77777777" w:rsidR="009118ED" w:rsidRPr="007B14B5" w:rsidRDefault="009118ED" w:rsidP="00811281">
            <w:pPr>
              <w:pStyle w:val="Tabletext1"/>
              <w:ind w:left="0"/>
              <w:jc w:val="both"/>
              <w:rPr>
                <w:b/>
              </w:rPr>
            </w:pPr>
            <w:r w:rsidRPr="007B14B5">
              <w:rPr>
                <w:b/>
              </w:rPr>
              <w:t>Source</w:t>
            </w:r>
          </w:p>
        </w:tc>
      </w:tr>
      <w:tr w:rsidR="009118ED" w:rsidRPr="0016115F" w14:paraId="2FA364D7" w14:textId="77777777" w:rsidTr="003929ED">
        <w:tc>
          <w:tcPr>
            <w:tcW w:w="1838" w:type="dxa"/>
          </w:tcPr>
          <w:p w14:paraId="1A970E5A" w14:textId="77777777" w:rsidR="009118ED" w:rsidRPr="0016115F" w:rsidRDefault="009118ED" w:rsidP="00811281">
            <w:pPr>
              <w:pStyle w:val="Tabletext1"/>
              <w:ind w:left="0"/>
              <w:jc w:val="both"/>
              <w:rPr>
                <w:i/>
              </w:rPr>
            </w:pPr>
            <w:r w:rsidRPr="0016115F">
              <w:rPr>
                <w:i/>
              </w:rPr>
              <w:t>Applicant</w:t>
            </w:r>
          </w:p>
        </w:tc>
        <w:tc>
          <w:tcPr>
            <w:tcW w:w="992" w:type="dxa"/>
          </w:tcPr>
          <w:p w14:paraId="300E5C80" w14:textId="77777777" w:rsidR="009118ED" w:rsidRPr="0016115F" w:rsidRDefault="009118ED" w:rsidP="00811281">
            <w:pPr>
              <w:pStyle w:val="Tabletext1"/>
              <w:ind w:left="0"/>
              <w:jc w:val="both"/>
              <w:rPr>
                <w:i/>
              </w:rPr>
            </w:pPr>
            <w:r w:rsidRPr="0016115F">
              <w:rPr>
                <w:i/>
              </w:rPr>
              <w:t>$100</w:t>
            </w:r>
          </w:p>
        </w:tc>
        <w:tc>
          <w:tcPr>
            <w:tcW w:w="6186" w:type="dxa"/>
          </w:tcPr>
          <w:p w14:paraId="31FF711E" w14:textId="6262D4E6" w:rsidR="009118ED" w:rsidRPr="00320CAA" w:rsidRDefault="009118ED" w:rsidP="000F404E">
            <w:pPr>
              <w:pStyle w:val="Tabletext1"/>
              <w:ind w:left="0"/>
              <w:jc w:val="both"/>
              <w:rPr>
                <w:i/>
                <w:vertAlign w:val="superscript"/>
              </w:rPr>
            </w:pPr>
            <w:r w:rsidRPr="0016115F">
              <w:rPr>
                <w:i/>
              </w:rPr>
              <w:t>Proposed fee in the protocol</w:t>
            </w:r>
            <w:r w:rsidR="000F404E">
              <w:rPr>
                <w:i/>
                <w:vertAlign w:val="superscript"/>
              </w:rPr>
              <w:t>b</w:t>
            </w:r>
          </w:p>
        </w:tc>
      </w:tr>
      <w:tr w:rsidR="009118ED" w14:paraId="413F5092" w14:textId="77777777" w:rsidTr="003929ED">
        <w:tc>
          <w:tcPr>
            <w:tcW w:w="1838" w:type="dxa"/>
          </w:tcPr>
          <w:p w14:paraId="2A6056E3" w14:textId="77777777" w:rsidR="009118ED" w:rsidRDefault="009118ED" w:rsidP="00811281">
            <w:pPr>
              <w:pStyle w:val="Tabletext1"/>
              <w:ind w:left="0"/>
              <w:jc w:val="both"/>
            </w:pPr>
            <w:r>
              <w:t>IVF Australia</w:t>
            </w:r>
          </w:p>
        </w:tc>
        <w:tc>
          <w:tcPr>
            <w:tcW w:w="992" w:type="dxa"/>
          </w:tcPr>
          <w:p w14:paraId="4CF20094" w14:textId="77777777" w:rsidR="009118ED" w:rsidRDefault="009118ED" w:rsidP="00811281">
            <w:pPr>
              <w:pStyle w:val="Tabletext1"/>
              <w:ind w:left="0"/>
              <w:jc w:val="both"/>
            </w:pPr>
            <w:r>
              <w:t>$80</w:t>
            </w:r>
          </w:p>
        </w:tc>
        <w:tc>
          <w:tcPr>
            <w:tcW w:w="6186" w:type="dxa"/>
          </w:tcPr>
          <w:p w14:paraId="7B0D1DDB" w14:textId="696C694A" w:rsidR="009118ED" w:rsidRPr="00811281" w:rsidRDefault="00AC4BE5" w:rsidP="00811281">
            <w:pPr>
              <w:pStyle w:val="PlainText"/>
              <w:ind w:left="0"/>
              <w:rPr>
                <w:rFonts w:ascii="Arial Narrow" w:hAnsi="Arial Narrow"/>
              </w:rPr>
            </w:pPr>
            <w:hyperlink r:id="rId40" w:tooltip="Link to IVF Australia Website" w:history="1">
              <w:r w:rsidR="009118ED" w:rsidRPr="00811281">
                <w:rPr>
                  <w:rStyle w:val="Hyperlink"/>
                  <w:rFonts w:ascii="Arial Narrow" w:hAnsi="Arial Narrow"/>
                </w:rPr>
                <w:t>https</w:t>
              </w:r>
              <w:r w:rsidR="009D0A93" w:rsidRPr="00811281">
                <w:rPr>
                  <w:rStyle w:val="Hyperlink"/>
                  <w:rFonts w:ascii="Arial Narrow" w:hAnsi="Arial Narrow"/>
                  <w:u w:val="none"/>
                </w:rPr>
                <w:t>:</w:t>
              </w:r>
              <w:r w:rsidR="009118ED" w:rsidRPr="00811281">
                <w:rPr>
                  <w:rStyle w:val="Hyperlink"/>
                  <w:rFonts w:ascii="Arial Narrow" w:hAnsi="Arial Narrow"/>
                </w:rPr>
                <w:t>//www.ivf.com.au/ovarian-reserve-amh-test</w:t>
              </w:r>
            </w:hyperlink>
          </w:p>
        </w:tc>
      </w:tr>
      <w:tr w:rsidR="009118ED" w14:paraId="624BC2EA" w14:textId="77777777" w:rsidTr="003929ED">
        <w:tc>
          <w:tcPr>
            <w:tcW w:w="1838" w:type="dxa"/>
          </w:tcPr>
          <w:p w14:paraId="3502CE2D" w14:textId="77777777" w:rsidR="009118ED" w:rsidRDefault="009118ED" w:rsidP="00811281">
            <w:pPr>
              <w:pStyle w:val="Tabletext1"/>
              <w:ind w:left="0"/>
              <w:jc w:val="both"/>
            </w:pPr>
            <w:r>
              <w:t>Fertility North</w:t>
            </w:r>
          </w:p>
        </w:tc>
        <w:tc>
          <w:tcPr>
            <w:tcW w:w="992" w:type="dxa"/>
          </w:tcPr>
          <w:p w14:paraId="47AC65B8" w14:textId="77777777" w:rsidR="009118ED" w:rsidRDefault="009118ED" w:rsidP="00811281">
            <w:pPr>
              <w:pStyle w:val="Tabletext1"/>
              <w:ind w:left="0"/>
              <w:jc w:val="both"/>
            </w:pPr>
            <w:r>
              <w:t>$55</w:t>
            </w:r>
          </w:p>
        </w:tc>
        <w:tc>
          <w:tcPr>
            <w:tcW w:w="6186" w:type="dxa"/>
          </w:tcPr>
          <w:p w14:paraId="3BC727B9" w14:textId="2A76C557" w:rsidR="009118ED" w:rsidRPr="00811281" w:rsidRDefault="00AC4BE5" w:rsidP="00811281">
            <w:pPr>
              <w:pStyle w:val="PlainText"/>
              <w:ind w:left="0"/>
              <w:rPr>
                <w:rFonts w:ascii="Arial Narrow" w:hAnsi="Arial Narrow"/>
              </w:rPr>
            </w:pPr>
            <w:hyperlink r:id="rId41" w:tooltip="Link to Fertility North website" w:history="1">
              <w:r w:rsidR="009118ED" w:rsidRPr="00811281">
                <w:rPr>
                  <w:rStyle w:val="Hyperlink"/>
                  <w:rFonts w:ascii="Arial Narrow" w:hAnsi="Arial Narrow"/>
                </w:rPr>
                <w:t>http</w:t>
              </w:r>
              <w:r w:rsidR="009D0A93" w:rsidRPr="00811281">
                <w:rPr>
                  <w:rStyle w:val="Hyperlink"/>
                  <w:rFonts w:ascii="Arial Narrow" w:hAnsi="Arial Narrow"/>
                  <w:u w:val="none"/>
                </w:rPr>
                <w:t>:</w:t>
              </w:r>
              <w:r w:rsidR="009118ED" w:rsidRPr="00811281">
                <w:rPr>
                  <w:rStyle w:val="Hyperlink"/>
                  <w:rFonts w:ascii="Arial Narrow" w:hAnsi="Arial Narrow"/>
                </w:rPr>
                <w:t>//www.fertilitynorth.com.au/amh-test/</w:t>
              </w:r>
            </w:hyperlink>
          </w:p>
        </w:tc>
      </w:tr>
      <w:tr w:rsidR="009118ED" w14:paraId="6FF7F98D" w14:textId="77777777" w:rsidTr="003929ED">
        <w:tc>
          <w:tcPr>
            <w:tcW w:w="1838" w:type="dxa"/>
          </w:tcPr>
          <w:p w14:paraId="0F817BA1" w14:textId="77777777" w:rsidR="009118ED" w:rsidRDefault="009118ED" w:rsidP="00811281">
            <w:pPr>
              <w:pStyle w:val="Tabletext1"/>
              <w:ind w:left="0"/>
              <w:jc w:val="both"/>
            </w:pPr>
            <w:r>
              <w:t>Repromed</w:t>
            </w:r>
          </w:p>
        </w:tc>
        <w:tc>
          <w:tcPr>
            <w:tcW w:w="992" w:type="dxa"/>
          </w:tcPr>
          <w:p w14:paraId="75708330" w14:textId="77777777" w:rsidR="009118ED" w:rsidRDefault="009118ED" w:rsidP="00811281">
            <w:pPr>
              <w:pStyle w:val="Tabletext1"/>
              <w:ind w:left="0"/>
              <w:jc w:val="both"/>
            </w:pPr>
            <w:r>
              <w:t>$98</w:t>
            </w:r>
          </w:p>
        </w:tc>
        <w:tc>
          <w:tcPr>
            <w:tcW w:w="6186" w:type="dxa"/>
          </w:tcPr>
          <w:p w14:paraId="7865AF03" w14:textId="4CC68CA3" w:rsidR="009118ED" w:rsidRPr="00811281" w:rsidRDefault="00AC4BE5" w:rsidP="00811281">
            <w:pPr>
              <w:pStyle w:val="PlainText"/>
              <w:ind w:left="0"/>
              <w:rPr>
                <w:rFonts w:ascii="Arial Narrow" w:hAnsi="Arial Narrow"/>
              </w:rPr>
            </w:pPr>
            <w:hyperlink r:id="rId42" w:tooltip="Link to Repromed website" w:history="1">
              <w:r w:rsidR="009118ED" w:rsidRPr="00811281">
                <w:rPr>
                  <w:rStyle w:val="Hyperlink"/>
                  <w:rFonts w:ascii="Arial Narrow" w:hAnsi="Arial Narrow"/>
                </w:rPr>
                <w:t>http</w:t>
              </w:r>
              <w:r w:rsidR="009D0A93" w:rsidRPr="00811281">
                <w:rPr>
                  <w:rStyle w:val="Hyperlink"/>
                  <w:rFonts w:ascii="Arial Narrow" w:hAnsi="Arial Narrow"/>
                  <w:u w:val="none"/>
                </w:rPr>
                <w:t>:</w:t>
              </w:r>
              <w:r w:rsidR="009118ED" w:rsidRPr="00811281">
                <w:rPr>
                  <w:rStyle w:val="Hyperlink"/>
                  <w:rFonts w:ascii="Arial Narrow" w:hAnsi="Arial Narrow"/>
                </w:rPr>
                <w:t>//repromed.com.au/what-to-expect/preliminary-investigations/amh-blood-test/</w:t>
              </w:r>
            </w:hyperlink>
          </w:p>
        </w:tc>
      </w:tr>
      <w:tr w:rsidR="009118ED" w14:paraId="55FD544B" w14:textId="77777777" w:rsidTr="003929ED">
        <w:tc>
          <w:tcPr>
            <w:tcW w:w="1838" w:type="dxa"/>
          </w:tcPr>
          <w:p w14:paraId="172D92FB" w14:textId="77777777" w:rsidR="009118ED" w:rsidRDefault="009118ED" w:rsidP="00811281">
            <w:pPr>
              <w:pStyle w:val="Tabletext1"/>
              <w:ind w:left="0"/>
              <w:jc w:val="both"/>
            </w:pPr>
            <w:r>
              <w:t>Clinpath Pathology</w:t>
            </w:r>
          </w:p>
        </w:tc>
        <w:tc>
          <w:tcPr>
            <w:tcW w:w="992" w:type="dxa"/>
          </w:tcPr>
          <w:p w14:paraId="4A6C6B4B" w14:textId="77777777" w:rsidR="009118ED" w:rsidRDefault="009118ED" w:rsidP="00811281">
            <w:pPr>
              <w:pStyle w:val="Tabletext1"/>
              <w:ind w:left="0"/>
              <w:jc w:val="both"/>
            </w:pPr>
            <w:r>
              <w:t>$60</w:t>
            </w:r>
          </w:p>
        </w:tc>
        <w:tc>
          <w:tcPr>
            <w:tcW w:w="6186" w:type="dxa"/>
          </w:tcPr>
          <w:p w14:paraId="3C5CFA5B" w14:textId="38052409" w:rsidR="009118ED" w:rsidRPr="00811281" w:rsidRDefault="00AC4BE5" w:rsidP="00811281">
            <w:pPr>
              <w:pStyle w:val="PlainText"/>
              <w:ind w:left="0"/>
              <w:rPr>
                <w:rFonts w:ascii="Arial Narrow" w:hAnsi="Arial Narrow"/>
              </w:rPr>
            </w:pPr>
            <w:hyperlink r:id="rId43" w:tooltip="Link to Clinpath Pathology" w:history="1">
              <w:r w:rsidR="009118ED" w:rsidRPr="00811281">
                <w:rPr>
                  <w:rStyle w:val="Hyperlink"/>
                  <w:rFonts w:ascii="Arial Narrow" w:hAnsi="Arial Narrow"/>
                </w:rPr>
                <w:t>http</w:t>
              </w:r>
              <w:r w:rsidR="009D0A93" w:rsidRPr="00811281">
                <w:rPr>
                  <w:rStyle w:val="Hyperlink"/>
                  <w:rFonts w:ascii="Arial Narrow" w:hAnsi="Arial Narrow"/>
                  <w:u w:val="none"/>
                </w:rPr>
                <w:t>:</w:t>
              </w:r>
              <w:r w:rsidR="009118ED" w:rsidRPr="00811281">
                <w:rPr>
                  <w:rStyle w:val="Hyperlink"/>
                  <w:rFonts w:ascii="Arial Narrow" w:hAnsi="Arial Narrow"/>
                </w:rPr>
                <w:t>//www.clinipathpathology.com.au/media/96085/anti-mullerian%20hormone%20(amh).pdf</w:t>
              </w:r>
            </w:hyperlink>
          </w:p>
        </w:tc>
      </w:tr>
      <w:tr w:rsidR="009118ED" w14:paraId="7BDFB4E8" w14:textId="77777777" w:rsidTr="003929ED">
        <w:tc>
          <w:tcPr>
            <w:tcW w:w="1838" w:type="dxa"/>
          </w:tcPr>
          <w:p w14:paraId="729795EA" w14:textId="053BF51E" w:rsidR="009118ED" w:rsidRDefault="00811281" w:rsidP="00811281">
            <w:pPr>
              <w:pStyle w:val="Tabletext1"/>
              <w:ind w:left="0"/>
              <w:jc w:val="both"/>
            </w:pPr>
            <w:r>
              <w:t>i</w:t>
            </w:r>
            <w:r w:rsidR="009118ED">
              <w:t>-screen</w:t>
            </w:r>
          </w:p>
        </w:tc>
        <w:tc>
          <w:tcPr>
            <w:tcW w:w="992" w:type="dxa"/>
          </w:tcPr>
          <w:p w14:paraId="3C5F1597" w14:textId="77777777" w:rsidR="009118ED" w:rsidRDefault="009118ED" w:rsidP="00811281">
            <w:pPr>
              <w:pStyle w:val="Tabletext1"/>
              <w:ind w:left="0"/>
              <w:jc w:val="both"/>
            </w:pPr>
            <w:r>
              <w:t>$85</w:t>
            </w:r>
          </w:p>
        </w:tc>
        <w:tc>
          <w:tcPr>
            <w:tcW w:w="6186" w:type="dxa"/>
          </w:tcPr>
          <w:p w14:paraId="26CC04C5" w14:textId="5D616BC7" w:rsidR="009118ED" w:rsidRPr="00811281" w:rsidRDefault="00AC4BE5" w:rsidP="00811281">
            <w:pPr>
              <w:pStyle w:val="PlainText"/>
              <w:ind w:left="0"/>
              <w:rPr>
                <w:rFonts w:ascii="Arial Narrow" w:hAnsi="Arial Narrow"/>
              </w:rPr>
            </w:pPr>
            <w:hyperlink r:id="rId44" w:tooltip="Link to i-screen" w:history="1">
              <w:r w:rsidR="009118ED" w:rsidRPr="00811281">
                <w:rPr>
                  <w:rStyle w:val="Hyperlink"/>
                  <w:rFonts w:ascii="Arial Narrow" w:hAnsi="Arial Narrow"/>
                </w:rPr>
                <w:t>https</w:t>
              </w:r>
              <w:r w:rsidR="009D0A93" w:rsidRPr="00811281">
                <w:rPr>
                  <w:rStyle w:val="Hyperlink"/>
                  <w:rFonts w:ascii="Arial Narrow" w:hAnsi="Arial Narrow"/>
                  <w:u w:val="none"/>
                </w:rPr>
                <w:t>:</w:t>
              </w:r>
              <w:r w:rsidR="009118ED" w:rsidRPr="00811281">
                <w:rPr>
                  <w:rStyle w:val="Hyperlink"/>
                  <w:rFonts w:ascii="Arial Narrow" w:hAnsi="Arial Narrow"/>
                </w:rPr>
                <w:t>//www.i-screen.com.au/app/register/amh-test</w:t>
              </w:r>
            </w:hyperlink>
          </w:p>
        </w:tc>
      </w:tr>
    </w:tbl>
    <w:p w14:paraId="7F1CF9F9" w14:textId="58D43BF7" w:rsidR="009118ED" w:rsidRPr="001E4DF5" w:rsidRDefault="001E4DF5" w:rsidP="001E4DF5">
      <w:pPr>
        <w:pStyle w:val="TableNotes1"/>
        <w:spacing w:after="0"/>
        <w:rPr>
          <w:sz w:val="18"/>
          <w:szCs w:val="18"/>
        </w:rPr>
      </w:pPr>
      <w:r w:rsidRPr="001E4DF5">
        <w:rPr>
          <w:sz w:val="18"/>
          <w:szCs w:val="18"/>
        </w:rPr>
        <w:t>AMH = a</w:t>
      </w:r>
      <w:r w:rsidR="009118ED" w:rsidRPr="001E4DF5">
        <w:rPr>
          <w:sz w:val="18"/>
          <w:szCs w:val="18"/>
        </w:rPr>
        <w:t>nti-Müllerian hormone</w:t>
      </w:r>
    </w:p>
    <w:p w14:paraId="11A74D74" w14:textId="7FE112A0" w:rsidR="001E4DF5" w:rsidRPr="001E4DF5" w:rsidRDefault="000F404E" w:rsidP="001E4DF5">
      <w:pPr>
        <w:pStyle w:val="TableNotes1"/>
        <w:spacing w:after="0"/>
        <w:rPr>
          <w:sz w:val="18"/>
          <w:szCs w:val="18"/>
        </w:rPr>
      </w:pPr>
      <w:r>
        <w:rPr>
          <w:sz w:val="18"/>
          <w:szCs w:val="18"/>
          <w:vertAlign w:val="superscript"/>
        </w:rPr>
        <w:t>a</w:t>
      </w:r>
      <w:r w:rsidR="001E4DF5" w:rsidRPr="001E4DF5">
        <w:rPr>
          <w:sz w:val="18"/>
          <w:szCs w:val="18"/>
        </w:rPr>
        <w:t xml:space="preserve"> Advertised fees, as per websites accessed on 2 November 2017. The applicant has proposed the scheduled fee for an AMH test is $100.</w:t>
      </w:r>
    </w:p>
    <w:p w14:paraId="5A531249" w14:textId="3DB721A7" w:rsidR="001E4DF5" w:rsidRPr="001E4DF5" w:rsidRDefault="000F404E" w:rsidP="001E4DF5">
      <w:pPr>
        <w:pStyle w:val="TableNotes1"/>
        <w:rPr>
          <w:sz w:val="18"/>
          <w:szCs w:val="18"/>
        </w:rPr>
      </w:pPr>
      <w:r>
        <w:rPr>
          <w:sz w:val="18"/>
          <w:szCs w:val="18"/>
          <w:vertAlign w:val="superscript"/>
        </w:rPr>
        <w:t>b</w:t>
      </w:r>
      <w:r w:rsidR="001E4DF5" w:rsidRPr="001E4DF5">
        <w:rPr>
          <w:sz w:val="18"/>
          <w:szCs w:val="18"/>
        </w:rPr>
        <w:t xml:space="preserve"> MSAC </w:t>
      </w:r>
      <w:r w:rsidR="0064098D">
        <w:rPr>
          <w:sz w:val="18"/>
          <w:szCs w:val="18"/>
        </w:rPr>
        <w:t>a</w:t>
      </w:r>
      <w:r w:rsidR="001E4DF5" w:rsidRPr="001E4DF5">
        <w:rPr>
          <w:sz w:val="18"/>
          <w:szCs w:val="18"/>
        </w:rPr>
        <w:t xml:space="preserve">pplication 1434 (Protocol): Anti-Müllerian Hormone (AMH) MBS listing for female patients </w:t>
      </w:r>
      <w:r w:rsidR="003B6B21">
        <w:rPr>
          <w:sz w:val="18"/>
          <w:szCs w:val="18"/>
        </w:rPr>
        <w:t>preceding or following</w:t>
      </w:r>
      <w:r w:rsidR="001E4DF5" w:rsidRPr="001E4DF5">
        <w:rPr>
          <w:sz w:val="18"/>
          <w:szCs w:val="18"/>
        </w:rPr>
        <w:t xml:space="preserve"> gonadotoxic treatment, </w:t>
      </w:r>
      <w:r w:rsidR="009B4DBD">
        <w:rPr>
          <w:sz w:val="18"/>
          <w:szCs w:val="18"/>
        </w:rPr>
        <w:t xml:space="preserve">Australian Government </w:t>
      </w:r>
      <w:r w:rsidR="001E4DF5" w:rsidRPr="001E4DF5">
        <w:rPr>
          <w:sz w:val="18"/>
          <w:szCs w:val="18"/>
        </w:rPr>
        <w:t>Department of Health, Canberra.</w:t>
      </w:r>
    </w:p>
    <w:p w14:paraId="15AEC151" w14:textId="3534F660" w:rsidR="009118ED" w:rsidRDefault="009118ED" w:rsidP="009118ED">
      <w:pPr>
        <w:jc w:val="both"/>
      </w:pPr>
      <w:r>
        <w:t>The MBS usage data</w:t>
      </w:r>
      <w:r>
        <w:rPr>
          <w:rStyle w:val="FootnoteReference"/>
        </w:rPr>
        <w:footnoteReference w:id="10"/>
      </w:r>
      <w:r>
        <w:t xml:space="preserve"> on the other additional blood tests likely taken in conjunction with AMH testing (MBS item 66701 for three blood tests described in item 66695) for the years 2011–12 to 2015–16 indicates that the services are performed in </w:t>
      </w:r>
      <w:r w:rsidR="001E4DF5">
        <w:t>out</w:t>
      </w:r>
      <w:r w:rsidR="00415491">
        <w:t>patient</w:t>
      </w:r>
      <w:r w:rsidR="001E4DF5">
        <w:t xml:space="preserve"> settings 99% of the time</w:t>
      </w:r>
      <w:r>
        <w:t>, and 95% of these services are bulk-billed. Therefore, it is assumed that the AMH test would also generally be performed in the out</w:t>
      </w:r>
      <w:r w:rsidR="00415491">
        <w:t>patient</w:t>
      </w:r>
      <w:r>
        <w:t xml:space="preserve"> setting and have a similar bulk</w:t>
      </w:r>
      <w:r w:rsidR="00DF36E4">
        <w:t xml:space="preserve"> </w:t>
      </w:r>
      <w:r>
        <w:t>billing rate. When not bulk-billed, the average patient contribution per service for MBS item 66701 was $19, which is higher than th</w:t>
      </w:r>
      <w:r w:rsidR="001E4DF5">
        <w:t>e 15% patient contribution gap, which would be $9</w:t>
      </w:r>
      <w:r>
        <w:t>. In the base</w:t>
      </w:r>
      <w:r w:rsidR="00DF36E4">
        <w:t xml:space="preserve"> </w:t>
      </w:r>
      <w:r>
        <w:t>case financial analysis, the patient contribution is assumed to be 15% of the scheduled fee, but higher patient contributions and different bulk</w:t>
      </w:r>
      <w:r w:rsidR="00DF36E4">
        <w:t xml:space="preserve"> </w:t>
      </w:r>
      <w:r>
        <w:t>billing rates are assess</w:t>
      </w:r>
      <w:r w:rsidR="001E4DF5">
        <w:t>ed in the sensitivity analysis.</w:t>
      </w:r>
    </w:p>
    <w:p w14:paraId="6C3AFDA4" w14:textId="1935D1C2" w:rsidR="009118ED" w:rsidRDefault="009118ED" w:rsidP="009118ED">
      <w:pPr>
        <w:jc w:val="both"/>
      </w:pPr>
      <w:r>
        <w:fldChar w:fldCharType="begin"/>
      </w:r>
      <w:r>
        <w:instrText xml:space="preserve"> REF _Ref496864000 \h </w:instrText>
      </w:r>
      <w:r>
        <w:fldChar w:fldCharType="separate"/>
      </w:r>
      <w:r w:rsidR="00AC4BE5">
        <w:t xml:space="preserve">Table </w:t>
      </w:r>
      <w:r w:rsidR="00AC4BE5">
        <w:rPr>
          <w:noProof/>
        </w:rPr>
        <w:t>70</w:t>
      </w:r>
      <w:r>
        <w:fldChar w:fldCharType="end"/>
      </w:r>
      <w:r>
        <w:t xml:space="preserve"> summarises the e</w:t>
      </w:r>
      <w:r w:rsidRPr="00965F16">
        <w:t>stimated costs of AMH testing</w:t>
      </w:r>
      <w:r w:rsidR="001E4DF5">
        <w:t xml:space="preserve"> to the MBS, i.e. </w:t>
      </w:r>
      <w:r>
        <w:t>gover</w:t>
      </w:r>
      <w:r w:rsidR="001E4DF5">
        <w:t>nment expenditure, and patients, i.e. out-of-pocket expenditure</w:t>
      </w:r>
      <w:r>
        <w:t>. The base</w:t>
      </w:r>
      <w:r w:rsidR="00DF36E4">
        <w:t xml:space="preserve"> </w:t>
      </w:r>
      <w:r>
        <w:t>case analysis estimates that AMH testing will cost approximately $570,000 to the MBS each year.</w:t>
      </w:r>
    </w:p>
    <w:p w14:paraId="2E2165C7" w14:textId="7024BC34" w:rsidR="009118ED" w:rsidRDefault="009118ED" w:rsidP="009118ED">
      <w:pPr>
        <w:pStyle w:val="Caption"/>
        <w:keepNext/>
      </w:pPr>
      <w:bookmarkStart w:id="434" w:name="_Ref496864000"/>
      <w:bookmarkStart w:id="435" w:name="_Toc502833088"/>
      <w:r>
        <w:t xml:space="preserve">Table </w:t>
      </w:r>
      <w:r w:rsidR="00AC4BE5">
        <w:fldChar w:fldCharType="begin"/>
      </w:r>
      <w:r w:rsidR="00AC4BE5">
        <w:instrText xml:space="preserve"> SEQ Table \* ARA</w:instrText>
      </w:r>
      <w:r w:rsidR="00AC4BE5">
        <w:instrText xml:space="preserve">BIC </w:instrText>
      </w:r>
      <w:r w:rsidR="00AC4BE5">
        <w:fldChar w:fldCharType="separate"/>
      </w:r>
      <w:r w:rsidR="00AC4BE5">
        <w:rPr>
          <w:noProof/>
        </w:rPr>
        <w:t>70</w:t>
      </w:r>
      <w:r w:rsidR="00AC4BE5">
        <w:rPr>
          <w:noProof/>
        </w:rPr>
        <w:fldChar w:fldCharType="end"/>
      </w:r>
      <w:bookmarkEnd w:id="434"/>
      <w:r>
        <w:tab/>
        <w:t>Estim</w:t>
      </w:r>
      <w:r w:rsidR="001E4DF5">
        <w:t>ated costs of AMH testing, 2018–19 to 2022–</w:t>
      </w:r>
      <w:r>
        <w:t>23</w:t>
      </w:r>
      <w:bookmarkEnd w:id="435"/>
    </w:p>
    <w:tbl>
      <w:tblPr>
        <w:tblStyle w:val="TableGrid1"/>
        <w:tblW w:w="5000" w:type="pct"/>
        <w:tblLook w:val="04A0" w:firstRow="1" w:lastRow="0" w:firstColumn="1" w:lastColumn="0" w:noHBand="0" w:noVBand="1"/>
        <w:tblCaption w:val="Estimated costs of AMH testing, 2018 – 19 to 2022 – 23"/>
        <w:tblDescription w:val="Estimated costs of AMH testing, 2018 – 19 to 2022 – 23"/>
      </w:tblPr>
      <w:tblGrid>
        <w:gridCol w:w="3077"/>
        <w:gridCol w:w="1233"/>
        <w:gridCol w:w="1233"/>
        <w:gridCol w:w="1233"/>
        <w:gridCol w:w="1233"/>
        <w:gridCol w:w="1233"/>
      </w:tblGrid>
      <w:tr w:rsidR="009118ED" w:rsidRPr="00B51D5E" w14:paraId="6064C291" w14:textId="77777777" w:rsidTr="003929ED">
        <w:trPr>
          <w:cnfStyle w:val="100000000000" w:firstRow="1" w:lastRow="0" w:firstColumn="0" w:lastColumn="0" w:oddVBand="0" w:evenVBand="0" w:oddHBand="0" w:evenHBand="0" w:firstRowFirstColumn="0" w:firstRowLastColumn="0" w:lastRowFirstColumn="0" w:lastRowLastColumn="0"/>
          <w:trHeight w:val="255"/>
          <w:tblHeader/>
        </w:trPr>
        <w:tc>
          <w:tcPr>
            <w:tcW w:w="1664" w:type="pct"/>
            <w:hideMark/>
          </w:tcPr>
          <w:p w14:paraId="524A5E08" w14:textId="77777777" w:rsidR="009118ED" w:rsidRPr="00B51D5E" w:rsidRDefault="009118ED" w:rsidP="00811281">
            <w:pPr>
              <w:pStyle w:val="Tabletext1"/>
              <w:rPr>
                <w:b/>
              </w:rPr>
            </w:pPr>
          </w:p>
        </w:tc>
        <w:tc>
          <w:tcPr>
            <w:tcW w:w="667" w:type="pct"/>
            <w:hideMark/>
          </w:tcPr>
          <w:p w14:paraId="0A06317A" w14:textId="4CA18956" w:rsidR="009118ED" w:rsidRPr="00811281" w:rsidRDefault="00811281" w:rsidP="00811281">
            <w:pPr>
              <w:pStyle w:val="Tabletext1"/>
              <w:rPr>
                <w:b/>
              </w:rPr>
            </w:pPr>
            <w:r w:rsidRPr="00811281">
              <w:rPr>
                <w:b/>
              </w:rPr>
              <w:t>2018–</w:t>
            </w:r>
            <w:r w:rsidR="009118ED" w:rsidRPr="00811281">
              <w:rPr>
                <w:b/>
              </w:rPr>
              <w:t>2019</w:t>
            </w:r>
          </w:p>
        </w:tc>
        <w:tc>
          <w:tcPr>
            <w:tcW w:w="667" w:type="pct"/>
            <w:hideMark/>
          </w:tcPr>
          <w:p w14:paraId="2AA4BD42" w14:textId="26A3633A" w:rsidR="009118ED" w:rsidRPr="00811281" w:rsidRDefault="009118ED" w:rsidP="00811281">
            <w:pPr>
              <w:pStyle w:val="Tabletext1"/>
              <w:rPr>
                <w:b/>
              </w:rPr>
            </w:pPr>
            <w:r w:rsidRPr="00811281">
              <w:rPr>
                <w:b/>
              </w:rPr>
              <w:t>2019</w:t>
            </w:r>
            <w:r w:rsidR="00811281" w:rsidRPr="00811281">
              <w:rPr>
                <w:b/>
              </w:rPr>
              <w:t>–</w:t>
            </w:r>
            <w:r w:rsidRPr="00811281">
              <w:rPr>
                <w:b/>
              </w:rPr>
              <w:t>2020</w:t>
            </w:r>
          </w:p>
        </w:tc>
        <w:tc>
          <w:tcPr>
            <w:tcW w:w="667" w:type="pct"/>
            <w:hideMark/>
          </w:tcPr>
          <w:p w14:paraId="0CFD5FB3" w14:textId="539560E7" w:rsidR="009118ED" w:rsidRPr="00811281" w:rsidRDefault="009118ED" w:rsidP="00811281">
            <w:pPr>
              <w:pStyle w:val="Tabletext1"/>
              <w:rPr>
                <w:b/>
              </w:rPr>
            </w:pPr>
            <w:r w:rsidRPr="00811281">
              <w:rPr>
                <w:b/>
              </w:rPr>
              <w:t>2020</w:t>
            </w:r>
            <w:r w:rsidR="00811281" w:rsidRPr="00811281">
              <w:rPr>
                <w:b/>
              </w:rPr>
              <w:t>–</w:t>
            </w:r>
            <w:r w:rsidRPr="00811281">
              <w:rPr>
                <w:b/>
              </w:rPr>
              <w:t>2021</w:t>
            </w:r>
          </w:p>
        </w:tc>
        <w:tc>
          <w:tcPr>
            <w:tcW w:w="667" w:type="pct"/>
            <w:hideMark/>
          </w:tcPr>
          <w:p w14:paraId="6F4D1DE2" w14:textId="6BBB0BDA" w:rsidR="009118ED" w:rsidRPr="00811281" w:rsidRDefault="009118ED" w:rsidP="00811281">
            <w:pPr>
              <w:pStyle w:val="Tabletext1"/>
              <w:rPr>
                <w:b/>
              </w:rPr>
            </w:pPr>
            <w:r w:rsidRPr="00811281">
              <w:rPr>
                <w:b/>
              </w:rPr>
              <w:t>2021</w:t>
            </w:r>
            <w:r w:rsidR="00811281" w:rsidRPr="00811281">
              <w:rPr>
                <w:b/>
              </w:rPr>
              <w:t>–</w:t>
            </w:r>
            <w:r w:rsidRPr="00811281">
              <w:rPr>
                <w:b/>
              </w:rPr>
              <w:t>2022</w:t>
            </w:r>
          </w:p>
        </w:tc>
        <w:tc>
          <w:tcPr>
            <w:tcW w:w="667" w:type="pct"/>
            <w:hideMark/>
          </w:tcPr>
          <w:p w14:paraId="7C80485B" w14:textId="3366B36F" w:rsidR="009118ED" w:rsidRPr="00811281" w:rsidRDefault="009118ED" w:rsidP="00811281">
            <w:pPr>
              <w:pStyle w:val="Tabletext1"/>
              <w:rPr>
                <w:b/>
              </w:rPr>
            </w:pPr>
            <w:r w:rsidRPr="00811281">
              <w:rPr>
                <w:b/>
              </w:rPr>
              <w:t>2022</w:t>
            </w:r>
            <w:r w:rsidR="00811281" w:rsidRPr="00811281">
              <w:rPr>
                <w:b/>
              </w:rPr>
              <w:t>–</w:t>
            </w:r>
            <w:r w:rsidRPr="00811281">
              <w:rPr>
                <w:b/>
              </w:rPr>
              <w:t>2023</w:t>
            </w:r>
          </w:p>
        </w:tc>
      </w:tr>
      <w:tr w:rsidR="009118ED" w:rsidRPr="00B51D5E" w14:paraId="34B53C2F" w14:textId="77777777" w:rsidTr="003929ED">
        <w:trPr>
          <w:trHeight w:val="255"/>
        </w:trPr>
        <w:tc>
          <w:tcPr>
            <w:tcW w:w="1664" w:type="pct"/>
            <w:noWrap/>
            <w:hideMark/>
          </w:tcPr>
          <w:p w14:paraId="14892A17" w14:textId="77777777" w:rsidR="009118ED" w:rsidRPr="00B51D5E" w:rsidRDefault="009118ED" w:rsidP="00811281">
            <w:pPr>
              <w:pStyle w:val="Tabletext1"/>
              <w:rPr>
                <w:color w:val="000000"/>
              </w:rPr>
            </w:pPr>
            <w:r w:rsidRPr="00B51D5E">
              <w:rPr>
                <w:color w:val="000000"/>
              </w:rPr>
              <w:lastRenderedPageBreak/>
              <w:t>Projected number of AMH tests</w:t>
            </w:r>
          </w:p>
        </w:tc>
        <w:tc>
          <w:tcPr>
            <w:tcW w:w="667" w:type="pct"/>
            <w:noWrap/>
            <w:hideMark/>
          </w:tcPr>
          <w:p w14:paraId="6D208008" w14:textId="77777777" w:rsidR="009118ED" w:rsidRPr="00B51D5E" w:rsidRDefault="009118ED" w:rsidP="00811281">
            <w:pPr>
              <w:pStyle w:val="Tabletext1"/>
              <w:rPr>
                <w:color w:val="000000"/>
              </w:rPr>
            </w:pPr>
            <w:r w:rsidRPr="004129E0">
              <w:t>6,682</w:t>
            </w:r>
          </w:p>
        </w:tc>
        <w:tc>
          <w:tcPr>
            <w:tcW w:w="667" w:type="pct"/>
            <w:noWrap/>
            <w:hideMark/>
          </w:tcPr>
          <w:p w14:paraId="12DC9E48" w14:textId="77777777" w:rsidR="009118ED" w:rsidRPr="00B51D5E" w:rsidRDefault="009118ED" w:rsidP="00811281">
            <w:pPr>
              <w:pStyle w:val="Tabletext1"/>
              <w:rPr>
                <w:color w:val="000000"/>
              </w:rPr>
            </w:pPr>
            <w:r w:rsidRPr="004129E0">
              <w:t>6,706</w:t>
            </w:r>
          </w:p>
        </w:tc>
        <w:tc>
          <w:tcPr>
            <w:tcW w:w="667" w:type="pct"/>
            <w:noWrap/>
            <w:hideMark/>
          </w:tcPr>
          <w:p w14:paraId="34B0EEDF" w14:textId="77777777" w:rsidR="009118ED" w:rsidRPr="00B51D5E" w:rsidRDefault="009118ED" w:rsidP="00811281">
            <w:pPr>
              <w:pStyle w:val="Tabletext1"/>
              <w:rPr>
                <w:color w:val="000000"/>
              </w:rPr>
            </w:pPr>
            <w:r w:rsidRPr="004129E0">
              <w:t>6,730</w:t>
            </w:r>
          </w:p>
        </w:tc>
        <w:tc>
          <w:tcPr>
            <w:tcW w:w="667" w:type="pct"/>
            <w:noWrap/>
            <w:hideMark/>
          </w:tcPr>
          <w:p w14:paraId="02C8BC21" w14:textId="77777777" w:rsidR="009118ED" w:rsidRPr="00B51D5E" w:rsidRDefault="009118ED" w:rsidP="00811281">
            <w:pPr>
              <w:pStyle w:val="Tabletext1"/>
              <w:rPr>
                <w:color w:val="000000"/>
              </w:rPr>
            </w:pPr>
            <w:r w:rsidRPr="004129E0">
              <w:t>6,754</w:t>
            </w:r>
          </w:p>
        </w:tc>
        <w:tc>
          <w:tcPr>
            <w:tcW w:w="667" w:type="pct"/>
            <w:noWrap/>
            <w:hideMark/>
          </w:tcPr>
          <w:p w14:paraId="69E5ECAB" w14:textId="77777777" w:rsidR="009118ED" w:rsidRPr="00B51D5E" w:rsidRDefault="009118ED" w:rsidP="00811281">
            <w:pPr>
              <w:pStyle w:val="Tabletext1"/>
              <w:rPr>
                <w:color w:val="000000"/>
              </w:rPr>
            </w:pPr>
            <w:r w:rsidRPr="004129E0">
              <w:t>6,779</w:t>
            </w:r>
          </w:p>
        </w:tc>
      </w:tr>
      <w:tr w:rsidR="009118ED" w:rsidRPr="00B51D5E" w14:paraId="696C049F" w14:textId="77777777" w:rsidTr="003929ED">
        <w:trPr>
          <w:trHeight w:val="255"/>
        </w:trPr>
        <w:tc>
          <w:tcPr>
            <w:tcW w:w="1664" w:type="pct"/>
            <w:noWrap/>
            <w:hideMark/>
          </w:tcPr>
          <w:p w14:paraId="27D29C4F" w14:textId="77777777" w:rsidR="009118ED" w:rsidRPr="00B51D5E" w:rsidRDefault="009118ED" w:rsidP="00811281">
            <w:pPr>
              <w:pStyle w:val="Tabletext1"/>
              <w:rPr>
                <w:color w:val="000000"/>
              </w:rPr>
            </w:pPr>
            <w:r w:rsidRPr="00B51D5E">
              <w:rPr>
                <w:color w:val="000000"/>
              </w:rPr>
              <w:t>Cost of AMH to the MBS</w:t>
            </w:r>
          </w:p>
        </w:tc>
        <w:tc>
          <w:tcPr>
            <w:tcW w:w="667" w:type="pct"/>
            <w:noWrap/>
            <w:hideMark/>
          </w:tcPr>
          <w:p w14:paraId="55C3563E" w14:textId="77777777" w:rsidR="009118ED" w:rsidRPr="00F50029" w:rsidRDefault="009118ED" w:rsidP="00811281">
            <w:pPr>
              <w:pStyle w:val="Tabletext1"/>
              <w:rPr>
                <w:color w:val="000000"/>
              </w:rPr>
            </w:pPr>
            <w:r w:rsidRPr="00F50029">
              <w:t>$567,961</w:t>
            </w:r>
          </w:p>
        </w:tc>
        <w:tc>
          <w:tcPr>
            <w:tcW w:w="667" w:type="pct"/>
            <w:noWrap/>
            <w:hideMark/>
          </w:tcPr>
          <w:p w14:paraId="41D076AB" w14:textId="77777777" w:rsidR="009118ED" w:rsidRPr="00F50029" w:rsidRDefault="009118ED" w:rsidP="00811281">
            <w:pPr>
              <w:pStyle w:val="Tabletext1"/>
              <w:rPr>
                <w:color w:val="000000"/>
              </w:rPr>
            </w:pPr>
            <w:r w:rsidRPr="00F50029">
              <w:t>$570,005</w:t>
            </w:r>
          </w:p>
        </w:tc>
        <w:tc>
          <w:tcPr>
            <w:tcW w:w="667" w:type="pct"/>
            <w:noWrap/>
            <w:hideMark/>
          </w:tcPr>
          <w:p w14:paraId="75655868" w14:textId="77777777" w:rsidR="009118ED" w:rsidRPr="00F50029" w:rsidRDefault="009118ED" w:rsidP="00811281">
            <w:pPr>
              <w:pStyle w:val="Tabletext1"/>
              <w:rPr>
                <w:color w:val="000000"/>
              </w:rPr>
            </w:pPr>
            <w:r w:rsidRPr="00F50029">
              <w:t>$572,057</w:t>
            </w:r>
          </w:p>
        </w:tc>
        <w:tc>
          <w:tcPr>
            <w:tcW w:w="667" w:type="pct"/>
            <w:noWrap/>
            <w:hideMark/>
          </w:tcPr>
          <w:p w14:paraId="4BFD8943" w14:textId="77777777" w:rsidR="009118ED" w:rsidRPr="00F50029" w:rsidRDefault="009118ED" w:rsidP="00811281">
            <w:pPr>
              <w:pStyle w:val="Tabletext1"/>
              <w:rPr>
                <w:color w:val="000000"/>
              </w:rPr>
            </w:pPr>
            <w:r w:rsidRPr="00F50029">
              <w:t>$574,117</w:t>
            </w:r>
          </w:p>
        </w:tc>
        <w:tc>
          <w:tcPr>
            <w:tcW w:w="667" w:type="pct"/>
            <w:noWrap/>
            <w:hideMark/>
          </w:tcPr>
          <w:p w14:paraId="5887B65D" w14:textId="77777777" w:rsidR="009118ED" w:rsidRPr="00F50029" w:rsidRDefault="009118ED" w:rsidP="00811281">
            <w:pPr>
              <w:pStyle w:val="Tabletext1"/>
              <w:rPr>
                <w:color w:val="000000"/>
              </w:rPr>
            </w:pPr>
            <w:r w:rsidRPr="00F50029">
              <w:t>$576,184</w:t>
            </w:r>
          </w:p>
        </w:tc>
      </w:tr>
      <w:tr w:rsidR="009118ED" w:rsidRPr="00B51D5E" w14:paraId="34F6F6C6" w14:textId="77777777" w:rsidTr="003929ED">
        <w:trPr>
          <w:trHeight w:val="255"/>
        </w:trPr>
        <w:tc>
          <w:tcPr>
            <w:tcW w:w="1664" w:type="pct"/>
            <w:noWrap/>
            <w:hideMark/>
          </w:tcPr>
          <w:p w14:paraId="6FFA24BF" w14:textId="77777777" w:rsidR="009118ED" w:rsidRPr="00B51D5E" w:rsidRDefault="009118ED" w:rsidP="00811281">
            <w:pPr>
              <w:pStyle w:val="Tabletext1"/>
              <w:rPr>
                <w:color w:val="000000"/>
              </w:rPr>
            </w:pPr>
            <w:r w:rsidRPr="00B51D5E">
              <w:rPr>
                <w:color w:val="000000"/>
              </w:rPr>
              <w:t>Cost of AMH to the patients</w:t>
            </w:r>
          </w:p>
        </w:tc>
        <w:tc>
          <w:tcPr>
            <w:tcW w:w="667" w:type="pct"/>
            <w:noWrap/>
            <w:hideMark/>
          </w:tcPr>
          <w:p w14:paraId="6A609D2F" w14:textId="77777777" w:rsidR="009118ED" w:rsidRPr="00B51D5E" w:rsidRDefault="009118ED" w:rsidP="00811281">
            <w:pPr>
              <w:pStyle w:val="Tabletext1"/>
              <w:rPr>
                <w:color w:val="000000"/>
              </w:rPr>
            </w:pPr>
            <w:r w:rsidRPr="004129E0">
              <w:t>$100,228</w:t>
            </w:r>
          </w:p>
        </w:tc>
        <w:tc>
          <w:tcPr>
            <w:tcW w:w="667" w:type="pct"/>
            <w:noWrap/>
            <w:hideMark/>
          </w:tcPr>
          <w:p w14:paraId="177B0033" w14:textId="77777777" w:rsidR="009118ED" w:rsidRPr="00B51D5E" w:rsidRDefault="009118ED" w:rsidP="00811281">
            <w:pPr>
              <w:pStyle w:val="Tabletext1"/>
              <w:rPr>
                <w:color w:val="000000"/>
              </w:rPr>
            </w:pPr>
            <w:r w:rsidRPr="004129E0">
              <w:t>$100,589</w:t>
            </w:r>
          </w:p>
        </w:tc>
        <w:tc>
          <w:tcPr>
            <w:tcW w:w="667" w:type="pct"/>
            <w:noWrap/>
            <w:hideMark/>
          </w:tcPr>
          <w:p w14:paraId="64C35C1F" w14:textId="77777777" w:rsidR="009118ED" w:rsidRPr="00B51D5E" w:rsidRDefault="009118ED" w:rsidP="00811281">
            <w:pPr>
              <w:pStyle w:val="Tabletext1"/>
              <w:rPr>
                <w:color w:val="000000"/>
              </w:rPr>
            </w:pPr>
            <w:r w:rsidRPr="004129E0">
              <w:t>$100,951</w:t>
            </w:r>
          </w:p>
        </w:tc>
        <w:tc>
          <w:tcPr>
            <w:tcW w:w="667" w:type="pct"/>
            <w:noWrap/>
            <w:hideMark/>
          </w:tcPr>
          <w:p w14:paraId="35B208EC" w14:textId="77777777" w:rsidR="009118ED" w:rsidRPr="00B51D5E" w:rsidRDefault="009118ED" w:rsidP="00811281">
            <w:pPr>
              <w:pStyle w:val="Tabletext1"/>
              <w:rPr>
                <w:color w:val="000000"/>
              </w:rPr>
            </w:pPr>
            <w:r w:rsidRPr="004129E0">
              <w:t>$101,315</w:t>
            </w:r>
          </w:p>
        </w:tc>
        <w:tc>
          <w:tcPr>
            <w:tcW w:w="667" w:type="pct"/>
            <w:noWrap/>
            <w:hideMark/>
          </w:tcPr>
          <w:p w14:paraId="0A0D22A6" w14:textId="77777777" w:rsidR="009118ED" w:rsidRPr="00B51D5E" w:rsidRDefault="009118ED" w:rsidP="00811281">
            <w:pPr>
              <w:pStyle w:val="Tabletext1"/>
              <w:rPr>
                <w:color w:val="000000"/>
              </w:rPr>
            </w:pPr>
            <w:r w:rsidRPr="004129E0">
              <w:t>$101,679</w:t>
            </w:r>
          </w:p>
        </w:tc>
      </w:tr>
      <w:tr w:rsidR="009118ED" w:rsidRPr="00B51D5E" w14:paraId="7987649B" w14:textId="77777777" w:rsidTr="003929ED">
        <w:trPr>
          <w:trHeight w:val="255"/>
        </w:trPr>
        <w:tc>
          <w:tcPr>
            <w:tcW w:w="1664" w:type="pct"/>
            <w:noWrap/>
            <w:hideMark/>
          </w:tcPr>
          <w:p w14:paraId="0165D3D0" w14:textId="77777777" w:rsidR="009118ED" w:rsidRPr="00B51D5E" w:rsidRDefault="009118ED" w:rsidP="00811281">
            <w:pPr>
              <w:pStyle w:val="Tabletext1"/>
              <w:rPr>
                <w:b/>
                <w:color w:val="000000"/>
              </w:rPr>
            </w:pPr>
            <w:r w:rsidRPr="00B51D5E">
              <w:rPr>
                <w:b/>
                <w:color w:val="000000"/>
              </w:rPr>
              <w:t>Total cost of AMH test</w:t>
            </w:r>
          </w:p>
        </w:tc>
        <w:tc>
          <w:tcPr>
            <w:tcW w:w="667" w:type="pct"/>
            <w:noWrap/>
            <w:hideMark/>
          </w:tcPr>
          <w:p w14:paraId="3A7B89C9" w14:textId="77777777" w:rsidR="009118ED" w:rsidRPr="00442DD6" w:rsidRDefault="009118ED" w:rsidP="00811281">
            <w:pPr>
              <w:pStyle w:val="Tabletext1"/>
              <w:rPr>
                <w:b/>
                <w:color w:val="000000"/>
              </w:rPr>
            </w:pPr>
            <w:r w:rsidRPr="00442DD6">
              <w:rPr>
                <w:b/>
              </w:rPr>
              <w:t>$668,189</w:t>
            </w:r>
          </w:p>
        </w:tc>
        <w:tc>
          <w:tcPr>
            <w:tcW w:w="667" w:type="pct"/>
            <w:noWrap/>
            <w:hideMark/>
          </w:tcPr>
          <w:p w14:paraId="3061B8D7" w14:textId="77777777" w:rsidR="009118ED" w:rsidRPr="00442DD6" w:rsidRDefault="009118ED" w:rsidP="00811281">
            <w:pPr>
              <w:pStyle w:val="Tabletext1"/>
              <w:rPr>
                <w:b/>
                <w:color w:val="000000"/>
              </w:rPr>
            </w:pPr>
            <w:r w:rsidRPr="00442DD6">
              <w:rPr>
                <w:b/>
              </w:rPr>
              <w:t>$670,595</w:t>
            </w:r>
          </w:p>
        </w:tc>
        <w:tc>
          <w:tcPr>
            <w:tcW w:w="667" w:type="pct"/>
            <w:noWrap/>
            <w:hideMark/>
          </w:tcPr>
          <w:p w14:paraId="2FFCE6B9" w14:textId="77777777" w:rsidR="009118ED" w:rsidRPr="00442DD6" w:rsidRDefault="009118ED" w:rsidP="00811281">
            <w:pPr>
              <w:pStyle w:val="Tabletext1"/>
              <w:rPr>
                <w:b/>
                <w:color w:val="000000"/>
              </w:rPr>
            </w:pPr>
            <w:r w:rsidRPr="00442DD6">
              <w:rPr>
                <w:b/>
              </w:rPr>
              <w:t>$673,009</w:t>
            </w:r>
          </w:p>
        </w:tc>
        <w:tc>
          <w:tcPr>
            <w:tcW w:w="667" w:type="pct"/>
            <w:noWrap/>
            <w:hideMark/>
          </w:tcPr>
          <w:p w14:paraId="142C2026" w14:textId="77777777" w:rsidR="009118ED" w:rsidRPr="00442DD6" w:rsidRDefault="009118ED" w:rsidP="00811281">
            <w:pPr>
              <w:pStyle w:val="Tabletext1"/>
              <w:rPr>
                <w:b/>
                <w:color w:val="000000"/>
              </w:rPr>
            </w:pPr>
            <w:r w:rsidRPr="00442DD6">
              <w:rPr>
                <w:b/>
              </w:rPr>
              <w:t>$675,432</w:t>
            </w:r>
          </w:p>
        </w:tc>
        <w:tc>
          <w:tcPr>
            <w:tcW w:w="667" w:type="pct"/>
            <w:noWrap/>
            <w:hideMark/>
          </w:tcPr>
          <w:p w14:paraId="7BDA1C94" w14:textId="77777777" w:rsidR="009118ED" w:rsidRPr="00442DD6" w:rsidRDefault="009118ED" w:rsidP="00811281">
            <w:pPr>
              <w:pStyle w:val="Tabletext1"/>
              <w:rPr>
                <w:b/>
                <w:color w:val="000000"/>
              </w:rPr>
            </w:pPr>
            <w:r w:rsidRPr="00442DD6">
              <w:rPr>
                <w:b/>
              </w:rPr>
              <w:t>$677,863</w:t>
            </w:r>
          </w:p>
        </w:tc>
      </w:tr>
    </w:tbl>
    <w:p w14:paraId="5A2B7E7A" w14:textId="59CE5739" w:rsidR="009118ED" w:rsidRPr="001E4DF5" w:rsidRDefault="001E4DF5" w:rsidP="009118ED">
      <w:pPr>
        <w:pStyle w:val="TableNotes1"/>
        <w:rPr>
          <w:sz w:val="18"/>
          <w:szCs w:val="18"/>
        </w:rPr>
      </w:pPr>
      <w:r w:rsidRPr="001E4DF5">
        <w:rPr>
          <w:sz w:val="18"/>
          <w:szCs w:val="18"/>
        </w:rPr>
        <w:t>AMH = a</w:t>
      </w:r>
      <w:r w:rsidR="009118ED" w:rsidRPr="001E4DF5">
        <w:rPr>
          <w:sz w:val="18"/>
          <w:szCs w:val="18"/>
        </w:rPr>
        <w:t>nti-Müllerian hormone; MBS = Medicare Benefits Schedule</w:t>
      </w:r>
    </w:p>
    <w:p w14:paraId="519FE503" w14:textId="4A56FEDE" w:rsidR="009118ED" w:rsidRDefault="009118ED" w:rsidP="009118ED">
      <w:pPr>
        <w:pStyle w:val="Heading2"/>
        <w:numPr>
          <w:ilvl w:val="4"/>
          <w:numId w:val="9"/>
        </w:numPr>
      </w:pPr>
      <w:bookmarkStart w:id="436" w:name="_Toc379118301"/>
      <w:bookmarkStart w:id="437" w:name="_Toc381796484"/>
      <w:bookmarkStart w:id="438" w:name="_Toc502832988"/>
      <w:r>
        <w:t xml:space="preserve">Changes in Use and </w:t>
      </w:r>
      <w:r w:rsidR="00DC5CE5">
        <w:t>c</w:t>
      </w:r>
      <w:r w:rsidRPr="00183E4D">
        <w:t>ost of</w:t>
      </w:r>
      <w:bookmarkEnd w:id="436"/>
      <w:bookmarkEnd w:id="437"/>
      <w:r>
        <w:t xml:space="preserve"> </w:t>
      </w:r>
      <w:r w:rsidR="00DC5CE5">
        <w:t>o</w:t>
      </w:r>
      <w:r>
        <w:t xml:space="preserve">ther </w:t>
      </w:r>
      <w:r w:rsidR="00DC5CE5">
        <w:t>m</w:t>
      </w:r>
      <w:r>
        <w:t xml:space="preserve">edical </w:t>
      </w:r>
      <w:r w:rsidR="00DC5CE5">
        <w:t>s</w:t>
      </w:r>
      <w:r>
        <w:t>ervices</w:t>
      </w:r>
      <w:bookmarkEnd w:id="438"/>
    </w:p>
    <w:p w14:paraId="7E2183FF" w14:textId="12694177" w:rsidR="009118ED" w:rsidRDefault="001E4DF5" w:rsidP="009118ED">
      <w:pPr>
        <w:jc w:val="both"/>
      </w:pPr>
      <w:r>
        <w:t xml:space="preserve">The </w:t>
      </w:r>
      <w:r w:rsidR="009118ED">
        <w:t xml:space="preserve">AMH </w:t>
      </w:r>
      <w:r w:rsidR="009118ED" w:rsidRPr="007958EC">
        <w:t xml:space="preserve">test is proposed as an additional test </w:t>
      </w:r>
      <w:r w:rsidR="009118ED">
        <w:t>to AFC and FSH+E2. Therefore there are no cost-offsets, nor additional costs expected to be a</w:t>
      </w:r>
      <w:r>
        <w:t>ssociated with AMH expenditure.</w:t>
      </w:r>
    </w:p>
    <w:p w14:paraId="66D1BAA8" w14:textId="067C57FA" w:rsidR="009118ED" w:rsidRPr="00183E4D" w:rsidRDefault="009118ED" w:rsidP="009118ED">
      <w:pPr>
        <w:pStyle w:val="Heading2"/>
        <w:numPr>
          <w:ilvl w:val="4"/>
          <w:numId w:val="9"/>
        </w:numPr>
      </w:pPr>
      <w:bookmarkStart w:id="439" w:name="_Toc379118302"/>
      <w:bookmarkStart w:id="440" w:name="_Toc381796485"/>
      <w:bookmarkStart w:id="441" w:name="_Toc502832989"/>
      <w:r>
        <w:t xml:space="preserve">Financial </w:t>
      </w:r>
      <w:r w:rsidR="00DC5CE5">
        <w:t>i</w:t>
      </w:r>
      <w:r w:rsidRPr="00183E4D">
        <w:t>mplications</w:t>
      </w:r>
      <w:r>
        <w:t xml:space="preserve"> for</w:t>
      </w:r>
      <w:r w:rsidRPr="00183E4D">
        <w:t xml:space="preserve"> the MBS</w:t>
      </w:r>
      <w:bookmarkEnd w:id="439"/>
      <w:bookmarkEnd w:id="440"/>
      <w:bookmarkEnd w:id="441"/>
    </w:p>
    <w:p w14:paraId="16F2A3F6" w14:textId="77777777" w:rsidR="009118ED" w:rsidRPr="000A0A31" w:rsidRDefault="009118ED" w:rsidP="009118ED">
      <w:pPr>
        <w:jc w:val="both"/>
      </w:pPr>
      <w:r w:rsidRPr="000A0A31">
        <w:t xml:space="preserve">The total financial implications to the MBS resulting from the proposed listing of AMH testing are as estimated in </w:t>
      </w:r>
      <w:r>
        <w:fldChar w:fldCharType="begin"/>
      </w:r>
      <w:r>
        <w:instrText xml:space="preserve"> REF _Ref496864000 \h  \* MERGEFORMAT </w:instrText>
      </w:r>
      <w:r>
        <w:fldChar w:fldCharType="separate"/>
      </w:r>
      <w:r w:rsidR="00AC4BE5">
        <w:t>Table 70</w:t>
      </w:r>
      <w:r>
        <w:fldChar w:fldCharType="end"/>
      </w:r>
      <w:r>
        <w:t>.</w:t>
      </w:r>
    </w:p>
    <w:p w14:paraId="7588E18A" w14:textId="6B47D6AD" w:rsidR="009118ED" w:rsidRDefault="009118ED" w:rsidP="009118ED">
      <w:pPr>
        <w:pStyle w:val="Heading2"/>
        <w:numPr>
          <w:ilvl w:val="4"/>
          <w:numId w:val="9"/>
        </w:numPr>
      </w:pPr>
      <w:bookmarkStart w:id="442" w:name="_Toc502832990"/>
      <w:r>
        <w:t xml:space="preserve">Financial </w:t>
      </w:r>
      <w:r w:rsidR="00DC5CE5">
        <w:t>i</w:t>
      </w:r>
      <w:r w:rsidRPr="00183E4D">
        <w:t>mplications</w:t>
      </w:r>
      <w:r>
        <w:t xml:space="preserve"> for</w:t>
      </w:r>
      <w:r w:rsidRPr="00183E4D">
        <w:t xml:space="preserve"> </w:t>
      </w:r>
      <w:r w:rsidR="00DC5CE5">
        <w:t>g</w:t>
      </w:r>
      <w:r>
        <w:t xml:space="preserve">overnment </w:t>
      </w:r>
      <w:r w:rsidR="00DC5CE5">
        <w:t>h</w:t>
      </w:r>
      <w:r>
        <w:t xml:space="preserve">ealth </w:t>
      </w:r>
      <w:r w:rsidR="00DC5CE5">
        <w:t>b</w:t>
      </w:r>
      <w:r>
        <w:t>udgets</w:t>
      </w:r>
      <w:bookmarkEnd w:id="442"/>
    </w:p>
    <w:p w14:paraId="1F416EC9" w14:textId="1FAFA768" w:rsidR="009118ED" w:rsidRDefault="009118ED" w:rsidP="009118ED">
      <w:pPr>
        <w:jc w:val="both"/>
      </w:pPr>
      <w:r>
        <w:t>No other</w:t>
      </w:r>
      <w:r w:rsidRPr="00C550C1">
        <w:t xml:space="preserve"> financial implications</w:t>
      </w:r>
      <w:r>
        <w:t xml:space="preserve"> of AMH testing</w:t>
      </w:r>
      <w:r w:rsidRPr="00C550C1">
        <w:t xml:space="preserve"> for </w:t>
      </w:r>
      <w:r>
        <w:t xml:space="preserve">other </w:t>
      </w:r>
      <w:r w:rsidRPr="00C550C1">
        <w:t xml:space="preserve">health budgets </w:t>
      </w:r>
      <w:r w:rsidR="001E4DF5">
        <w:t>have been</w:t>
      </w:r>
      <w:r>
        <w:t xml:space="preserve"> identified</w:t>
      </w:r>
      <w:r w:rsidRPr="00C550C1">
        <w:t>.</w:t>
      </w:r>
    </w:p>
    <w:p w14:paraId="2C43CE0B" w14:textId="113D1052" w:rsidR="009118ED" w:rsidRDefault="009118ED" w:rsidP="009118ED">
      <w:pPr>
        <w:pStyle w:val="Heading2"/>
        <w:numPr>
          <w:ilvl w:val="4"/>
          <w:numId w:val="9"/>
        </w:numPr>
      </w:pPr>
      <w:bookmarkStart w:id="443" w:name="_Toc502832991"/>
      <w:r>
        <w:t xml:space="preserve">Identification, </w:t>
      </w:r>
      <w:r w:rsidR="00DC5CE5">
        <w:t>e</w:t>
      </w:r>
      <w:r>
        <w:t xml:space="preserve">stimation and </w:t>
      </w:r>
      <w:r w:rsidR="00DC5CE5">
        <w:t>r</w:t>
      </w:r>
      <w:r>
        <w:t xml:space="preserve">eduction of </w:t>
      </w:r>
      <w:r w:rsidR="00DC5CE5">
        <w:t>u</w:t>
      </w:r>
      <w:r>
        <w:t>ncertainty</w:t>
      </w:r>
      <w:bookmarkEnd w:id="443"/>
    </w:p>
    <w:p w14:paraId="4044383D" w14:textId="03DBE64A" w:rsidR="009118ED" w:rsidRDefault="009118ED" w:rsidP="009118ED">
      <w:pPr>
        <w:jc w:val="both"/>
      </w:pPr>
      <w:r>
        <w:t xml:space="preserve">In the base case analysis there are a number of uncertainties in the estimates and alternative scenarios to the base case analysis that may occur in clinical practice, should the AMH test be </w:t>
      </w:r>
      <w:r w:rsidR="001E4DF5">
        <w:t>listed on the MBS.</w:t>
      </w:r>
    </w:p>
    <w:p w14:paraId="142E5780" w14:textId="77777777" w:rsidR="009118ED" w:rsidRDefault="009118ED" w:rsidP="009118ED">
      <w:pPr>
        <w:pStyle w:val="Heading3"/>
      </w:pPr>
      <w:bookmarkStart w:id="444" w:name="_Toc502832992"/>
      <w:r>
        <w:t>Alternative referral and uptake rates</w:t>
      </w:r>
      <w:bookmarkEnd w:id="444"/>
    </w:p>
    <w:p w14:paraId="50DF8D16" w14:textId="261E5CDB" w:rsidR="009118ED" w:rsidRPr="00FE55E7" w:rsidRDefault="009118ED" w:rsidP="009118ED">
      <w:pPr>
        <w:jc w:val="both"/>
      </w:pPr>
      <w:r w:rsidRPr="00FE55E7">
        <w:fldChar w:fldCharType="begin"/>
      </w:r>
      <w:r w:rsidRPr="00FE55E7">
        <w:instrText xml:space="preserve"> REF _Ref458431995 \h </w:instrText>
      </w:r>
      <w:r>
        <w:instrText xml:space="preserve"> \* MERGEFORMAT </w:instrText>
      </w:r>
      <w:r w:rsidRPr="00FE55E7">
        <w:fldChar w:fldCharType="separate"/>
      </w:r>
      <w:r w:rsidR="00AC4BE5" w:rsidRPr="00C00AC8">
        <w:t xml:space="preserve">Table </w:t>
      </w:r>
      <w:r w:rsidR="00AC4BE5">
        <w:rPr>
          <w:noProof/>
        </w:rPr>
        <w:t>71</w:t>
      </w:r>
      <w:r w:rsidRPr="00FE55E7">
        <w:fldChar w:fldCharType="end"/>
      </w:r>
      <w:r>
        <w:t xml:space="preserve"> presents </w:t>
      </w:r>
      <w:r w:rsidRPr="00FE55E7">
        <w:t xml:space="preserve">sensitivity analyses around </w:t>
      </w:r>
      <w:r>
        <w:t>referral and uptake rates</w:t>
      </w:r>
      <w:r w:rsidRPr="00FE55E7">
        <w:t xml:space="preserve"> </w:t>
      </w:r>
      <w:r>
        <w:t xml:space="preserve">in </w:t>
      </w:r>
      <w:r w:rsidRPr="00FE55E7">
        <w:t>the financial model.</w:t>
      </w:r>
    </w:p>
    <w:p w14:paraId="2B3458B0" w14:textId="01F7C873" w:rsidR="009118ED" w:rsidRPr="00C00AC8" w:rsidRDefault="009118ED" w:rsidP="001E4DF5">
      <w:pPr>
        <w:pStyle w:val="TableHeading"/>
        <w:ind w:left="993" w:hanging="993"/>
      </w:pPr>
      <w:bookmarkStart w:id="445" w:name="_Ref458431995"/>
      <w:bookmarkStart w:id="446" w:name="OLE_LINK383"/>
      <w:bookmarkStart w:id="447" w:name="_Toc460406519"/>
      <w:bookmarkStart w:id="448" w:name="_Toc491855724"/>
      <w:bookmarkStart w:id="449" w:name="_Toc491975787"/>
      <w:bookmarkStart w:id="450" w:name="_Toc502833089"/>
      <w:r w:rsidRPr="00C00AC8">
        <w:t xml:space="preserve">Table </w:t>
      </w:r>
      <w:r w:rsidR="00AC4BE5">
        <w:fldChar w:fldCharType="begin"/>
      </w:r>
      <w:r w:rsidR="00AC4BE5">
        <w:instrText xml:space="preserve"> SEQ Table \* ARABIC </w:instrText>
      </w:r>
      <w:r w:rsidR="00AC4BE5">
        <w:fldChar w:fldCharType="separate"/>
      </w:r>
      <w:r w:rsidR="00AC4BE5">
        <w:rPr>
          <w:noProof/>
        </w:rPr>
        <w:t>71</w:t>
      </w:r>
      <w:r w:rsidR="00AC4BE5">
        <w:rPr>
          <w:noProof/>
        </w:rPr>
        <w:fldChar w:fldCharType="end"/>
      </w:r>
      <w:bookmarkEnd w:id="445"/>
      <w:r w:rsidRPr="00C00AC8">
        <w:tab/>
      </w:r>
      <w:r>
        <w:t>F</w:t>
      </w:r>
      <w:r w:rsidRPr="00C00AC8">
        <w:t xml:space="preserve">inancial implications of </w:t>
      </w:r>
      <w:bookmarkEnd w:id="446"/>
      <w:bookmarkEnd w:id="447"/>
      <w:bookmarkEnd w:id="448"/>
      <w:bookmarkEnd w:id="449"/>
      <w:r w:rsidR="001E4DF5">
        <w:t>listing the AMH test on the MBS,</w:t>
      </w:r>
      <w:r>
        <w:t xml:space="preserve"> s</w:t>
      </w:r>
      <w:r w:rsidRPr="00C00AC8">
        <w:t xml:space="preserve">ensitivity analysis </w:t>
      </w:r>
      <w:r>
        <w:t>varying</w:t>
      </w:r>
      <w:r w:rsidRPr="00E74E55">
        <w:t xml:space="preserve"> </w:t>
      </w:r>
      <w:r>
        <w:t>referral and uptake rates</w:t>
      </w:r>
      <w:bookmarkEnd w:id="450"/>
    </w:p>
    <w:tbl>
      <w:tblPr>
        <w:tblStyle w:val="TableGrid1"/>
        <w:tblW w:w="5000" w:type="pct"/>
        <w:tblLook w:val="04A0" w:firstRow="1" w:lastRow="0" w:firstColumn="1" w:lastColumn="0" w:noHBand="0" w:noVBand="1"/>
        <w:tblCaption w:val="Financial implications of MBS listing the AMH test; sensitivity analysis varying uptake rate"/>
        <w:tblDescription w:val="Financial implications of MBS listing the AMH test; sensitivity analysis varying uptake rate"/>
      </w:tblPr>
      <w:tblGrid>
        <w:gridCol w:w="3245"/>
        <w:gridCol w:w="1286"/>
        <w:gridCol w:w="1285"/>
        <w:gridCol w:w="1142"/>
        <w:gridCol w:w="1142"/>
        <w:gridCol w:w="1142"/>
      </w:tblGrid>
      <w:tr w:rsidR="009118ED" w:rsidRPr="00FE55E7" w14:paraId="496B489E" w14:textId="77777777" w:rsidTr="006815D3">
        <w:trPr>
          <w:cnfStyle w:val="100000000000" w:firstRow="1" w:lastRow="0" w:firstColumn="0" w:lastColumn="0" w:oddVBand="0" w:evenVBand="0" w:oddHBand="0" w:evenHBand="0" w:firstRowFirstColumn="0" w:firstRowLastColumn="0" w:lastRowFirstColumn="0" w:lastRowLastColumn="0"/>
          <w:trHeight w:val="300"/>
          <w:tblHeader/>
        </w:trPr>
        <w:tc>
          <w:tcPr>
            <w:tcW w:w="1755" w:type="pct"/>
          </w:tcPr>
          <w:p w14:paraId="123B2DA9" w14:textId="023B5DC9" w:rsidR="009118ED" w:rsidRPr="0036660B" w:rsidRDefault="009118ED" w:rsidP="00811281">
            <w:pPr>
              <w:pStyle w:val="TableHeading"/>
              <w:outlineLvl w:val="5"/>
              <w:rPr>
                <w:b w:val="0"/>
              </w:rPr>
            </w:pPr>
            <w:r w:rsidRPr="003254A6">
              <w:rPr>
                <w:b w:val="0"/>
                <w:color w:val="FFFFFF" w:themeColor="background1"/>
              </w:rPr>
              <w:t>-</w:t>
            </w:r>
            <w:r w:rsidR="00811281">
              <w:rPr>
                <w:b w:val="0"/>
                <w:color w:val="FFFFFF" w:themeColor="background1"/>
              </w:rPr>
              <w:t> </w:t>
            </w:r>
          </w:p>
        </w:tc>
        <w:tc>
          <w:tcPr>
            <w:tcW w:w="696" w:type="pct"/>
          </w:tcPr>
          <w:p w14:paraId="03535815" w14:textId="77777777" w:rsidR="009118ED" w:rsidRPr="00260996" w:rsidRDefault="009118ED" w:rsidP="00260996">
            <w:pPr>
              <w:pStyle w:val="Tabletext1"/>
              <w:rPr>
                <w:b/>
              </w:rPr>
            </w:pPr>
            <w:r w:rsidRPr="00260996">
              <w:rPr>
                <w:b/>
              </w:rPr>
              <w:t>Year 1</w:t>
            </w:r>
          </w:p>
        </w:tc>
        <w:tc>
          <w:tcPr>
            <w:tcW w:w="695" w:type="pct"/>
          </w:tcPr>
          <w:p w14:paraId="2F66CD23" w14:textId="77777777" w:rsidR="009118ED" w:rsidRPr="00260996" w:rsidRDefault="009118ED" w:rsidP="00260996">
            <w:pPr>
              <w:pStyle w:val="Tabletext1"/>
              <w:rPr>
                <w:b/>
              </w:rPr>
            </w:pPr>
            <w:r w:rsidRPr="00260996">
              <w:rPr>
                <w:b/>
              </w:rPr>
              <w:t>Year 2</w:t>
            </w:r>
          </w:p>
        </w:tc>
        <w:tc>
          <w:tcPr>
            <w:tcW w:w="618" w:type="pct"/>
          </w:tcPr>
          <w:p w14:paraId="15D87157" w14:textId="77777777" w:rsidR="009118ED" w:rsidRPr="00260996" w:rsidRDefault="009118ED" w:rsidP="00260996">
            <w:pPr>
              <w:pStyle w:val="Tabletext1"/>
              <w:rPr>
                <w:b/>
              </w:rPr>
            </w:pPr>
            <w:r w:rsidRPr="00260996">
              <w:rPr>
                <w:b/>
              </w:rPr>
              <w:t>Year 3</w:t>
            </w:r>
          </w:p>
        </w:tc>
        <w:tc>
          <w:tcPr>
            <w:tcW w:w="618" w:type="pct"/>
          </w:tcPr>
          <w:p w14:paraId="2B80D4DF" w14:textId="77777777" w:rsidR="009118ED" w:rsidRPr="00260996" w:rsidRDefault="009118ED" w:rsidP="00260996">
            <w:pPr>
              <w:pStyle w:val="Tabletext1"/>
              <w:rPr>
                <w:b/>
              </w:rPr>
            </w:pPr>
            <w:r w:rsidRPr="00260996">
              <w:rPr>
                <w:b/>
              </w:rPr>
              <w:t>Year 4</w:t>
            </w:r>
          </w:p>
        </w:tc>
        <w:tc>
          <w:tcPr>
            <w:tcW w:w="618" w:type="pct"/>
          </w:tcPr>
          <w:p w14:paraId="087346AE" w14:textId="77777777" w:rsidR="009118ED" w:rsidRPr="00260996" w:rsidRDefault="009118ED" w:rsidP="00260996">
            <w:pPr>
              <w:pStyle w:val="Tabletext1"/>
              <w:rPr>
                <w:b/>
              </w:rPr>
            </w:pPr>
            <w:r w:rsidRPr="00260996">
              <w:rPr>
                <w:b/>
              </w:rPr>
              <w:t>Year 5</w:t>
            </w:r>
          </w:p>
        </w:tc>
      </w:tr>
      <w:tr w:rsidR="009118ED" w:rsidRPr="00FE55E7" w14:paraId="01E01DCC" w14:textId="77777777" w:rsidTr="006815D3">
        <w:trPr>
          <w:trHeight w:val="300"/>
        </w:trPr>
        <w:tc>
          <w:tcPr>
            <w:tcW w:w="1755" w:type="pct"/>
          </w:tcPr>
          <w:p w14:paraId="33CDB336" w14:textId="77777777" w:rsidR="009118ED" w:rsidRPr="00260996" w:rsidRDefault="009118ED" w:rsidP="00260996">
            <w:pPr>
              <w:pStyle w:val="TableText0"/>
              <w:rPr>
                <w:i/>
              </w:rPr>
            </w:pPr>
            <w:r w:rsidRPr="00260996">
              <w:rPr>
                <w:i/>
              </w:rPr>
              <w:t>Base case</w:t>
            </w:r>
          </w:p>
        </w:tc>
        <w:tc>
          <w:tcPr>
            <w:tcW w:w="696" w:type="pct"/>
          </w:tcPr>
          <w:p w14:paraId="7560E1FA"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c>
          <w:tcPr>
            <w:tcW w:w="695" w:type="pct"/>
          </w:tcPr>
          <w:p w14:paraId="20CA18FA"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c>
          <w:tcPr>
            <w:tcW w:w="618" w:type="pct"/>
          </w:tcPr>
          <w:p w14:paraId="042CEAB1"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c>
          <w:tcPr>
            <w:tcW w:w="618" w:type="pct"/>
          </w:tcPr>
          <w:p w14:paraId="4A3440CC"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c>
          <w:tcPr>
            <w:tcW w:w="618" w:type="pct"/>
          </w:tcPr>
          <w:p w14:paraId="51A6AA4D"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r>
      <w:tr w:rsidR="009118ED" w:rsidRPr="00257C45" w14:paraId="785376FA" w14:textId="77777777" w:rsidTr="006815D3">
        <w:trPr>
          <w:trHeight w:val="300"/>
        </w:trPr>
        <w:tc>
          <w:tcPr>
            <w:tcW w:w="1755" w:type="pct"/>
          </w:tcPr>
          <w:p w14:paraId="0DE3DC13" w14:textId="77777777" w:rsidR="009118ED" w:rsidRPr="00260996" w:rsidRDefault="009118ED" w:rsidP="00260996">
            <w:pPr>
              <w:pStyle w:val="Tabletext1"/>
              <w:rPr>
                <w:b/>
              </w:rPr>
            </w:pPr>
            <w:r w:rsidRPr="00260996">
              <w:rPr>
                <w:b/>
              </w:rPr>
              <w:t>Cost of AMH testing to the MBS</w:t>
            </w:r>
          </w:p>
        </w:tc>
        <w:tc>
          <w:tcPr>
            <w:tcW w:w="696" w:type="pct"/>
          </w:tcPr>
          <w:p w14:paraId="797E8AE2" w14:textId="77777777" w:rsidR="009118ED" w:rsidRPr="00260996" w:rsidRDefault="009118ED" w:rsidP="00260996">
            <w:pPr>
              <w:pStyle w:val="Tabletext1"/>
              <w:rPr>
                <w:b/>
              </w:rPr>
            </w:pPr>
            <w:r w:rsidRPr="00260996">
              <w:rPr>
                <w:b/>
              </w:rPr>
              <w:t>$567,961</w:t>
            </w:r>
          </w:p>
        </w:tc>
        <w:tc>
          <w:tcPr>
            <w:tcW w:w="695" w:type="pct"/>
          </w:tcPr>
          <w:p w14:paraId="06A309F9" w14:textId="77777777" w:rsidR="009118ED" w:rsidRPr="00260996" w:rsidRDefault="009118ED" w:rsidP="00260996">
            <w:pPr>
              <w:pStyle w:val="Tabletext1"/>
              <w:rPr>
                <w:b/>
              </w:rPr>
            </w:pPr>
            <w:r w:rsidRPr="00260996">
              <w:rPr>
                <w:b/>
              </w:rPr>
              <w:t>$570,005</w:t>
            </w:r>
          </w:p>
        </w:tc>
        <w:tc>
          <w:tcPr>
            <w:tcW w:w="618" w:type="pct"/>
          </w:tcPr>
          <w:p w14:paraId="37C25153" w14:textId="77777777" w:rsidR="009118ED" w:rsidRPr="00260996" w:rsidRDefault="009118ED" w:rsidP="00260996">
            <w:pPr>
              <w:pStyle w:val="Tabletext1"/>
              <w:rPr>
                <w:b/>
              </w:rPr>
            </w:pPr>
            <w:r w:rsidRPr="00260996">
              <w:rPr>
                <w:b/>
              </w:rPr>
              <w:t>$572,057</w:t>
            </w:r>
          </w:p>
        </w:tc>
        <w:tc>
          <w:tcPr>
            <w:tcW w:w="618" w:type="pct"/>
          </w:tcPr>
          <w:p w14:paraId="34B6BC03" w14:textId="77777777" w:rsidR="009118ED" w:rsidRPr="00260996" w:rsidRDefault="009118ED" w:rsidP="00260996">
            <w:pPr>
              <w:pStyle w:val="Tabletext1"/>
              <w:rPr>
                <w:b/>
              </w:rPr>
            </w:pPr>
            <w:r w:rsidRPr="00260996">
              <w:rPr>
                <w:b/>
              </w:rPr>
              <w:t>$574,117</w:t>
            </w:r>
          </w:p>
        </w:tc>
        <w:tc>
          <w:tcPr>
            <w:tcW w:w="618" w:type="pct"/>
          </w:tcPr>
          <w:p w14:paraId="61579747" w14:textId="77777777" w:rsidR="009118ED" w:rsidRPr="00260996" w:rsidRDefault="009118ED" w:rsidP="00260996">
            <w:pPr>
              <w:pStyle w:val="Tabletext1"/>
              <w:rPr>
                <w:b/>
              </w:rPr>
            </w:pPr>
            <w:r w:rsidRPr="00260996">
              <w:rPr>
                <w:b/>
              </w:rPr>
              <w:t>$576,184</w:t>
            </w:r>
          </w:p>
        </w:tc>
      </w:tr>
      <w:tr w:rsidR="006815D3" w:rsidRPr="00FE55E7" w14:paraId="3C534575" w14:textId="77777777" w:rsidTr="006815D3">
        <w:trPr>
          <w:trHeight w:val="300"/>
        </w:trPr>
        <w:tc>
          <w:tcPr>
            <w:tcW w:w="5000" w:type="pct"/>
            <w:gridSpan w:val="6"/>
          </w:tcPr>
          <w:p w14:paraId="069925FE" w14:textId="00191411" w:rsidR="006815D3" w:rsidRPr="005B1B66" w:rsidRDefault="006815D3" w:rsidP="00811281">
            <w:pPr>
              <w:pStyle w:val="Tabletext1"/>
              <w:ind w:right="241"/>
              <w:rPr>
                <w:color w:val="FFFFFF" w:themeColor="background1"/>
              </w:rPr>
            </w:pPr>
            <w:r w:rsidRPr="00950F22">
              <w:rPr>
                <w:i/>
                <w:iCs/>
                <w:color w:val="000000"/>
              </w:rPr>
              <w:t>Referral rate for fertility preservation: 14% (base case 59%)</w:t>
            </w:r>
          </w:p>
        </w:tc>
      </w:tr>
      <w:tr w:rsidR="009118ED" w:rsidRPr="00FE55E7" w14:paraId="7CB26301" w14:textId="77777777" w:rsidTr="006815D3">
        <w:trPr>
          <w:trHeight w:val="300"/>
        </w:trPr>
        <w:tc>
          <w:tcPr>
            <w:tcW w:w="1755" w:type="pct"/>
          </w:tcPr>
          <w:p w14:paraId="619C7E95" w14:textId="77777777" w:rsidR="009118ED" w:rsidRPr="00FE55E7" w:rsidRDefault="009118ED" w:rsidP="00811281">
            <w:pPr>
              <w:pStyle w:val="Tabletext1"/>
            </w:pPr>
            <w:r>
              <w:rPr>
                <w:b/>
                <w:bCs/>
                <w:color w:val="000000"/>
              </w:rPr>
              <w:t>Cost of AMH testing to the MBS</w:t>
            </w:r>
          </w:p>
        </w:tc>
        <w:tc>
          <w:tcPr>
            <w:tcW w:w="696" w:type="pct"/>
          </w:tcPr>
          <w:p w14:paraId="4BB0F53E" w14:textId="77777777" w:rsidR="009118ED" w:rsidRPr="00FE55E7" w:rsidRDefault="009118ED" w:rsidP="00811281">
            <w:pPr>
              <w:pStyle w:val="Tabletext1"/>
              <w:ind w:right="241"/>
            </w:pPr>
            <w:r w:rsidRPr="008D3F7B">
              <w:t>$134,770</w:t>
            </w:r>
          </w:p>
        </w:tc>
        <w:tc>
          <w:tcPr>
            <w:tcW w:w="695" w:type="pct"/>
          </w:tcPr>
          <w:p w14:paraId="5EBD2091" w14:textId="77777777" w:rsidR="009118ED" w:rsidRPr="00FE55E7" w:rsidRDefault="009118ED" w:rsidP="00811281">
            <w:pPr>
              <w:pStyle w:val="Tabletext1"/>
              <w:ind w:right="241"/>
            </w:pPr>
            <w:r w:rsidRPr="008D3F7B">
              <w:t>$135,256</w:t>
            </w:r>
          </w:p>
        </w:tc>
        <w:tc>
          <w:tcPr>
            <w:tcW w:w="618" w:type="pct"/>
          </w:tcPr>
          <w:p w14:paraId="18973ABD" w14:textId="77777777" w:rsidR="009118ED" w:rsidRPr="00FE55E7" w:rsidRDefault="009118ED" w:rsidP="00811281">
            <w:pPr>
              <w:pStyle w:val="Tabletext1"/>
              <w:ind w:right="241"/>
            </w:pPr>
            <w:r w:rsidRPr="008D3F7B">
              <w:t>$135,742</w:t>
            </w:r>
          </w:p>
        </w:tc>
        <w:tc>
          <w:tcPr>
            <w:tcW w:w="618" w:type="pct"/>
          </w:tcPr>
          <w:p w14:paraId="7CB512E3" w14:textId="77777777" w:rsidR="009118ED" w:rsidRPr="00FE55E7" w:rsidRDefault="009118ED" w:rsidP="00811281">
            <w:pPr>
              <w:pStyle w:val="Tabletext1"/>
              <w:ind w:right="241"/>
            </w:pPr>
            <w:r w:rsidRPr="008D3F7B">
              <w:t>$136,231</w:t>
            </w:r>
          </w:p>
        </w:tc>
        <w:tc>
          <w:tcPr>
            <w:tcW w:w="618" w:type="pct"/>
          </w:tcPr>
          <w:p w14:paraId="49A29170" w14:textId="77777777" w:rsidR="009118ED" w:rsidRPr="00FE55E7" w:rsidRDefault="009118ED" w:rsidP="00811281">
            <w:pPr>
              <w:pStyle w:val="Tabletext1"/>
              <w:ind w:right="241"/>
            </w:pPr>
            <w:r w:rsidRPr="008D3F7B">
              <w:t>$136,722</w:t>
            </w:r>
          </w:p>
        </w:tc>
      </w:tr>
      <w:tr w:rsidR="006815D3" w:rsidRPr="00FE55E7" w14:paraId="4A53824D" w14:textId="77777777" w:rsidTr="006815D3">
        <w:trPr>
          <w:trHeight w:val="300"/>
        </w:trPr>
        <w:tc>
          <w:tcPr>
            <w:tcW w:w="5000" w:type="pct"/>
            <w:gridSpan w:val="6"/>
          </w:tcPr>
          <w:p w14:paraId="2D525354" w14:textId="45B8A45B" w:rsidR="006815D3" w:rsidRPr="005B1B66" w:rsidRDefault="006815D3" w:rsidP="00811281">
            <w:pPr>
              <w:pStyle w:val="Tabletext1"/>
              <w:ind w:right="241"/>
              <w:rPr>
                <w:color w:val="FFFFFF" w:themeColor="background1"/>
              </w:rPr>
            </w:pPr>
            <w:r w:rsidRPr="00950F22">
              <w:rPr>
                <w:i/>
                <w:iCs/>
                <w:color w:val="000000"/>
              </w:rPr>
              <w:t xml:space="preserve">Referral rate for fertility preservation: </w:t>
            </w:r>
            <w:r>
              <w:rPr>
                <w:i/>
                <w:iCs/>
                <w:color w:val="000000"/>
              </w:rPr>
              <w:t>67</w:t>
            </w:r>
            <w:r w:rsidRPr="00950F22">
              <w:rPr>
                <w:i/>
                <w:iCs/>
                <w:color w:val="000000"/>
              </w:rPr>
              <w:t>% (base case 59%)</w:t>
            </w:r>
          </w:p>
        </w:tc>
      </w:tr>
      <w:tr w:rsidR="009118ED" w:rsidRPr="00FE55E7" w14:paraId="0C31298D" w14:textId="77777777" w:rsidTr="006815D3">
        <w:trPr>
          <w:trHeight w:val="300"/>
        </w:trPr>
        <w:tc>
          <w:tcPr>
            <w:tcW w:w="1755" w:type="pct"/>
          </w:tcPr>
          <w:p w14:paraId="00BA9413" w14:textId="77777777" w:rsidR="009118ED" w:rsidRPr="00FE55E7" w:rsidRDefault="009118ED" w:rsidP="00811281">
            <w:pPr>
              <w:pStyle w:val="Tabletext1"/>
            </w:pPr>
            <w:r>
              <w:rPr>
                <w:b/>
                <w:bCs/>
                <w:color w:val="000000"/>
              </w:rPr>
              <w:t>Cost of AMH testing to the MBS</w:t>
            </w:r>
          </w:p>
        </w:tc>
        <w:tc>
          <w:tcPr>
            <w:tcW w:w="696" w:type="pct"/>
          </w:tcPr>
          <w:p w14:paraId="10CF570D" w14:textId="77777777" w:rsidR="009118ED" w:rsidRPr="00FE55E7" w:rsidRDefault="009118ED" w:rsidP="00811281">
            <w:pPr>
              <w:pStyle w:val="Tabletext1"/>
              <w:ind w:right="241"/>
            </w:pPr>
            <w:r w:rsidRPr="005C09CC">
              <w:t>$644,972</w:t>
            </w:r>
          </w:p>
        </w:tc>
        <w:tc>
          <w:tcPr>
            <w:tcW w:w="695" w:type="pct"/>
          </w:tcPr>
          <w:p w14:paraId="7D4B3F66" w14:textId="77777777" w:rsidR="009118ED" w:rsidRPr="00FE55E7" w:rsidRDefault="009118ED" w:rsidP="00811281">
            <w:pPr>
              <w:pStyle w:val="Tabletext1"/>
              <w:ind w:right="241"/>
            </w:pPr>
            <w:r w:rsidRPr="005C09CC">
              <w:t>$647,294</w:t>
            </w:r>
          </w:p>
        </w:tc>
        <w:tc>
          <w:tcPr>
            <w:tcW w:w="618" w:type="pct"/>
          </w:tcPr>
          <w:p w14:paraId="4ACC21CE" w14:textId="77777777" w:rsidR="009118ED" w:rsidRPr="00FE55E7" w:rsidRDefault="009118ED" w:rsidP="00811281">
            <w:pPr>
              <w:pStyle w:val="Tabletext1"/>
              <w:ind w:right="241"/>
            </w:pPr>
            <w:r w:rsidRPr="005C09CC">
              <w:t>$649,625</w:t>
            </w:r>
          </w:p>
        </w:tc>
        <w:tc>
          <w:tcPr>
            <w:tcW w:w="618" w:type="pct"/>
          </w:tcPr>
          <w:p w14:paraId="1439B3BB" w14:textId="77777777" w:rsidR="009118ED" w:rsidRPr="00FE55E7" w:rsidRDefault="009118ED" w:rsidP="00811281">
            <w:pPr>
              <w:pStyle w:val="Tabletext1"/>
              <w:ind w:right="241"/>
            </w:pPr>
            <w:r w:rsidRPr="005C09CC">
              <w:t>$651,963</w:t>
            </w:r>
          </w:p>
        </w:tc>
        <w:tc>
          <w:tcPr>
            <w:tcW w:w="618" w:type="pct"/>
          </w:tcPr>
          <w:p w14:paraId="04B0C2E3" w14:textId="77777777" w:rsidR="009118ED" w:rsidRPr="00FE55E7" w:rsidRDefault="009118ED" w:rsidP="00811281">
            <w:pPr>
              <w:pStyle w:val="Tabletext1"/>
              <w:ind w:right="241"/>
            </w:pPr>
            <w:r w:rsidRPr="005C09CC">
              <w:t>$654,310</w:t>
            </w:r>
          </w:p>
        </w:tc>
      </w:tr>
      <w:tr w:rsidR="006815D3" w:rsidRPr="00FE55E7" w14:paraId="4306FDCA" w14:textId="77777777" w:rsidTr="006815D3">
        <w:trPr>
          <w:trHeight w:val="300"/>
        </w:trPr>
        <w:tc>
          <w:tcPr>
            <w:tcW w:w="5000" w:type="pct"/>
            <w:gridSpan w:val="6"/>
          </w:tcPr>
          <w:p w14:paraId="7A55A77A" w14:textId="433A6824" w:rsidR="006815D3" w:rsidRPr="005B1B66" w:rsidRDefault="006815D3" w:rsidP="00811281">
            <w:pPr>
              <w:pStyle w:val="Tabletext1"/>
              <w:ind w:right="241"/>
              <w:rPr>
                <w:color w:val="FFFFFF" w:themeColor="background1"/>
              </w:rPr>
            </w:pPr>
            <w:r>
              <w:rPr>
                <w:i/>
                <w:iCs/>
                <w:color w:val="000000"/>
              </w:rPr>
              <w:t>Uptake of AMH testing: 53% (base case 90%)</w:t>
            </w:r>
          </w:p>
        </w:tc>
      </w:tr>
      <w:tr w:rsidR="009118ED" w:rsidRPr="00FE55E7" w14:paraId="70509A78" w14:textId="77777777" w:rsidTr="006815D3">
        <w:trPr>
          <w:trHeight w:val="300"/>
        </w:trPr>
        <w:tc>
          <w:tcPr>
            <w:tcW w:w="1755" w:type="pct"/>
          </w:tcPr>
          <w:p w14:paraId="7E42FBA1" w14:textId="77777777" w:rsidR="009118ED" w:rsidRPr="00FE55E7" w:rsidRDefault="009118ED" w:rsidP="00811281">
            <w:pPr>
              <w:pStyle w:val="Tabletext1"/>
            </w:pPr>
            <w:r>
              <w:rPr>
                <w:b/>
                <w:bCs/>
                <w:color w:val="000000"/>
              </w:rPr>
              <w:t>Cost of AMH testing to the MBS</w:t>
            </w:r>
          </w:p>
        </w:tc>
        <w:tc>
          <w:tcPr>
            <w:tcW w:w="696" w:type="pct"/>
          </w:tcPr>
          <w:p w14:paraId="6ABC5A1A" w14:textId="77777777" w:rsidR="009118ED" w:rsidRPr="00FE55E7" w:rsidRDefault="009118ED" w:rsidP="00811281">
            <w:pPr>
              <w:pStyle w:val="Tabletext1"/>
              <w:ind w:right="241"/>
            </w:pPr>
            <w:r>
              <w:rPr>
                <w:color w:val="000000"/>
              </w:rPr>
              <w:t>$334,466</w:t>
            </w:r>
          </w:p>
        </w:tc>
        <w:tc>
          <w:tcPr>
            <w:tcW w:w="695" w:type="pct"/>
          </w:tcPr>
          <w:p w14:paraId="56D99925" w14:textId="77777777" w:rsidR="009118ED" w:rsidRPr="00FE55E7" w:rsidRDefault="009118ED" w:rsidP="00811281">
            <w:pPr>
              <w:pStyle w:val="Tabletext1"/>
              <w:ind w:right="241"/>
            </w:pPr>
            <w:r>
              <w:rPr>
                <w:color w:val="000000"/>
              </w:rPr>
              <w:t>$335,670</w:t>
            </w:r>
          </w:p>
        </w:tc>
        <w:tc>
          <w:tcPr>
            <w:tcW w:w="618" w:type="pct"/>
          </w:tcPr>
          <w:p w14:paraId="74D50A63" w14:textId="77777777" w:rsidR="009118ED" w:rsidRPr="00FE55E7" w:rsidRDefault="009118ED" w:rsidP="00811281">
            <w:pPr>
              <w:pStyle w:val="Tabletext1"/>
              <w:ind w:right="241"/>
            </w:pPr>
            <w:r>
              <w:rPr>
                <w:color w:val="000000"/>
              </w:rPr>
              <w:t>$336,878</w:t>
            </w:r>
          </w:p>
        </w:tc>
        <w:tc>
          <w:tcPr>
            <w:tcW w:w="618" w:type="pct"/>
          </w:tcPr>
          <w:p w14:paraId="2BFC7206" w14:textId="77777777" w:rsidR="009118ED" w:rsidRPr="00FE55E7" w:rsidRDefault="009118ED" w:rsidP="00811281">
            <w:pPr>
              <w:pStyle w:val="Tabletext1"/>
              <w:ind w:right="241"/>
            </w:pPr>
            <w:r>
              <w:rPr>
                <w:color w:val="000000"/>
              </w:rPr>
              <w:t>$338,091</w:t>
            </w:r>
          </w:p>
        </w:tc>
        <w:tc>
          <w:tcPr>
            <w:tcW w:w="618" w:type="pct"/>
          </w:tcPr>
          <w:p w14:paraId="0EAF25FA" w14:textId="77777777" w:rsidR="009118ED" w:rsidRPr="00FE55E7" w:rsidRDefault="009118ED" w:rsidP="00811281">
            <w:pPr>
              <w:pStyle w:val="Tabletext1"/>
              <w:ind w:right="241"/>
            </w:pPr>
            <w:r>
              <w:rPr>
                <w:color w:val="000000"/>
              </w:rPr>
              <w:t>$339,308</w:t>
            </w:r>
          </w:p>
        </w:tc>
      </w:tr>
      <w:tr w:rsidR="006815D3" w:rsidRPr="00FE55E7" w14:paraId="3F799D49" w14:textId="77777777" w:rsidTr="006815D3">
        <w:trPr>
          <w:trHeight w:val="300"/>
        </w:trPr>
        <w:tc>
          <w:tcPr>
            <w:tcW w:w="5000" w:type="pct"/>
            <w:gridSpan w:val="6"/>
          </w:tcPr>
          <w:p w14:paraId="1D1B6836" w14:textId="66832492" w:rsidR="006815D3" w:rsidRPr="005B1B66" w:rsidRDefault="006815D3" w:rsidP="00811281">
            <w:pPr>
              <w:pStyle w:val="Tabletext1"/>
              <w:ind w:right="241"/>
              <w:rPr>
                <w:color w:val="FFFFFF" w:themeColor="background1"/>
              </w:rPr>
            </w:pPr>
            <w:r>
              <w:rPr>
                <w:i/>
                <w:iCs/>
                <w:color w:val="000000"/>
              </w:rPr>
              <w:t>Uptake of AMH testing: 100% (base case 90%)</w:t>
            </w:r>
          </w:p>
        </w:tc>
      </w:tr>
      <w:tr w:rsidR="009118ED" w:rsidRPr="00FE55E7" w14:paraId="57A183FE" w14:textId="77777777" w:rsidTr="006815D3">
        <w:trPr>
          <w:trHeight w:val="300"/>
        </w:trPr>
        <w:tc>
          <w:tcPr>
            <w:tcW w:w="1755" w:type="pct"/>
          </w:tcPr>
          <w:p w14:paraId="3793BFCE" w14:textId="77777777" w:rsidR="009118ED" w:rsidRPr="00FE55E7" w:rsidRDefault="009118ED" w:rsidP="00811281">
            <w:pPr>
              <w:pStyle w:val="Tabletext1"/>
            </w:pPr>
            <w:r>
              <w:rPr>
                <w:b/>
                <w:bCs/>
                <w:color w:val="000000"/>
              </w:rPr>
              <w:t>Cost of AMH testing to the MBS</w:t>
            </w:r>
          </w:p>
        </w:tc>
        <w:tc>
          <w:tcPr>
            <w:tcW w:w="696" w:type="pct"/>
          </w:tcPr>
          <w:p w14:paraId="3A3203D9" w14:textId="77777777" w:rsidR="009118ED" w:rsidRPr="00FE55E7" w:rsidRDefault="009118ED" w:rsidP="00811281">
            <w:pPr>
              <w:pStyle w:val="Tabletext1"/>
              <w:ind w:right="241"/>
            </w:pPr>
            <w:r>
              <w:rPr>
                <w:color w:val="000000"/>
              </w:rPr>
              <w:t>$631,068</w:t>
            </w:r>
          </w:p>
        </w:tc>
        <w:tc>
          <w:tcPr>
            <w:tcW w:w="695" w:type="pct"/>
          </w:tcPr>
          <w:p w14:paraId="2BCA76A6" w14:textId="77777777" w:rsidR="009118ED" w:rsidRPr="00FE55E7" w:rsidRDefault="009118ED" w:rsidP="00811281">
            <w:pPr>
              <w:pStyle w:val="Tabletext1"/>
              <w:ind w:right="241"/>
            </w:pPr>
            <w:r>
              <w:rPr>
                <w:color w:val="000000"/>
              </w:rPr>
              <w:t>$633,339</w:t>
            </w:r>
          </w:p>
        </w:tc>
        <w:tc>
          <w:tcPr>
            <w:tcW w:w="618" w:type="pct"/>
          </w:tcPr>
          <w:p w14:paraId="1136777A" w14:textId="77777777" w:rsidR="009118ED" w:rsidRPr="00FE55E7" w:rsidRDefault="009118ED" w:rsidP="00811281">
            <w:pPr>
              <w:pStyle w:val="Tabletext1"/>
              <w:ind w:right="241"/>
            </w:pPr>
            <w:r>
              <w:rPr>
                <w:color w:val="000000"/>
              </w:rPr>
              <w:t>$635,619</w:t>
            </w:r>
          </w:p>
        </w:tc>
        <w:tc>
          <w:tcPr>
            <w:tcW w:w="618" w:type="pct"/>
          </w:tcPr>
          <w:p w14:paraId="71924D7F" w14:textId="77777777" w:rsidR="009118ED" w:rsidRPr="00FE55E7" w:rsidRDefault="009118ED" w:rsidP="00811281">
            <w:pPr>
              <w:pStyle w:val="Tabletext1"/>
              <w:ind w:right="241"/>
            </w:pPr>
            <w:r>
              <w:rPr>
                <w:color w:val="000000"/>
              </w:rPr>
              <w:t>$637,908</w:t>
            </w:r>
          </w:p>
        </w:tc>
        <w:tc>
          <w:tcPr>
            <w:tcW w:w="618" w:type="pct"/>
          </w:tcPr>
          <w:p w14:paraId="14B3FA99" w14:textId="77777777" w:rsidR="009118ED" w:rsidRPr="00FE55E7" w:rsidRDefault="009118ED" w:rsidP="00811281">
            <w:pPr>
              <w:pStyle w:val="Tabletext1"/>
              <w:ind w:right="241"/>
            </w:pPr>
            <w:r>
              <w:rPr>
                <w:color w:val="000000"/>
              </w:rPr>
              <w:t>$640,204</w:t>
            </w:r>
          </w:p>
        </w:tc>
      </w:tr>
    </w:tbl>
    <w:p w14:paraId="6A517AE4" w14:textId="77777777" w:rsidR="009118ED" w:rsidRDefault="009118ED" w:rsidP="009118ED">
      <w:pPr>
        <w:pStyle w:val="Heading3"/>
      </w:pPr>
      <w:bookmarkStart w:id="451" w:name="_Toc502832993"/>
      <w:r>
        <w:lastRenderedPageBreak/>
        <w:t>Reduced use in younger and older women</w:t>
      </w:r>
      <w:bookmarkEnd w:id="451"/>
    </w:p>
    <w:p w14:paraId="52E471F1" w14:textId="41E7D6C6" w:rsidR="009118ED" w:rsidRPr="00FE55E7" w:rsidRDefault="009118ED" w:rsidP="009118ED">
      <w:pPr>
        <w:jc w:val="both"/>
      </w:pPr>
      <w:r>
        <w:t>If AMH testing is assumed to only occur in women</w:t>
      </w:r>
      <w:r w:rsidR="001E4DF5">
        <w:t xml:space="preserve"> aged between 25 and 39 years, </w:t>
      </w:r>
      <w:r>
        <w:t>rather that the base case including e</w:t>
      </w:r>
      <w:r w:rsidR="001E4DF5">
        <w:t>ligible females aged 0 to 44 years</w:t>
      </w:r>
      <w:r>
        <w:t>, then the estim</w:t>
      </w:r>
      <w:r w:rsidR="001E4DF5">
        <w:t xml:space="preserve">ated cost to the MBS decreases, as </w:t>
      </w:r>
      <w:r>
        <w:t xml:space="preserve">shown in </w:t>
      </w:r>
      <w:r>
        <w:fldChar w:fldCharType="begin"/>
      </w:r>
      <w:r>
        <w:instrText xml:space="preserve"> REF _Ref497471413 \h </w:instrText>
      </w:r>
      <w:r>
        <w:fldChar w:fldCharType="separate"/>
      </w:r>
      <w:r w:rsidR="00AC4BE5">
        <w:t xml:space="preserve">Table </w:t>
      </w:r>
      <w:r w:rsidR="00AC4BE5">
        <w:rPr>
          <w:noProof/>
        </w:rPr>
        <w:t>72</w:t>
      </w:r>
      <w:r>
        <w:fldChar w:fldCharType="end"/>
      </w:r>
      <w:r>
        <w:t>.</w:t>
      </w:r>
    </w:p>
    <w:p w14:paraId="20F400B8" w14:textId="77777777" w:rsidR="009118ED" w:rsidRDefault="009118ED" w:rsidP="009118ED">
      <w:pPr>
        <w:pStyle w:val="Heading3"/>
      </w:pPr>
      <w:bookmarkStart w:id="452" w:name="_Toc502832994"/>
      <w:r>
        <w:t>Leakage</w:t>
      </w:r>
      <w:bookmarkEnd w:id="452"/>
    </w:p>
    <w:p w14:paraId="4BCC6856" w14:textId="0CFCC46F" w:rsidR="009118ED" w:rsidRPr="00E527EE" w:rsidRDefault="009118ED" w:rsidP="009118ED">
      <w:pPr>
        <w:jc w:val="both"/>
      </w:pPr>
      <w:r>
        <w:t xml:space="preserve">Although not the intention of the listing, given the large number of women seeking fertility information and treatment, and the broadly available public information about the test, there is some risk that AMH tests could be provided under the MBS to females who do not meet the restriction criteria. </w:t>
      </w:r>
      <w:r w:rsidRPr="00E527EE">
        <w:t xml:space="preserve">In 2013, 16,357 women were identified as having their first ever fresh autologous IVF cycle, many other women per year would also seek fertility advice </w:t>
      </w:r>
      <w:r w:rsidRPr="00E527EE">
        <w:fldChar w:fldCharType="begin"/>
      </w:r>
      <w:r w:rsidRPr="00E527EE">
        <w:instrText xml:space="preserve"> ADDIN EN.CITE &lt;EndNote&gt;&lt;Cite&gt;&lt;Author&gt;Fitzgerald&lt;/Author&gt;&lt;Year&gt;2017&lt;/Year&gt;&lt;RecNum&gt;146&lt;/RecNum&gt;&lt;DisplayText&gt;(Fitzgerald et al. 2017)&lt;/DisplayText&gt;&lt;record&gt;&lt;rec-number&gt;146&lt;/rec-number&gt;&lt;foreign-keys&gt;&lt;key app="EN" db-id="s2dftfxw1fvsr1efx58vfvxtvfwzxea0td02" timestamp="1511748074"&gt;146&lt;/key&gt;&lt;/foreign-keys&gt;&lt;ref-type name="Report"&gt;27&lt;/ref-type&gt;&lt;contributors&gt;&lt;authors&gt;&lt;author&gt;O Fitzgerald&lt;/author&gt;&lt;author&gt;K Harris&lt;/author&gt;&lt;author&gt;RC Paul&lt;/author&gt;&lt;author&gt;GM Chambers&lt;/author&gt;&lt;/authors&gt;&lt;/contributors&gt;&lt;titles&gt;&lt;title&gt;Assisted reproductive technology in Australia and New Zealand 2015&lt;/title&gt;&lt;/titles&gt;&lt;dates&gt;&lt;year&gt;2017&lt;/year&gt;&lt;/dates&gt;&lt;publisher&gt;Sydney: National Perinatal Epidemiology and Statistics Unit, the University of New South Wales Sydney&lt;/publisher&gt;&lt;urls&gt;&lt;/urls&gt;&lt;/record&gt;&lt;/Cite&gt;&lt;/EndNote&gt;</w:instrText>
      </w:r>
      <w:r w:rsidRPr="00E527EE">
        <w:fldChar w:fldCharType="separate"/>
      </w:r>
      <w:r w:rsidRPr="00E527EE">
        <w:t>(</w:t>
      </w:r>
      <w:hyperlink w:anchor="_ENREF_24" w:tooltip="Fitzgerald, 2017 #146" w:history="1">
        <w:r w:rsidR="00835BA6" w:rsidRPr="00E527EE">
          <w:t>Fitzgerald et al. 2017</w:t>
        </w:r>
      </w:hyperlink>
      <w:r w:rsidRPr="00E527EE">
        <w:t>)</w:t>
      </w:r>
      <w:r w:rsidRPr="00E527EE">
        <w:fldChar w:fldCharType="end"/>
      </w:r>
      <w:r w:rsidR="00E527EE" w:rsidRPr="00E527EE">
        <w:t>.</w:t>
      </w:r>
    </w:p>
    <w:p w14:paraId="7BCB8EBE" w14:textId="2939766D" w:rsidR="009118ED" w:rsidRDefault="009118ED" w:rsidP="009118ED">
      <w:pPr>
        <w:jc w:val="both"/>
      </w:pPr>
      <w:r w:rsidRPr="00E527EE">
        <w:t xml:space="preserve">The financial impact of leakage of 15,000 additional AMH tests per year (acknowledged to be in the extreme upper range of potential leakage), is examined in the scenario analysis presented in </w:t>
      </w:r>
      <w:r w:rsidRPr="00E527EE">
        <w:fldChar w:fldCharType="begin"/>
      </w:r>
      <w:r w:rsidRPr="00E527EE">
        <w:instrText xml:space="preserve"> REF _Ref497471413 \h </w:instrText>
      </w:r>
      <w:r w:rsidR="00E527EE">
        <w:instrText xml:space="preserve"> \* MERGEFORMAT </w:instrText>
      </w:r>
      <w:r w:rsidRPr="00E527EE">
        <w:fldChar w:fldCharType="separate"/>
      </w:r>
      <w:r w:rsidR="00AC4BE5">
        <w:t>Table 72</w:t>
      </w:r>
      <w:r w:rsidRPr="00E527EE">
        <w:fldChar w:fldCharType="end"/>
      </w:r>
      <w:r w:rsidR="00E527EE" w:rsidRPr="00E527EE">
        <w:t>, below.</w:t>
      </w:r>
    </w:p>
    <w:p w14:paraId="4B30179E" w14:textId="3E03A847" w:rsidR="009118ED" w:rsidRDefault="009118ED" w:rsidP="009118ED">
      <w:pPr>
        <w:pStyle w:val="Caption"/>
        <w:keepNext/>
      </w:pPr>
      <w:bookmarkStart w:id="453" w:name="_Ref497471413"/>
      <w:bookmarkStart w:id="454" w:name="_Toc502833090"/>
      <w:r>
        <w:t xml:space="preserve">Table </w:t>
      </w:r>
      <w:r w:rsidR="00AC4BE5">
        <w:fldChar w:fldCharType="begin"/>
      </w:r>
      <w:r w:rsidR="00AC4BE5">
        <w:instrText xml:space="preserve"> SEQ Table \* ARABIC </w:instrText>
      </w:r>
      <w:r w:rsidR="00AC4BE5">
        <w:fldChar w:fldCharType="separate"/>
      </w:r>
      <w:r w:rsidR="00AC4BE5">
        <w:rPr>
          <w:noProof/>
        </w:rPr>
        <w:t>72</w:t>
      </w:r>
      <w:r w:rsidR="00AC4BE5">
        <w:rPr>
          <w:noProof/>
        </w:rPr>
        <w:fldChar w:fldCharType="end"/>
      </w:r>
      <w:bookmarkEnd w:id="453"/>
      <w:r>
        <w:tab/>
      </w:r>
      <w:r w:rsidRPr="00A318B7">
        <w:t xml:space="preserve">Financial implications of MBS listing the AMH test: </w:t>
      </w:r>
      <w:r>
        <w:t>scenario analysis of</w:t>
      </w:r>
      <w:r w:rsidRPr="00A318B7" w:rsidDel="007A3AA1">
        <w:t xml:space="preserve"> </w:t>
      </w:r>
      <w:r>
        <w:t>leakage</w:t>
      </w:r>
      <w:r w:rsidRPr="00A318B7">
        <w:t xml:space="preserve"> </w:t>
      </w:r>
      <w:r>
        <w:t>to other indications</w:t>
      </w:r>
      <w:bookmarkEnd w:id="4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Financial implications of MBS listing the AMH test; sensitivity analysis varying uptake rate"/>
        <w:tblDescription w:val="Financial implications of MBS listing the AMH test; sensitivity analysis varying uptake rate"/>
      </w:tblPr>
      <w:tblGrid>
        <w:gridCol w:w="3336"/>
        <w:gridCol w:w="1170"/>
        <w:gridCol w:w="1150"/>
        <w:gridCol w:w="1150"/>
        <w:gridCol w:w="1155"/>
        <w:gridCol w:w="202"/>
        <w:gridCol w:w="140"/>
        <w:gridCol w:w="143"/>
        <w:gridCol w:w="140"/>
        <w:gridCol w:w="125"/>
        <w:gridCol w:w="143"/>
        <w:gridCol w:w="143"/>
        <w:gridCol w:w="85"/>
      </w:tblGrid>
      <w:tr w:rsidR="009118ED" w:rsidRPr="00FE55E7" w14:paraId="1284BAB5" w14:textId="77777777" w:rsidTr="003929ED">
        <w:trPr>
          <w:trHeight w:val="300"/>
          <w:tblHeader/>
        </w:trPr>
        <w:tc>
          <w:tcPr>
            <w:tcW w:w="1837" w:type="pct"/>
            <w:tcBorders>
              <w:bottom w:val="single" w:sz="4" w:space="0" w:color="auto"/>
            </w:tcBorders>
            <w:shd w:val="clear" w:color="auto" w:fill="auto"/>
            <w:vAlign w:val="center"/>
          </w:tcPr>
          <w:p w14:paraId="0F06E756" w14:textId="6AA6324E" w:rsidR="009118ED" w:rsidRPr="0036660B" w:rsidRDefault="009118ED" w:rsidP="00811281">
            <w:pPr>
              <w:pStyle w:val="TableHeading"/>
              <w:outlineLvl w:val="5"/>
              <w:rPr>
                <w:b w:val="0"/>
              </w:rPr>
            </w:pPr>
            <w:r w:rsidRPr="003254A6">
              <w:rPr>
                <w:b w:val="0"/>
                <w:color w:val="FFFFFF" w:themeColor="background1"/>
              </w:rPr>
              <w:t>-</w:t>
            </w:r>
            <w:r w:rsidR="00811281">
              <w:rPr>
                <w:b w:val="0"/>
                <w:color w:val="FFFFFF" w:themeColor="background1"/>
              </w:rPr>
              <w:t> </w:t>
            </w:r>
          </w:p>
        </w:tc>
        <w:tc>
          <w:tcPr>
            <w:tcW w:w="644" w:type="pct"/>
            <w:tcBorders>
              <w:bottom w:val="single" w:sz="4" w:space="0" w:color="auto"/>
            </w:tcBorders>
            <w:vAlign w:val="bottom"/>
          </w:tcPr>
          <w:p w14:paraId="16E5870A" w14:textId="77777777" w:rsidR="009118ED" w:rsidRPr="00260996" w:rsidRDefault="009118ED" w:rsidP="00260996">
            <w:pPr>
              <w:pStyle w:val="TableText0"/>
              <w:rPr>
                <w:b/>
              </w:rPr>
            </w:pPr>
            <w:r w:rsidRPr="00260996">
              <w:rPr>
                <w:b/>
              </w:rPr>
              <w:t>Year 1</w:t>
            </w:r>
          </w:p>
        </w:tc>
        <w:tc>
          <w:tcPr>
            <w:tcW w:w="633" w:type="pct"/>
            <w:tcBorders>
              <w:bottom w:val="single" w:sz="4" w:space="0" w:color="auto"/>
            </w:tcBorders>
            <w:shd w:val="clear" w:color="auto" w:fill="auto"/>
            <w:vAlign w:val="bottom"/>
          </w:tcPr>
          <w:p w14:paraId="7E7A5854" w14:textId="77777777" w:rsidR="009118ED" w:rsidRPr="00260996" w:rsidRDefault="009118ED" w:rsidP="00260996">
            <w:pPr>
              <w:pStyle w:val="TableText0"/>
              <w:rPr>
                <w:b/>
              </w:rPr>
            </w:pPr>
            <w:r w:rsidRPr="00260996">
              <w:rPr>
                <w:b/>
              </w:rPr>
              <w:t>Year 2</w:t>
            </w:r>
          </w:p>
        </w:tc>
        <w:tc>
          <w:tcPr>
            <w:tcW w:w="633" w:type="pct"/>
            <w:tcBorders>
              <w:bottom w:val="single" w:sz="4" w:space="0" w:color="auto"/>
            </w:tcBorders>
            <w:shd w:val="clear" w:color="auto" w:fill="auto"/>
            <w:vAlign w:val="bottom"/>
          </w:tcPr>
          <w:p w14:paraId="369B9C95" w14:textId="77777777" w:rsidR="009118ED" w:rsidRPr="00260996" w:rsidRDefault="009118ED" w:rsidP="00260996">
            <w:pPr>
              <w:pStyle w:val="TableText0"/>
              <w:rPr>
                <w:b/>
              </w:rPr>
            </w:pPr>
            <w:r w:rsidRPr="00260996">
              <w:rPr>
                <w:b/>
              </w:rPr>
              <w:t>Year 3</w:t>
            </w:r>
          </w:p>
        </w:tc>
        <w:tc>
          <w:tcPr>
            <w:tcW w:w="635" w:type="pct"/>
            <w:tcBorders>
              <w:bottom w:val="single" w:sz="4" w:space="0" w:color="auto"/>
            </w:tcBorders>
            <w:shd w:val="clear" w:color="auto" w:fill="auto"/>
            <w:vAlign w:val="bottom"/>
          </w:tcPr>
          <w:p w14:paraId="0AD2C298" w14:textId="77777777" w:rsidR="009118ED" w:rsidRPr="00260996" w:rsidRDefault="009118ED" w:rsidP="00260996">
            <w:pPr>
              <w:pStyle w:val="TableText0"/>
              <w:rPr>
                <w:b/>
              </w:rPr>
            </w:pPr>
            <w:r w:rsidRPr="00260996">
              <w:rPr>
                <w:b/>
              </w:rPr>
              <w:t>Year 4</w:t>
            </w:r>
          </w:p>
        </w:tc>
        <w:tc>
          <w:tcPr>
            <w:tcW w:w="617" w:type="pct"/>
            <w:gridSpan w:val="8"/>
            <w:tcBorders>
              <w:bottom w:val="single" w:sz="4" w:space="0" w:color="auto"/>
            </w:tcBorders>
            <w:shd w:val="clear" w:color="auto" w:fill="auto"/>
            <w:vAlign w:val="bottom"/>
          </w:tcPr>
          <w:p w14:paraId="527FF91D" w14:textId="77777777" w:rsidR="009118ED" w:rsidRPr="00260996" w:rsidRDefault="009118ED" w:rsidP="00260996">
            <w:pPr>
              <w:pStyle w:val="TableText0"/>
              <w:rPr>
                <w:b/>
              </w:rPr>
            </w:pPr>
            <w:r w:rsidRPr="00260996">
              <w:rPr>
                <w:b/>
              </w:rPr>
              <w:t>Year 5</w:t>
            </w:r>
          </w:p>
        </w:tc>
      </w:tr>
      <w:tr w:rsidR="009118ED" w:rsidRPr="00FE55E7" w14:paraId="0444CE72" w14:textId="77777777" w:rsidTr="003929ED">
        <w:trPr>
          <w:trHeight w:val="300"/>
        </w:trPr>
        <w:tc>
          <w:tcPr>
            <w:tcW w:w="1837" w:type="pct"/>
            <w:tcBorders>
              <w:right w:val="nil"/>
            </w:tcBorders>
            <w:shd w:val="clear" w:color="auto" w:fill="auto"/>
          </w:tcPr>
          <w:p w14:paraId="08FB7E2F" w14:textId="77777777" w:rsidR="009118ED" w:rsidRPr="00260996" w:rsidRDefault="009118ED" w:rsidP="00260996">
            <w:pPr>
              <w:pStyle w:val="Tabletext1"/>
              <w:rPr>
                <w:i/>
              </w:rPr>
            </w:pPr>
            <w:r w:rsidRPr="00260996">
              <w:rPr>
                <w:i/>
              </w:rPr>
              <w:t>Base case</w:t>
            </w:r>
          </w:p>
        </w:tc>
        <w:tc>
          <w:tcPr>
            <w:tcW w:w="644" w:type="pct"/>
            <w:tcBorders>
              <w:left w:val="nil"/>
              <w:right w:val="nil"/>
            </w:tcBorders>
          </w:tcPr>
          <w:p w14:paraId="33248F0B"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c>
          <w:tcPr>
            <w:tcW w:w="633" w:type="pct"/>
            <w:tcBorders>
              <w:left w:val="nil"/>
              <w:right w:val="nil"/>
            </w:tcBorders>
            <w:shd w:val="clear" w:color="auto" w:fill="auto"/>
          </w:tcPr>
          <w:p w14:paraId="1C9054CB"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c>
          <w:tcPr>
            <w:tcW w:w="633" w:type="pct"/>
            <w:tcBorders>
              <w:left w:val="nil"/>
              <w:right w:val="nil"/>
            </w:tcBorders>
            <w:shd w:val="clear" w:color="auto" w:fill="auto"/>
          </w:tcPr>
          <w:p w14:paraId="6811A146"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c>
          <w:tcPr>
            <w:tcW w:w="635" w:type="pct"/>
            <w:tcBorders>
              <w:left w:val="nil"/>
              <w:right w:val="nil"/>
            </w:tcBorders>
            <w:shd w:val="clear" w:color="auto" w:fill="auto"/>
          </w:tcPr>
          <w:p w14:paraId="0764D6BF"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c>
          <w:tcPr>
            <w:tcW w:w="617" w:type="pct"/>
            <w:gridSpan w:val="8"/>
            <w:tcBorders>
              <w:left w:val="nil"/>
            </w:tcBorders>
            <w:shd w:val="clear" w:color="auto" w:fill="auto"/>
          </w:tcPr>
          <w:p w14:paraId="428F0878" w14:textId="77777777" w:rsidR="009118ED" w:rsidRPr="005B1B66" w:rsidRDefault="009118ED" w:rsidP="00811281">
            <w:pPr>
              <w:pStyle w:val="TableHeading"/>
              <w:ind w:right="241"/>
              <w:rPr>
                <w:b w:val="0"/>
                <w:color w:val="FFFFFF" w:themeColor="background1"/>
              </w:rPr>
            </w:pPr>
            <w:r w:rsidRPr="005B1B66">
              <w:rPr>
                <w:b w:val="0"/>
                <w:color w:val="FFFFFF" w:themeColor="background1"/>
              </w:rPr>
              <w:t>-</w:t>
            </w:r>
          </w:p>
        </w:tc>
      </w:tr>
      <w:tr w:rsidR="009118ED" w:rsidRPr="00257C45" w14:paraId="77722E00" w14:textId="77777777" w:rsidTr="003929ED">
        <w:trPr>
          <w:trHeight w:val="300"/>
        </w:trPr>
        <w:tc>
          <w:tcPr>
            <w:tcW w:w="1837" w:type="pct"/>
            <w:shd w:val="clear" w:color="auto" w:fill="auto"/>
            <w:vAlign w:val="center"/>
          </w:tcPr>
          <w:p w14:paraId="5EB09FA3" w14:textId="77777777" w:rsidR="009118ED" w:rsidRPr="00260996" w:rsidRDefault="009118ED" w:rsidP="00260996">
            <w:pPr>
              <w:pStyle w:val="TableText0"/>
              <w:rPr>
                <w:b/>
              </w:rPr>
            </w:pPr>
            <w:r w:rsidRPr="00260996">
              <w:rPr>
                <w:b/>
              </w:rPr>
              <w:t>Cost of AMH testing to the MBS</w:t>
            </w:r>
          </w:p>
        </w:tc>
        <w:tc>
          <w:tcPr>
            <w:tcW w:w="644" w:type="pct"/>
            <w:vAlign w:val="bottom"/>
          </w:tcPr>
          <w:p w14:paraId="38E92135" w14:textId="77777777" w:rsidR="009118ED" w:rsidRPr="00260996" w:rsidRDefault="009118ED" w:rsidP="00260996">
            <w:pPr>
              <w:pStyle w:val="TableText0"/>
              <w:rPr>
                <w:b/>
              </w:rPr>
            </w:pPr>
            <w:r w:rsidRPr="00260996">
              <w:rPr>
                <w:b/>
              </w:rPr>
              <w:t>$567,961</w:t>
            </w:r>
          </w:p>
        </w:tc>
        <w:tc>
          <w:tcPr>
            <w:tcW w:w="633" w:type="pct"/>
            <w:shd w:val="clear" w:color="auto" w:fill="auto"/>
            <w:vAlign w:val="bottom"/>
          </w:tcPr>
          <w:p w14:paraId="62ABC4CB" w14:textId="77777777" w:rsidR="009118ED" w:rsidRPr="00260996" w:rsidRDefault="009118ED" w:rsidP="00260996">
            <w:pPr>
              <w:pStyle w:val="TableText0"/>
              <w:rPr>
                <w:b/>
              </w:rPr>
            </w:pPr>
            <w:r w:rsidRPr="00260996">
              <w:rPr>
                <w:b/>
              </w:rPr>
              <w:t>$570,005</w:t>
            </w:r>
          </w:p>
        </w:tc>
        <w:tc>
          <w:tcPr>
            <w:tcW w:w="633" w:type="pct"/>
            <w:shd w:val="clear" w:color="auto" w:fill="auto"/>
            <w:vAlign w:val="bottom"/>
          </w:tcPr>
          <w:p w14:paraId="72A99814" w14:textId="77777777" w:rsidR="009118ED" w:rsidRPr="00260996" w:rsidRDefault="009118ED" w:rsidP="00260996">
            <w:pPr>
              <w:pStyle w:val="TableText0"/>
              <w:rPr>
                <w:b/>
              </w:rPr>
            </w:pPr>
            <w:r w:rsidRPr="00260996">
              <w:rPr>
                <w:b/>
              </w:rPr>
              <w:t>$572,057</w:t>
            </w:r>
          </w:p>
        </w:tc>
        <w:tc>
          <w:tcPr>
            <w:tcW w:w="635" w:type="pct"/>
            <w:shd w:val="clear" w:color="auto" w:fill="auto"/>
            <w:vAlign w:val="bottom"/>
          </w:tcPr>
          <w:p w14:paraId="6F3C2C87" w14:textId="77777777" w:rsidR="009118ED" w:rsidRPr="00260996" w:rsidRDefault="009118ED" w:rsidP="00260996">
            <w:pPr>
              <w:pStyle w:val="TableText0"/>
              <w:rPr>
                <w:b/>
              </w:rPr>
            </w:pPr>
            <w:r w:rsidRPr="00260996">
              <w:rPr>
                <w:b/>
              </w:rPr>
              <w:t>$574,117</w:t>
            </w:r>
          </w:p>
        </w:tc>
        <w:tc>
          <w:tcPr>
            <w:tcW w:w="617" w:type="pct"/>
            <w:gridSpan w:val="8"/>
            <w:shd w:val="clear" w:color="auto" w:fill="auto"/>
            <w:vAlign w:val="bottom"/>
          </w:tcPr>
          <w:p w14:paraId="72851B38" w14:textId="77777777" w:rsidR="009118ED" w:rsidRPr="00260996" w:rsidRDefault="009118ED" w:rsidP="00260996">
            <w:pPr>
              <w:pStyle w:val="TableText0"/>
              <w:rPr>
                <w:b/>
              </w:rPr>
            </w:pPr>
            <w:r w:rsidRPr="00260996">
              <w:rPr>
                <w:b/>
              </w:rPr>
              <w:t>$576,184</w:t>
            </w:r>
          </w:p>
        </w:tc>
      </w:tr>
      <w:tr w:rsidR="009118ED" w:rsidRPr="00FE55E7" w14:paraId="2DCD59F5" w14:textId="77777777" w:rsidTr="003929ED">
        <w:trPr>
          <w:trHeight w:val="300"/>
        </w:trPr>
        <w:tc>
          <w:tcPr>
            <w:tcW w:w="4383" w:type="pct"/>
            <w:gridSpan w:val="5"/>
            <w:tcBorders>
              <w:bottom w:val="single" w:sz="4" w:space="0" w:color="auto"/>
              <w:right w:val="nil"/>
            </w:tcBorders>
            <w:shd w:val="clear" w:color="auto" w:fill="auto"/>
            <w:vAlign w:val="center"/>
          </w:tcPr>
          <w:p w14:paraId="725B9D2C" w14:textId="77D80E12" w:rsidR="009118ED" w:rsidRPr="00FE55E7" w:rsidRDefault="009118ED" w:rsidP="00811281">
            <w:pPr>
              <w:pStyle w:val="Tabletext1"/>
              <w:rPr>
                <w:i/>
              </w:rPr>
            </w:pPr>
            <w:r>
              <w:rPr>
                <w:i/>
                <w:iCs/>
                <w:color w:val="000000"/>
              </w:rPr>
              <w:t>If AMH is only used in wome</w:t>
            </w:r>
            <w:r w:rsidR="005C0053">
              <w:rPr>
                <w:i/>
                <w:iCs/>
                <w:color w:val="000000"/>
              </w:rPr>
              <w:t>n aged 25–39 years (base case 0–</w:t>
            </w:r>
            <w:r>
              <w:rPr>
                <w:i/>
                <w:iCs/>
                <w:color w:val="000000"/>
              </w:rPr>
              <w:t>44 years)</w:t>
            </w:r>
          </w:p>
        </w:tc>
        <w:tc>
          <w:tcPr>
            <w:tcW w:w="111" w:type="pct"/>
            <w:tcBorders>
              <w:left w:val="nil"/>
              <w:bottom w:val="single" w:sz="4" w:space="0" w:color="auto"/>
              <w:right w:val="nil"/>
            </w:tcBorders>
            <w:vAlign w:val="bottom"/>
          </w:tcPr>
          <w:p w14:paraId="3FA9A5D5" w14:textId="77777777" w:rsidR="009118ED" w:rsidRPr="005B1B66" w:rsidRDefault="009118ED" w:rsidP="00811281">
            <w:pPr>
              <w:pStyle w:val="Tabletext1"/>
              <w:ind w:right="241"/>
              <w:rPr>
                <w:color w:val="FFFFFF" w:themeColor="background1"/>
              </w:rPr>
            </w:pPr>
          </w:p>
        </w:tc>
        <w:tc>
          <w:tcPr>
            <w:tcW w:w="77" w:type="pct"/>
            <w:tcBorders>
              <w:left w:val="nil"/>
              <w:bottom w:val="single" w:sz="4" w:space="0" w:color="auto"/>
              <w:right w:val="nil"/>
            </w:tcBorders>
            <w:shd w:val="clear" w:color="auto" w:fill="auto"/>
            <w:vAlign w:val="bottom"/>
          </w:tcPr>
          <w:p w14:paraId="6A4BB82A" w14:textId="77777777" w:rsidR="009118ED" w:rsidRPr="005B1B66" w:rsidRDefault="009118ED" w:rsidP="00811281">
            <w:pPr>
              <w:pStyle w:val="Tabletext1"/>
              <w:ind w:right="241"/>
              <w:rPr>
                <w:color w:val="FFFFFF" w:themeColor="background1"/>
              </w:rPr>
            </w:pPr>
          </w:p>
        </w:tc>
        <w:tc>
          <w:tcPr>
            <w:tcW w:w="79" w:type="pct"/>
            <w:tcBorders>
              <w:left w:val="nil"/>
              <w:bottom w:val="single" w:sz="4" w:space="0" w:color="auto"/>
              <w:right w:val="nil"/>
            </w:tcBorders>
            <w:shd w:val="clear" w:color="auto" w:fill="auto"/>
            <w:vAlign w:val="bottom"/>
          </w:tcPr>
          <w:p w14:paraId="75E510A6" w14:textId="77777777" w:rsidR="009118ED" w:rsidRPr="005B1B66" w:rsidRDefault="009118ED" w:rsidP="00811281">
            <w:pPr>
              <w:pStyle w:val="Tabletext1"/>
              <w:ind w:right="241"/>
              <w:rPr>
                <w:color w:val="FFFFFF" w:themeColor="background1"/>
              </w:rPr>
            </w:pPr>
          </w:p>
        </w:tc>
        <w:tc>
          <w:tcPr>
            <w:tcW w:w="77" w:type="pct"/>
            <w:tcBorders>
              <w:left w:val="nil"/>
              <w:bottom w:val="single" w:sz="4" w:space="0" w:color="auto"/>
              <w:right w:val="nil"/>
            </w:tcBorders>
            <w:shd w:val="clear" w:color="auto" w:fill="auto"/>
            <w:vAlign w:val="bottom"/>
          </w:tcPr>
          <w:p w14:paraId="6FBCB7FF" w14:textId="77777777" w:rsidR="009118ED" w:rsidRPr="005B1B66" w:rsidRDefault="009118ED" w:rsidP="00811281">
            <w:pPr>
              <w:pStyle w:val="Tabletext1"/>
              <w:ind w:right="241"/>
              <w:rPr>
                <w:color w:val="FFFFFF" w:themeColor="background1"/>
              </w:rPr>
            </w:pPr>
          </w:p>
        </w:tc>
        <w:tc>
          <w:tcPr>
            <w:tcW w:w="273" w:type="pct"/>
            <w:gridSpan w:val="4"/>
            <w:tcBorders>
              <w:left w:val="nil"/>
              <w:bottom w:val="single" w:sz="4" w:space="0" w:color="auto"/>
            </w:tcBorders>
            <w:shd w:val="clear" w:color="auto" w:fill="auto"/>
            <w:vAlign w:val="bottom"/>
          </w:tcPr>
          <w:p w14:paraId="35EBB00B" w14:textId="77777777" w:rsidR="009118ED" w:rsidRPr="005B1B66" w:rsidRDefault="009118ED" w:rsidP="00811281">
            <w:pPr>
              <w:pStyle w:val="Tabletext1"/>
              <w:ind w:right="241"/>
              <w:rPr>
                <w:color w:val="FFFFFF" w:themeColor="background1"/>
              </w:rPr>
            </w:pPr>
          </w:p>
        </w:tc>
      </w:tr>
      <w:tr w:rsidR="009118ED" w:rsidRPr="00FE55E7" w14:paraId="146C266B" w14:textId="77777777" w:rsidTr="003929ED">
        <w:trPr>
          <w:trHeight w:val="300"/>
        </w:trPr>
        <w:tc>
          <w:tcPr>
            <w:tcW w:w="1837" w:type="pct"/>
            <w:tcBorders>
              <w:bottom w:val="single" w:sz="4" w:space="0" w:color="auto"/>
            </w:tcBorders>
            <w:shd w:val="clear" w:color="auto" w:fill="auto"/>
            <w:vAlign w:val="center"/>
          </w:tcPr>
          <w:p w14:paraId="3A00DC2E" w14:textId="77777777" w:rsidR="009118ED" w:rsidRPr="00FE55E7" w:rsidRDefault="009118ED" w:rsidP="00811281">
            <w:pPr>
              <w:pStyle w:val="Tabletext1"/>
            </w:pPr>
            <w:r>
              <w:rPr>
                <w:b/>
                <w:bCs/>
                <w:color w:val="000000"/>
              </w:rPr>
              <w:t>Cost of AMH testing to the MBS</w:t>
            </w:r>
          </w:p>
        </w:tc>
        <w:tc>
          <w:tcPr>
            <w:tcW w:w="644" w:type="pct"/>
            <w:tcBorders>
              <w:bottom w:val="single" w:sz="4" w:space="0" w:color="auto"/>
            </w:tcBorders>
          </w:tcPr>
          <w:p w14:paraId="4E0B91D3" w14:textId="77777777" w:rsidR="009118ED" w:rsidRPr="00FE55E7" w:rsidRDefault="009118ED" w:rsidP="00811281">
            <w:pPr>
              <w:pStyle w:val="Tabletext1"/>
              <w:ind w:right="241"/>
            </w:pPr>
            <w:r w:rsidRPr="005763AB">
              <w:t>$289,207</w:t>
            </w:r>
          </w:p>
        </w:tc>
        <w:tc>
          <w:tcPr>
            <w:tcW w:w="633" w:type="pct"/>
            <w:tcBorders>
              <w:bottom w:val="single" w:sz="4" w:space="0" w:color="auto"/>
            </w:tcBorders>
            <w:shd w:val="clear" w:color="auto" w:fill="auto"/>
          </w:tcPr>
          <w:p w14:paraId="2CE61F93" w14:textId="77777777" w:rsidR="009118ED" w:rsidRPr="00FE55E7" w:rsidRDefault="009118ED" w:rsidP="00811281">
            <w:pPr>
              <w:pStyle w:val="Tabletext1"/>
              <w:ind w:right="241"/>
            </w:pPr>
            <w:r w:rsidRPr="005763AB">
              <w:t>$290,248</w:t>
            </w:r>
          </w:p>
        </w:tc>
        <w:tc>
          <w:tcPr>
            <w:tcW w:w="633" w:type="pct"/>
            <w:tcBorders>
              <w:bottom w:val="single" w:sz="4" w:space="0" w:color="auto"/>
            </w:tcBorders>
            <w:shd w:val="clear" w:color="auto" w:fill="auto"/>
          </w:tcPr>
          <w:p w14:paraId="13560EAA" w14:textId="77777777" w:rsidR="009118ED" w:rsidRPr="00FE55E7" w:rsidRDefault="009118ED" w:rsidP="00811281">
            <w:pPr>
              <w:pStyle w:val="Tabletext1"/>
              <w:ind w:right="241"/>
            </w:pPr>
            <w:r w:rsidRPr="005763AB">
              <w:t>$291,293</w:t>
            </w:r>
          </w:p>
        </w:tc>
        <w:tc>
          <w:tcPr>
            <w:tcW w:w="635" w:type="pct"/>
            <w:tcBorders>
              <w:bottom w:val="single" w:sz="4" w:space="0" w:color="auto"/>
            </w:tcBorders>
            <w:shd w:val="clear" w:color="auto" w:fill="auto"/>
          </w:tcPr>
          <w:p w14:paraId="677D5570" w14:textId="77777777" w:rsidR="009118ED" w:rsidRPr="00FE55E7" w:rsidRDefault="009118ED" w:rsidP="00811281">
            <w:pPr>
              <w:pStyle w:val="Tabletext1"/>
              <w:ind w:right="241"/>
            </w:pPr>
            <w:r w:rsidRPr="005763AB">
              <w:t>$292,342</w:t>
            </w:r>
          </w:p>
        </w:tc>
        <w:tc>
          <w:tcPr>
            <w:tcW w:w="617" w:type="pct"/>
            <w:gridSpan w:val="8"/>
            <w:tcBorders>
              <w:bottom w:val="single" w:sz="4" w:space="0" w:color="auto"/>
            </w:tcBorders>
            <w:shd w:val="clear" w:color="auto" w:fill="auto"/>
          </w:tcPr>
          <w:p w14:paraId="4E43A70B" w14:textId="77777777" w:rsidR="009118ED" w:rsidRPr="00FE55E7" w:rsidRDefault="009118ED" w:rsidP="00811281">
            <w:pPr>
              <w:pStyle w:val="Tabletext1"/>
              <w:ind w:right="241"/>
            </w:pPr>
            <w:r w:rsidRPr="005763AB">
              <w:t>$293,394</w:t>
            </w:r>
          </w:p>
        </w:tc>
      </w:tr>
      <w:tr w:rsidR="009118ED" w:rsidRPr="00FE55E7" w:rsidDel="00E74E55" w14:paraId="4FB730C6" w14:textId="77777777" w:rsidTr="003929ED">
        <w:trPr>
          <w:trHeight w:val="300"/>
        </w:trPr>
        <w:tc>
          <w:tcPr>
            <w:tcW w:w="4650" w:type="pct"/>
            <w:gridSpan w:val="8"/>
            <w:tcBorders>
              <w:bottom w:val="single" w:sz="4" w:space="0" w:color="auto"/>
              <w:right w:val="nil"/>
            </w:tcBorders>
            <w:shd w:val="clear" w:color="auto" w:fill="auto"/>
            <w:vAlign w:val="center"/>
          </w:tcPr>
          <w:p w14:paraId="140A8D0C" w14:textId="07BDFF95" w:rsidR="009118ED" w:rsidDel="00E74E55" w:rsidRDefault="009118ED" w:rsidP="00811281">
            <w:pPr>
              <w:pStyle w:val="Tabletext1"/>
              <w:rPr>
                <w:color w:val="000000"/>
              </w:rPr>
            </w:pPr>
            <w:r>
              <w:rPr>
                <w:color w:val="000000"/>
              </w:rPr>
              <w:t>If AMH is used beyond the proposed restriction in other women seeking fertility advice or treatment (15,000</w:t>
            </w:r>
            <w:r w:rsidR="00811281">
              <w:rPr>
                <w:color w:val="000000"/>
              </w:rPr>
              <w:t> </w:t>
            </w:r>
            <w:r>
              <w:rPr>
                <w:color w:val="000000"/>
              </w:rPr>
              <w:t>per</w:t>
            </w:r>
            <w:r w:rsidR="00811281">
              <w:rPr>
                <w:color w:val="000000"/>
              </w:rPr>
              <w:t> </w:t>
            </w:r>
            <w:r>
              <w:rPr>
                <w:color w:val="000000"/>
              </w:rPr>
              <w:t>year)</w:t>
            </w:r>
          </w:p>
        </w:tc>
        <w:tc>
          <w:tcPr>
            <w:tcW w:w="77" w:type="pct"/>
            <w:tcBorders>
              <w:left w:val="nil"/>
              <w:bottom w:val="single" w:sz="4" w:space="0" w:color="auto"/>
              <w:right w:val="nil"/>
            </w:tcBorders>
            <w:vAlign w:val="bottom"/>
          </w:tcPr>
          <w:p w14:paraId="73D1C558" w14:textId="77777777" w:rsidR="009118ED" w:rsidDel="00E74E55" w:rsidRDefault="009118ED" w:rsidP="00811281">
            <w:pPr>
              <w:pStyle w:val="Tabletext1"/>
              <w:ind w:right="241"/>
              <w:rPr>
                <w:color w:val="000000"/>
              </w:rPr>
            </w:pPr>
          </w:p>
        </w:tc>
        <w:tc>
          <w:tcPr>
            <w:tcW w:w="69" w:type="pct"/>
            <w:tcBorders>
              <w:left w:val="nil"/>
              <w:bottom w:val="single" w:sz="4" w:space="0" w:color="auto"/>
              <w:right w:val="nil"/>
            </w:tcBorders>
            <w:shd w:val="clear" w:color="auto" w:fill="auto"/>
            <w:vAlign w:val="bottom"/>
          </w:tcPr>
          <w:p w14:paraId="518CC5D1" w14:textId="77777777" w:rsidR="009118ED" w:rsidDel="00E74E55" w:rsidRDefault="009118ED" w:rsidP="00811281">
            <w:pPr>
              <w:pStyle w:val="Tabletext1"/>
              <w:ind w:right="241"/>
              <w:rPr>
                <w:color w:val="000000"/>
              </w:rPr>
            </w:pPr>
          </w:p>
        </w:tc>
        <w:tc>
          <w:tcPr>
            <w:tcW w:w="79" w:type="pct"/>
            <w:tcBorders>
              <w:left w:val="nil"/>
              <w:bottom w:val="single" w:sz="4" w:space="0" w:color="auto"/>
              <w:right w:val="nil"/>
            </w:tcBorders>
            <w:shd w:val="clear" w:color="auto" w:fill="auto"/>
            <w:vAlign w:val="bottom"/>
          </w:tcPr>
          <w:p w14:paraId="208DBEB7" w14:textId="77777777" w:rsidR="009118ED" w:rsidDel="00E74E55" w:rsidRDefault="009118ED" w:rsidP="00811281">
            <w:pPr>
              <w:pStyle w:val="Tabletext1"/>
              <w:ind w:right="241"/>
              <w:rPr>
                <w:color w:val="000000"/>
              </w:rPr>
            </w:pPr>
          </w:p>
        </w:tc>
        <w:tc>
          <w:tcPr>
            <w:tcW w:w="79" w:type="pct"/>
            <w:tcBorders>
              <w:left w:val="nil"/>
              <w:bottom w:val="single" w:sz="4" w:space="0" w:color="auto"/>
              <w:right w:val="nil"/>
            </w:tcBorders>
            <w:shd w:val="clear" w:color="auto" w:fill="auto"/>
            <w:vAlign w:val="bottom"/>
          </w:tcPr>
          <w:p w14:paraId="78DA3982" w14:textId="77777777" w:rsidR="009118ED" w:rsidDel="00E74E55" w:rsidRDefault="009118ED" w:rsidP="00811281">
            <w:pPr>
              <w:pStyle w:val="Tabletext1"/>
              <w:ind w:right="241"/>
              <w:rPr>
                <w:color w:val="000000"/>
              </w:rPr>
            </w:pPr>
          </w:p>
        </w:tc>
        <w:tc>
          <w:tcPr>
            <w:tcW w:w="47" w:type="pct"/>
            <w:tcBorders>
              <w:left w:val="nil"/>
              <w:bottom w:val="single" w:sz="4" w:space="0" w:color="auto"/>
            </w:tcBorders>
            <w:shd w:val="clear" w:color="auto" w:fill="auto"/>
            <w:vAlign w:val="bottom"/>
          </w:tcPr>
          <w:p w14:paraId="66DD37EB" w14:textId="77777777" w:rsidR="009118ED" w:rsidDel="00E74E55" w:rsidRDefault="009118ED" w:rsidP="00811281">
            <w:pPr>
              <w:pStyle w:val="Tabletext1"/>
              <w:ind w:right="241"/>
              <w:rPr>
                <w:color w:val="000000"/>
              </w:rPr>
            </w:pPr>
          </w:p>
        </w:tc>
      </w:tr>
      <w:tr w:rsidR="009118ED" w:rsidRPr="00FE55E7" w:rsidDel="00E74E55" w14:paraId="379A7A50" w14:textId="77777777" w:rsidTr="003929ED">
        <w:trPr>
          <w:trHeight w:val="300"/>
        </w:trPr>
        <w:tc>
          <w:tcPr>
            <w:tcW w:w="1837" w:type="pct"/>
            <w:tcBorders>
              <w:bottom w:val="single" w:sz="4" w:space="0" w:color="auto"/>
            </w:tcBorders>
            <w:shd w:val="clear" w:color="auto" w:fill="auto"/>
            <w:vAlign w:val="center"/>
          </w:tcPr>
          <w:p w14:paraId="41D7062E" w14:textId="77777777" w:rsidR="009118ED" w:rsidDel="00E74E55" w:rsidRDefault="009118ED" w:rsidP="00811281">
            <w:pPr>
              <w:pStyle w:val="Tabletext1"/>
              <w:rPr>
                <w:color w:val="000000"/>
              </w:rPr>
            </w:pPr>
            <w:r>
              <w:rPr>
                <w:b/>
                <w:bCs/>
                <w:color w:val="000000"/>
              </w:rPr>
              <w:t>Cost of AMH testing to the MBS</w:t>
            </w:r>
          </w:p>
        </w:tc>
        <w:tc>
          <w:tcPr>
            <w:tcW w:w="644" w:type="pct"/>
            <w:tcBorders>
              <w:bottom w:val="single" w:sz="4" w:space="0" w:color="auto"/>
            </w:tcBorders>
          </w:tcPr>
          <w:p w14:paraId="7114DBEA" w14:textId="77777777" w:rsidR="009118ED" w:rsidDel="00E74E55" w:rsidRDefault="009118ED" w:rsidP="00811281">
            <w:pPr>
              <w:pStyle w:val="Tabletext1"/>
              <w:ind w:right="241"/>
              <w:rPr>
                <w:color w:val="000000"/>
              </w:rPr>
            </w:pPr>
            <w:r w:rsidRPr="00494564">
              <w:t>$1,874,619</w:t>
            </w:r>
          </w:p>
        </w:tc>
        <w:tc>
          <w:tcPr>
            <w:tcW w:w="633" w:type="pct"/>
            <w:tcBorders>
              <w:bottom w:val="single" w:sz="4" w:space="0" w:color="auto"/>
            </w:tcBorders>
            <w:shd w:val="clear" w:color="auto" w:fill="auto"/>
          </w:tcPr>
          <w:p w14:paraId="48458B9B" w14:textId="77777777" w:rsidR="009118ED" w:rsidDel="00E74E55" w:rsidRDefault="009118ED" w:rsidP="00811281">
            <w:pPr>
              <w:pStyle w:val="Tabletext1"/>
              <w:ind w:right="241"/>
              <w:rPr>
                <w:color w:val="000000"/>
              </w:rPr>
            </w:pPr>
            <w:r w:rsidRPr="00494564">
              <w:t>$1,881,368</w:t>
            </w:r>
          </w:p>
        </w:tc>
        <w:tc>
          <w:tcPr>
            <w:tcW w:w="633" w:type="pct"/>
            <w:tcBorders>
              <w:bottom w:val="single" w:sz="4" w:space="0" w:color="auto"/>
            </w:tcBorders>
            <w:shd w:val="clear" w:color="auto" w:fill="auto"/>
          </w:tcPr>
          <w:p w14:paraId="2F098CDB" w14:textId="77777777" w:rsidR="009118ED" w:rsidDel="00E74E55" w:rsidRDefault="009118ED" w:rsidP="00811281">
            <w:pPr>
              <w:pStyle w:val="Tabletext1"/>
              <w:ind w:right="241"/>
              <w:rPr>
                <w:color w:val="000000"/>
              </w:rPr>
            </w:pPr>
            <w:r w:rsidRPr="00494564">
              <w:t>$1,888,141</w:t>
            </w:r>
          </w:p>
        </w:tc>
        <w:tc>
          <w:tcPr>
            <w:tcW w:w="635" w:type="pct"/>
            <w:tcBorders>
              <w:bottom w:val="single" w:sz="4" w:space="0" w:color="auto"/>
            </w:tcBorders>
            <w:shd w:val="clear" w:color="auto" w:fill="auto"/>
          </w:tcPr>
          <w:p w14:paraId="1C6D7558" w14:textId="77777777" w:rsidR="009118ED" w:rsidDel="00E74E55" w:rsidRDefault="009118ED" w:rsidP="00811281">
            <w:pPr>
              <w:pStyle w:val="Tabletext1"/>
              <w:ind w:right="241"/>
              <w:rPr>
                <w:color w:val="000000"/>
              </w:rPr>
            </w:pPr>
            <w:r w:rsidRPr="00494564">
              <w:t>$1,894,938</w:t>
            </w:r>
          </w:p>
        </w:tc>
        <w:tc>
          <w:tcPr>
            <w:tcW w:w="617" w:type="pct"/>
            <w:gridSpan w:val="8"/>
            <w:tcBorders>
              <w:bottom w:val="single" w:sz="4" w:space="0" w:color="auto"/>
            </w:tcBorders>
            <w:shd w:val="clear" w:color="auto" w:fill="auto"/>
          </w:tcPr>
          <w:p w14:paraId="2E3B64E5" w14:textId="77777777" w:rsidR="009118ED" w:rsidDel="00E74E55" w:rsidRDefault="009118ED" w:rsidP="00811281">
            <w:pPr>
              <w:pStyle w:val="Tabletext1"/>
              <w:ind w:right="241"/>
              <w:rPr>
                <w:color w:val="000000"/>
              </w:rPr>
            </w:pPr>
            <w:r w:rsidRPr="00494564">
              <w:t>$1,901,760</w:t>
            </w:r>
          </w:p>
        </w:tc>
      </w:tr>
    </w:tbl>
    <w:p w14:paraId="3C530FBA" w14:textId="2A3A77EB" w:rsidR="009118ED" w:rsidRPr="00E2517D" w:rsidRDefault="005C0053" w:rsidP="009118ED">
      <w:pPr>
        <w:pStyle w:val="Tablenotes0"/>
        <w:spacing w:after="240"/>
      </w:pPr>
      <w:r>
        <w:t>AMH = a</w:t>
      </w:r>
      <w:r w:rsidR="009118ED" w:rsidRPr="007A43B3">
        <w:t xml:space="preserve">nti-Müllerian hormone; </w:t>
      </w:r>
      <w:r w:rsidR="009118ED" w:rsidRPr="00E2517D">
        <w:t>MBS = Medicare Benefits Schedule</w:t>
      </w:r>
    </w:p>
    <w:p w14:paraId="598F230B" w14:textId="77777777" w:rsidR="009118ED" w:rsidRPr="00D871D2" w:rsidRDefault="009118ED" w:rsidP="009118ED">
      <w:pPr>
        <w:pStyle w:val="Heading3"/>
      </w:pPr>
      <w:bookmarkStart w:id="455" w:name="_Toc502832995"/>
      <w:r w:rsidRPr="00D871D2">
        <w:t>AMH as a replacement test</w:t>
      </w:r>
      <w:bookmarkEnd w:id="455"/>
    </w:p>
    <w:p w14:paraId="634039FB" w14:textId="3474BB94" w:rsidR="009118ED" w:rsidRDefault="009118ED" w:rsidP="009118ED">
      <w:pPr>
        <w:jc w:val="both"/>
      </w:pPr>
      <w:r w:rsidRPr="00D871D2">
        <w:t>While the application proposes that AMH test is used as an additional test to AFC and FSH+E2, if the AMH test were to replace any of the tests being performed currently, the following cost</w:t>
      </w:r>
      <w:r w:rsidR="00DF36E4">
        <w:t>-</w:t>
      </w:r>
      <w:r w:rsidRPr="00D871D2">
        <w:t>offsets per test replaced would apply to MBS expenditure (</w:t>
      </w:r>
      <w:r w:rsidRPr="00D871D2">
        <w:fldChar w:fldCharType="begin"/>
      </w:r>
      <w:r w:rsidRPr="00D871D2">
        <w:instrText xml:space="preserve"> REF _Ref497471515 \h  \* MERGEFORMAT </w:instrText>
      </w:r>
      <w:r w:rsidRPr="00D871D2">
        <w:fldChar w:fldCharType="separate"/>
      </w:r>
      <w:r w:rsidR="00AC4BE5">
        <w:t xml:space="preserve">Table </w:t>
      </w:r>
      <w:r w:rsidR="00AC4BE5">
        <w:rPr>
          <w:noProof/>
        </w:rPr>
        <w:t>73</w:t>
      </w:r>
      <w:r w:rsidRPr="00D871D2">
        <w:fldChar w:fldCharType="end"/>
      </w:r>
      <w:r w:rsidRPr="00D871D2">
        <w:t xml:space="preserve">). This would result in the net </w:t>
      </w:r>
      <w:r w:rsidRPr="00251616">
        <w:rPr>
          <w:b/>
        </w:rPr>
        <w:t>expenditure to the MBS</w:t>
      </w:r>
      <w:r w:rsidRPr="00D871D2">
        <w:t xml:space="preserve"> being reduced by approximately $68,000 per year, in the case of replacing AFC (</w:t>
      </w:r>
      <w:r w:rsidRPr="00D871D2">
        <w:fldChar w:fldCharType="begin"/>
      </w:r>
      <w:r w:rsidRPr="00D871D2">
        <w:instrText xml:space="preserve"> REF _Ref501010778 \h </w:instrText>
      </w:r>
      <w:r>
        <w:instrText xml:space="preserve"> \* MERGEFORMAT </w:instrText>
      </w:r>
      <w:r w:rsidRPr="00D871D2">
        <w:fldChar w:fldCharType="separate"/>
      </w:r>
      <w:r w:rsidR="00AC4BE5">
        <w:t xml:space="preserve">Table </w:t>
      </w:r>
      <w:r w:rsidR="00AC4BE5">
        <w:rPr>
          <w:noProof/>
        </w:rPr>
        <w:t>74</w:t>
      </w:r>
      <w:r w:rsidRPr="00D871D2">
        <w:fldChar w:fldCharType="end"/>
      </w:r>
      <w:r w:rsidRPr="00D871D2">
        <w:t xml:space="preserve">), or </w:t>
      </w:r>
      <w:r w:rsidR="00251616">
        <w:t xml:space="preserve">an </w:t>
      </w:r>
      <w:r w:rsidRPr="00D871D2">
        <w:t xml:space="preserve">increase </w:t>
      </w:r>
      <w:r w:rsidR="00251616">
        <w:t>of</w:t>
      </w:r>
      <w:r w:rsidRPr="00D871D2">
        <w:t xml:space="preserve"> $310,00 per year, if FSH+E2 tests are not referred (</w:t>
      </w:r>
      <w:r w:rsidRPr="00D871D2">
        <w:fldChar w:fldCharType="begin"/>
      </w:r>
      <w:r w:rsidRPr="00D871D2">
        <w:instrText xml:space="preserve"> REF _Ref501010793 \h </w:instrText>
      </w:r>
      <w:r>
        <w:instrText xml:space="preserve"> \* MERGEFORMAT </w:instrText>
      </w:r>
      <w:r w:rsidRPr="00D871D2">
        <w:fldChar w:fldCharType="separate"/>
      </w:r>
      <w:r w:rsidR="00AC4BE5">
        <w:t xml:space="preserve">Table </w:t>
      </w:r>
      <w:r w:rsidR="00AC4BE5">
        <w:rPr>
          <w:noProof/>
        </w:rPr>
        <w:t>75</w:t>
      </w:r>
      <w:r w:rsidRPr="00D871D2">
        <w:fldChar w:fldCharType="end"/>
      </w:r>
      <w:r w:rsidRPr="00D871D2">
        <w:t>).</w:t>
      </w:r>
    </w:p>
    <w:p w14:paraId="31FD3BFC" w14:textId="5EFBF9F0" w:rsidR="009118ED" w:rsidRDefault="009118ED" w:rsidP="009118ED">
      <w:pPr>
        <w:pStyle w:val="Caption"/>
        <w:keepNext/>
      </w:pPr>
      <w:bookmarkStart w:id="456" w:name="_Ref497471515"/>
      <w:bookmarkStart w:id="457" w:name="_Toc502833091"/>
      <w:r>
        <w:t xml:space="preserve">Table </w:t>
      </w:r>
      <w:r w:rsidR="00AC4BE5">
        <w:fldChar w:fldCharType="begin"/>
      </w:r>
      <w:r w:rsidR="00AC4BE5">
        <w:instrText xml:space="preserve"> SEQ Table \* ARABIC </w:instrText>
      </w:r>
      <w:r w:rsidR="00AC4BE5">
        <w:fldChar w:fldCharType="separate"/>
      </w:r>
      <w:r w:rsidR="00AC4BE5">
        <w:rPr>
          <w:noProof/>
        </w:rPr>
        <w:t>73</w:t>
      </w:r>
      <w:r w:rsidR="00AC4BE5">
        <w:rPr>
          <w:noProof/>
        </w:rPr>
        <w:fldChar w:fldCharType="end"/>
      </w:r>
      <w:bookmarkEnd w:id="456"/>
      <w:r>
        <w:tab/>
        <w:t>Scenario analyses, potential cost</w:t>
      </w:r>
      <w:r w:rsidR="00DF36E4">
        <w:t>-</w:t>
      </w:r>
      <w:r>
        <w:t>offsets per test to MBS expenditure, if AMH is a replacement test</w:t>
      </w:r>
      <w:bookmarkEnd w:id="457"/>
    </w:p>
    <w:tbl>
      <w:tblPr>
        <w:tblStyle w:val="TableGrid"/>
        <w:tblW w:w="5000" w:type="pct"/>
        <w:tblLook w:val="04A0" w:firstRow="1" w:lastRow="0" w:firstColumn="1" w:lastColumn="0" w:noHBand="0" w:noVBand="1"/>
        <w:tblCaption w:val="Scenario analyses, potential cost offsets per test to MBS, if AMH is a replacement test"/>
        <w:tblDescription w:val="Scenario analyses, potential cost offsets per test to MBS, if AMH is a replacement test"/>
      </w:tblPr>
      <w:tblGrid>
        <w:gridCol w:w="1157"/>
        <w:gridCol w:w="1309"/>
        <w:gridCol w:w="6776"/>
      </w:tblGrid>
      <w:tr w:rsidR="009118ED" w14:paraId="644EDB31" w14:textId="77777777" w:rsidTr="003929ED">
        <w:trPr>
          <w:tblHeader/>
        </w:trPr>
        <w:tc>
          <w:tcPr>
            <w:tcW w:w="626" w:type="pct"/>
          </w:tcPr>
          <w:p w14:paraId="5AF2F84E" w14:textId="77777777" w:rsidR="009118ED" w:rsidRPr="00260996" w:rsidRDefault="009118ED" w:rsidP="00260996">
            <w:pPr>
              <w:pStyle w:val="TableText0"/>
              <w:ind w:left="0"/>
              <w:rPr>
                <w:b/>
                <w:color w:val="FFFFFF" w:themeColor="background1"/>
              </w:rPr>
            </w:pPr>
            <w:r w:rsidRPr="00260996">
              <w:rPr>
                <w:b/>
              </w:rPr>
              <w:t>Tests</w:t>
            </w:r>
          </w:p>
        </w:tc>
        <w:tc>
          <w:tcPr>
            <w:tcW w:w="708" w:type="pct"/>
          </w:tcPr>
          <w:p w14:paraId="362CA64C" w14:textId="3AD775A5" w:rsidR="009118ED" w:rsidRPr="00260996" w:rsidRDefault="009118ED" w:rsidP="00260996">
            <w:pPr>
              <w:pStyle w:val="TableText0"/>
              <w:ind w:left="0"/>
              <w:rPr>
                <w:b/>
                <w:vertAlign w:val="superscript"/>
              </w:rPr>
            </w:pPr>
            <w:r w:rsidRPr="00260996">
              <w:rPr>
                <w:b/>
              </w:rPr>
              <w:t>Cost</w:t>
            </w:r>
            <w:r w:rsidR="00DF36E4">
              <w:rPr>
                <w:b/>
              </w:rPr>
              <w:t>-</w:t>
            </w:r>
            <w:r w:rsidRPr="00260996">
              <w:rPr>
                <w:b/>
              </w:rPr>
              <w:t>offsets</w:t>
            </w:r>
          </w:p>
        </w:tc>
        <w:tc>
          <w:tcPr>
            <w:tcW w:w="3666" w:type="pct"/>
          </w:tcPr>
          <w:p w14:paraId="69F482E8" w14:textId="77777777" w:rsidR="009118ED" w:rsidRPr="00260996" w:rsidRDefault="009118ED" w:rsidP="00260996">
            <w:pPr>
              <w:pStyle w:val="TableText0"/>
              <w:ind w:left="0"/>
              <w:rPr>
                <w:b/>
              </w:rPr>
            </w:pPr>
            <w:r w:rsidRPr="00260996">
              <w:rPr>
                <w:b/>
              </w:rPr>
              <w:t>Source</w:t>
            </w:r>
          </w:p>
        </w:tc>
      </w:tr>
      <w:tr w:rsidR="009118ED" w14:paraId="48C9B723" w14:textId="77777777" w:rsidTr="003929ED">
        <w:tc>
          <w:tcPr>
            <w:tcW w:w="626" w:type="pct"/>
          </w:tcPr>
          <w:p w14:paraId="403BC9A2" w14:textId="77777777" w:rsidR="009118ED" w:rsidRDefault="009118ED" w:rsidP="00811281">
            <w:pPr>
              <w:pStyle w:val="Tabletext1"/>
              <w:ind w:left="0"/>
              <w:rPr>
                <w:lang w:eastAsia="en-US"/>
              </w:rPr>
            </w:pPr>
            <w:r>
              <w:t>AFC</w:t>
            </w:r>
          </w:p>
        </w:tc>
        <w:tc>
          <w:tcPr>
            <w:tcW w:w="708" w:type="pct"/>
          </w:tcPr>
          <w:p w14:paraId="50B315BB" w14:textId="77777777" w:rsidR="009118ED" w:rsidRPr="00031338" w:rsidRDefault="009118ED" w:rsidP="00811281">
            <w:pPr>
              <w:pStyle w:val="Tabletext1"/>
              <w:ind w:left="0"/>
            </w:pPr>
            <w:r w:rsidRPr="005B6207">
              <w:t>$</w:t>
            </w:r>
            <w:r>
              <w:t>95</w:t>
            </w:r>
          </w:p>
        </w:tc>
        <w:tc>
          <w:tcPr>
            <w:tcW w:w="3666" w:type="pct"/>
          </w:tcPr>
          <w:p w14:paraId="01558486" w14:textId="74C9D9AA" w:rsidR="009118ED" w:rsidRDefault="009118ED" w:rsidP="00811281">
            <w:pPr>
              <w:pStyle w:val="Tabletext1"/>
              <w:ind w:left="0"/>
            </w:pPr>
            <w:r w:rsidRPr="005B6207">
              <w:rPr>
                <w:color w:val="000000"/>
              </w:rPr>
              <w:t xml:space="preserve">Average </w:t>
            </w:r>
            <w:r>
              <w:rPr>
                <w:color w:val="000000"/>
              </w:rPr>
              <w:t>benefits paid</w:t>
            </w:r>
            <w:r w:rsidRPr="005B6207">
              <w:rPr>
                <w:color w:val="000000"/>
              </w:rPr>
              <w:t xml:space="preserve"> for MBS item 55</w:t>
            </w:r>
            <w:r>
              <w:rPr>
                <w:color w:val="000000"/>
              </w:rPr>
              <w:t>065</w:t>
            </w:r>
            <w:r w:rsidRPr="005B6207">
              <w:rPr>
                <w:color w:val="000000"/>
              </w:rPr>
              <w:t>, July 20</w:t>
            </w:r>
            <w:r>
              <w:rPr>
                <w:color w:val="000000"/>
              </w:rPr>
              <w:t>11</w:t>
            </w:r>
            <w:r w:rsidR="00251616">
              <w:rPr>
                <w:color w:val="000000"/>
              </w:rPr>
              <w:t>–</w:t>
            </w:r>
            <w:r w:rsidRPr="005B6207">
              <w:rPr>
                <w:color w:val="000000"/>
              </w:rPr>
              <w:t>June 201</w:t>
            </w:r>
            <w:r>
              <w:rPr>
                <w:color w:val="000000"/>
              </w:rPr>
              <w:t>6</w:t>
            </w:r>
            <w:r>
              <w:rPr>
                <w:color w:val="000000"/>
                <w:vertAlign w:val="superscript"/>
              </w:rPr>
              <w:t>1</w:t>
            </w:r>
          </w:p>
        </w:tc>
      </w:tr>
      <w:tr w:rsidR="009118ED" w14:paraId="3CBACEC6" w14:textId="77777777" w:rsidTr="003929ED">
        <w:tc>
          <w:tcPr>
            <w:tcW w:w="626" w:type="pct"/>
          </w:tcPr>
          <w:p w14:paraId="7D8384DE" w14:textId="77777777" w:rsidR="009118ED" w:rsidRDefault="009118ED" w:rsidP="00811281">
            <w:pPr>
              <w:pStyle w:val="Tabletext1"/>
              <w:ind w:left="0"/>
              <w:rPr>
                <w:lang w:eastAsia="en-US"/>
              </w:rPr>
            </w:pPr>
            <w:r>
              <w:t>FSH+E2</w:t>
            </w:r>
          </w:p>
        </w:tc>
        <w:tc>
          <w:tcPr>
            <w:tcW w:w="708" w:type="pct"/>
          </w:tcPr>
          <w:p w14:paraId="398D2512" w14:textId="77777777" w:rsidR="009118ED" w:rsidRDefault="009118ED" w:rsidP="00811281">
            <w:pPr>
              <w:pStyle w:val="Tabletext1"/>
              <w:ind w:left="0"/>
            </w:pPr>
            <w:r w:rsidRPr="007D0F76">
              <w:t>$</w:t>
            </w:r>
            <w:r>
              <w:t>49</w:t>
            </w:r>
          </w:p>
        </w:tc>
        <w:tc>
          <w:tcPr>
            <w:tcW w:w="3666" w:type="pct"/>
          </w:tcPr>
          <w:p w14:paraId="76D3F715" w14:textId="4E77A543" w:rsidR="009118ED" w:rsidRDefault="009118ED" w:rsidP="00811281">
            <w:pPr>
              <w:pStyle w:val="Tabletext1"/>
              <w:ind w:left="0"/>
            </w:pPr>
            <w:r w:rsidRPr="007D0F76">
              <w:rPr>
                <w:color w:val="000000"/>
              </w:rPr>
              <w:t xml:space="preserve">Average </w:t>
            </w:r>
            <w:r>
              <w:rPr>
                <w:color w:val="000000"/>
              </w:rPr>
              <w:t>benefits paid</w:t>
            </w:r>
            <w:r w:rsidRPr="005B6207">
              <w:rPr>
                <w:color w:val="000000"/>
              </w:rPr>
              <w:t xml:space="preserve"> </w:t>
            </w:r>
            <w:r w:rsidRPr="007D0F76">
              <w:rPr>
                <w:color w:val="000000"/>
              </w:rPr>
              <w:t>for MBS item 6</w:t>
            </w:r>
            <w:r>
              <w:rPr>
                <w:color w:val="000000"/>
              </w:rPr>
              <w:t>6701</w:t>
            </w:r>
            <w:r w:rsidRPr="007D0F76">
              <w:rPr>
                <w:color w:val="000000"/>
              </w:rPr>
              <w:t>, July 20</w:t>
            </w:r>
            <w:r>
              <w:rPr>
                <w:color w:val="000000"/>
              </w:rPr>
              <w:t>11</w:t>
            </w:r>
            <w:r w:rsidR="00251616">
              <w:rPr>
                <w:color w:val="000000"/>
              </w:rPr>
              <w:t>–</w:t>
            </w:r>
            <w:r w:rsidRPr="007D0F76">
              <w:rPr>
                <w:color w:val="000000"/>
              </w:rPr>
              <w:t>June 201</w:t>
            </w:r>
            <w:r>
              <w:rPr>
                <w:color w:val="000000"/>
              </w:rPr>
              <w:t>6</w:t>
            </w:r>
            <w:r>
              <w:rPr>
                <w:color w:val="000000"/>
                <w:vertAlign w:val="superscript"/>
              </w:rPr>
              <w:t>1</w:t>
            </w:r>
          </w:p>
        </w:tc>
      </w:tr>
    </w:tbl>
    <w:p w14:paraId="14336535" w14:textId="047CBD23" w:rsidR="009118ED" w:rsidRDefault="00251616" w:rsidP="00251616">
      <w:pPr>
        <w:pStyle w:val="TableNotes1"/>
        <w:spacing w:after="0"/>
        <w:rPr>
          <w:sz w:val="18"/>
          <w:szCs w:val="18"/>
        </w:rPr>
      </w:pPr>
      <w:r>
        <w:rPr>
          <w:sz w:val="18"/>
          <w:szCs w:val="18"/>
        </w:rPr>
        <w:t>AMH = a</w:t>
      </w:r>
      <w:r w:rsidR="009118ED" w:rsidRPr="00251616">
        <w:rPr>
          <w:sz w:val="18"/>
          <w:szCs w:val="18"/>
        </w:rPr>
        <w:t>nti-Müllerian hormone; AFC = antral follicle count; E2 = estradiol; FSH = follicle</w:t>
      </w:r>
      <w:r w:rsidR="00DE6DD5">
        <w:rPr>
          <w:sz w:val="18"/>
          <w:szCs w:val="18"/>
        </w:rPr>
        <w:t>-</w:t>
      </w:r>
      <w:r w:rsidR="009118ED" w:rsidRPr="00251616">
        <w:rPr>
          <w:sz w:val="18"/>
          <w:szCs w:val="18"/>
        </w:rPr>
        <w:t>stimulating hormone; MBS = Medicare Benefits Schedule</w:t>
      </w:r>
    </w:p>
    <w:p w14:paraId="0A97D991" w14:textId="10016FB1" w:rsidR="00251616" w:rsidRPr="00251616" w:rsidRDefault="00251616" w:rsidP="00251616">
      <w:pPr>
        <w:pStyle w:val="TableNotes1"/>
        <w:rPr>
          <w:sz w:val="18"/>
          <w:szCs w:val="18"/>
        </w:rPr>
      </w:pPr>
      <w:r w:rsidRPr="00251616">
        <w:rPr>
          <w:sz w:val="18"/>
          <w:szCs w:val="18"/>
          <w:vertAlign w:val="superscript"/>
        </w:rPr>
        <w:t xml:space="preserve">1 </w:t>
      </w:r>
      <w:r w:rsidRPr="00251616">
        <w:rPr>
          <w:sz w:val="18"/>
          <w:szCs w:val="18"/>
        </w:rPr>
        <w:t xml:space="preserve">Data provided by the Medical Benefits Division, </w:t>
      </w:r>
      <w:r w:rsidR="009B4DBD">
        <w:rPr>
          <w:sz w:val="18"/>
          <w:szCs w:val="18"/>
        </w:rPr>
        <w:t xml:space="preserve">Australian Government </w:t>
      </w:r>
      <w:r>
        <w:rPr>
          <w:sz w:val="18"/>
          <w:szCs w:val="18"/>
        </w:rPr>
        <w:t>Department of Health.</w:t>
      </w:r>
    </w:p>
    <w:p w14:paraId="12BE5AAE" w14:textId="796AA42E" w:rsidR="009118ED" w:rsidRDefault="009118ED" w:rsidP="009118ED">
      <w:pPr>
        <w:pStyle w:val="Caption"/>
        <w:keepNext/>
      </w:pPr>
      <w:bookmarkStart w:id="458" w:name="_Ref501010778"/>
      <w:bookmarkStart w:id="459" w:name="_Toc502833092"/>
      <w:r>
        <w:lastRenderedPageBreak/>
        <w:t xml:space="preserve">Table </w:t>
      </w:r>
      <w:r w:rsidR="00AC4BE5">
        <w:fldChar w:fldCharType="begin"/>
      </w:r>
      <w:r w:rsidR="00AC4BE5">
        <w:instrText xml:space="preserve"> SEQ Table \* ARABIC </w:instrText>
      </w:r>
      <w:r w:rsidR="00AC4BE5">
        <w:fldChar w:fldCharType="separate"/>
      </w:r>
      <w:r w:rsidR="00AC4BE5">
        <w:rPr>
          <w:noProof/>
        </w:rPr>
        <w:t>74</w:t>
      </w:r>
      <w:r w:rsidR="00AC4BE5">
        <w:rPr>
          <w:noProof/>
        </w:rPr>
        <w:fldChar w:fldCharType="end"/>
      </w:r>
      <w:bookmarkEnd w:id="458"/>
      <w:r>
        <w:tab/>
        <w:t>Scenario analyses, potential cost</w:t>
      </w:r>
      <w:r w:rsidR="00DF36E4">
        <w:t>-</w:t>
      </w:r>
      <w:r>
        <w:t>offsets to MBS expenditure, if AMH is a replacement test for AFC</w:t>
      </w:r>
      <w:bookmarkEnd w:id="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Financial implications of MBS listing the AMH test; sensitivity analysis varying uptake rate"/>
        <w:tblDescription w:val="Financial implications of MBS listing the AMH test; sensitivity analysis varying uptake rate"/>
      </w:tblPr>
      <w:tblGrid>
        <w:gridCol w:w="3338"/>
        <w:gridCol w:w="1170"/>
        <w:gridCol w:w="1150"/>
        <w:gridCol w:w="1150"/>
        <w:gridCol w:w="1153"/>
        <w:gridCol w:w="1121"/>
      </w:tblGrid>
      <w:tr w:rsidR="009118ED" w:rsidRPr="00475AF8" w14:paraId="4A8C7FAC" w14:textId="77777777" w:rsidTr="003929ED">
        <w:trPr>
          <w:trHeight w:val="300"/>
          <w:tblHeader/>
        </w:trPr>
        <w:tc>
          <w:tcPr>
            <w:tcW w:w="1837" w:type="pct"/>
            <w:tcBorders>
              <w:bottom w:val="single" w:sz="4" w:space="0" w:color="auto"/>
            </w:tcBorders>
            <w:shd w:val="clear" w:color="auto" w:fill="auto"/>
            <w:vAlign w:val="center"/>
          </w:tcPr>
          <w:p w14:paraId="2BA97012" w14:textId="311B8469" w:rsidR="009118ED" w:rsidRPr="00475AF8" w:rsidRDefault="00811281" w:rsidP="00D60574">
            <w:pPr>
              <w:pStyle w:val="Tabletext1"/>
              <w:rPr>
                <w:b/>
              </w:rPr>
            </w:pPr>
            <w:r>
              <w:rPr>
                <w:b/>
              </w:rPr>
              <w:t> </w:t>
            </w:r>
          </w:p>
        </w:tc>
        <w:tc>
          <w:tcPr>
            <w:tcW w:w="644" w:type="pct"/>
            <w:tcBorders>
              <w:bottom w:val="single" w:sz="4" w:space="0" w:color="auto"/>
            </w:tcBorders>
            <w:vAlign w:val="bottom"/>
          </w:tcPr>
          <w:p w14:paraId="1E3D387C" w14:textId="77777777" w:rsidR="009118ED" w:rsidRPr="00475AF8" w:rsidRDefault="009118ED" w:rsidP="00D60574">
            <w:pPr>
              <w:pStyle w:val="Tabletext1"/>
              <w:rPr>
                <w:b/>
              </w:rPr>
            </w:pPr>
            <w:r w:rsidRPr="00475AF8">
              <w:rPr>
                <w:b/>
                <w:bCs/>
                <w:color w:val="000000"/>
              </w:rPr>
              <w:t>Year 1</w:t>
            </w:r>
          </w:p>
        </w:tc>
        <w:tc>
          <w:tcPr>
            <w:tcW w:w="633" w:type="pct"/>
            <w:tcBorders>
              <w:bottom w:val="single" w:sz="4" w:space="0" w:color="auto"/>
            </w:tcBorders>
            <w:shd w:val="clear" w:color="auto" w:fill="auto"/>
            <w:vAlign w:val="bottom"/>
          </w:tcPr>
          <w:p w14:paraId="2DACADA3" w14:textId="77777777" w:rsidR="009118ED" w:rsidRPr="00475AF8" w:rsidRDefault="009118ED" w:rsidP="00D60574">
            <w:pPr>
              <w:pStyle w:val="Tabletext1"/>
              <w:rPr>
                <w:b/>
              </w:rPr>
            </w:pPr>
            <w:r w:rsidRPr="00475AF8">
              <w:rPr>
                <w:b/>
                <w:bCs/>
                <w:color w:val="000000"/>
              </w:rPr>
              <w:t>Year 2</w:t>
            </w:r>
          </w:p>
        </w:tc>
        <w:tc>
          <w:tcPr>
            <w:tcW w:w="633" w:type="pct"/>
            <w:tcBorders>
              <w:bottom w:val="single" w:sz="4" w:space="0" w:color="auto"/>
            </w:tcBorders>
            <w:shd w:val="clear" w:color="auto" w:fill="auto"/>
            <w:vAlign w:val="bottom"/>
          </w:tcPr>
          <w:p w14:paraId="548E0FB8" w14:textId="77777777" w:rsidR="009118ED" w:rsidRPr="00475AF8" w:rsidRDefault="009118ED" w:rsidP="00D60574">
            <w:pPr>
              <w:pStyle w:val="Tabletext1"/>
              <w:rPr>
                <w:b/>
              </w:rPr>
            </w:pPr>
            <w:r w:rsidRPr="00475AF8">
              <w:rPr>
                <w:b/>
                <w:bCs/>
                <w:color w:val="000000"/>
              </w:rPr>
              <w:t>Year 3</w:t>
            </w:r>
          </w:p>
        </w:tc>
        <w:tc>
          <w:tcPr>
            <w:tcW w:w="635" w:type="pct"/>
            <w:tcBorders>
              <w:bottom w:val="single" w:sz="4" w:space="0" w:color="auto"/>
            </w:tcBorders>
            <w:shd w:val="clear" w:color="auto" w:fill="auto"/>
            <w:vAlign w:val="bottom"/>
          </w:tcPr>
          <w:p w14:paraId="68FDE6F3" w14:textId="77777777" w:rsidR="009118ED" w:rsidRPr="00475AF8" w:rsidRDefault="009118ED" w:rsidP="00D60574">
            <w:pPr>
              <w:pStyle w:val="Tabletext1"/>
              <w:rPr>
                <w:b/>
              </w:rPr>
            </w:pPr>
            <w:r w:rsidRPr="00475AF8">
              <w:rPr>
                <w:b/>
                <w:bCs/>
                <w:color w:val="000000"/>
              </w:rPr>
              <w:t>Year 4</w:t>
            </w:r>
          </w:p>
        </w:tc>
        <w:tc>
          <w:tcPr>
            <w:tcW w:w="617" w:type="pct"/>
            <w:tcBorders>
              <w:bottom w:val="single" w:sz="4" w:space="0" w:color="auto"/>
            </w:tcBorders>
            <w:shd w:val="clear" w:color="auto" w:fill="auto"/>
            <w:vAlign w:val="bottom"/>
          </w:tcPr>
          <w:p w14:paraId="6F91E1B3" w14:textId="77777777" w:rsidR="009118ED" w:rsidRPr="00475AF8" w:rsidRDefault="009118ED" w:rsidP="00D60574">
            <w:pPr>
              <w:pStyle w:val="Tabletext1"/>
              <w:rPr>
                <w:b/>
              </w:rPr>
            </w:pPr>
            <w:r w:rsidRPr="00475AF8">
              <w:rPr>
                <w:b/>
                <w:bCs/>
                <w:color w:val="000000"/>
              </w:rPr>
              <w:t>Year 5</w:t>
            </w:r>
          </w:p>
        </w:tc>
      </w:tr>
      <w:tr w:rsidR="009118ED" w:rsidRPr="00F84469" w14:paraId="121B6F8D" w14:textId="77777777" w:rsidTr="003929ED">
        <w:trPr>
          <w:trHeight w:val="300"/>
        </w:trPr>
        <w:tc>
          <w:tcPr>
            <w:tcW w:w="1837" w:type="pct"/>
            <w:tcBorders>
              <w:right w:val="single" w:sz="4" w:space="0" w:color="auto"/>
            </w:tcBorders>
            <w:shd w:val="clear" w:color="auto" w:fill="auto"/>
          </w:tcPr>
          <w:p w14:paraId="0B0AB5D7" w14:textId="77777777" w:rsidR="009118ED" w:rsidRPr="00F84469" w:rsidRDefault="009118ED" w:rsidP="00D60574">
            <w:pPr>
              <w:pStyle w:val="Tabletext1"/>
              <w:rPr>
                <w:rFonts w:cs="Times New Roman"/>
                <w:bCs/>
                <w:color w:val="000000"/>
              </w:rPr>
            </w:pPr>
            <w:r w:rsidRPr="00F84469">
              <w:rPr>
                <w:bCs/>
                <w:color w:val="000000"/>
              </w:rPr>
              <w:t>Projected number of AMH tests</w:t>
            </w:r>
          </w:p>
        </w:tc>
        <w:tc>
          <w:tcPr>
            <w:tcW w:w="644" w:type="pct"/>
            <w:tcBorders>
              <w:left w:val="single" w:sz="4" w:space="0" w:color="auto"/>
              <w:right w:val="single" w:sz="4" w:space="0" w:color="auto"/>
            </w:tcBorders>
            <w:vAlign w:val="center"/>
          </w:tcPr>
          <w:p w14:paraId="34EEB01B" w14:textId="77777777" w:rsidR="009118ED" w:rsidRPr="00824156" w:rsidRDefault="009118ED" w:rsidP="00D60574">
            <w:pPr>
              <w:pStyle w:val="Tabletext1"/>
            </w:pPr>
            <w:r w:rsidRPr="00F84469">
              <w:rPr>
                <w:color w:val="000000"/>
              </w:rPr>
              <w:t>6,682</w:t>
            </w:r>
          </w:p>
        </w:tc>
        <w:tc>
          <w:tcPr>
            <w:tcW w:w="633" w:type="pct"/>
            <w:tcBorders>
              <w:left w:val="single" w:sz="4" w:space="0" w:color="auto"/>
              <w:right w:val="single" w:sz="4" w:space="0" w:color="auto"/>
            </w:tcBorders>
            <w:shd w:val="clear" w:color="auto" w:fill="auto"/>
            <w:vAlign w:val="center"/>
          </w:tcPr>
          <w:p w14:paraId="43E6BBB9" w14:textId="77777777" w:rsidR="009118ED" w:rsidRPr="00824156" w:rsidRDefault="009118ED" w:rsidP="00D60574">
            <w:pPr>
              <w:pStyle w:val="Tabletext1"/>
            </w:pPr>
            <w:r w:rsidRPr="00F84469">
              <w:rPr>
                <w:color w:val="000000"/>
              </w:rPr>
              <w:t>6,706</w:t>
            </w:r>
          </w:p>
        </w:tc>
        <w:tc>
          <w:tcPr>
            <w:tcW w:w="633" w:type="pct"/>
            <w:tcBorders>
              <w:left w:val="single" w:sz="4" w:space="0" w:color="auto"/>
              <w:right w:val="single" w:sz="4" w:space="0" w:color="auto"/>
            </w:tcBorders>
            <w:shd w:val="clear" w:color="auto" w:fill="auto"/>
            <w:vAlign w:val="center"/>
          </w:tcPr>
          <w:p w14:paraId="05BC7FBA" w14:textId="77777777" w:rsidR="009118ED" w:rsidRPr="00824156" w:rsidRDefault="009118ED" w:rsidP="00D60574">
            <w:pPr>
              <w:pStyle w:val="Tabletext1"/>
            </w:pPr>
            <w:r w:rsidRPr="00F84469">
              <w:rPr>
                <w:color w:val="000000"/>
              </w:rPr>
              <w:t>6,730</w:t>
            </w:r>
          </w:p>
        </w:tc>
        <w:tc>
          <w:tcPr>
            <w:tcW w:w="635" w:type="pct"/>
            <w:tcBorders>
              <w:left w:val="single" w:sz="4" w:space="0" w:color="auto"/>
              <w:right w:val="single" w:sz="4" w:space="0" w:color="auto"/>
            </w:tcBorders>
            <w:shd w:val="clear" w:color="auto" w:fill="auto"/>
            <w:vAlign w:val="center"/>
          </w:tcPr>
          <w:p w14:paraId="2B7CBC0B" w14:textId="77777777" w:rsidR="009118ED" w:rsidRPr="00824156" w:rsidRDefault="009118ED" w:rsidP="00D60574">
            <w:pPr>
              <w:pStyle w:val="Tabletext1"/>
            </w:pPr>
            <w:r w:rsidRPr="00F84469">
              <w:rPr>
                <w:color w:val="000000"/>
              </w:rPr>
              <w:t>6,754</w:t>
            </w:r>
          </w:p>
        </w:tc>
        <w:tc>
          <w:tcPr>
            <w:tcW w:w="617" w:type="pct"/>
            <w:tcBorders>
              <w:left w:val="single" w:sz="4" w:space="0" w:color="auto"/>
            </w:tcBorders>
            <w:shd w:val="clear" w:color="auto" w:fill="auto"/>
            <w:vAlign w:val="center"/>
          </w:tcPr>
          <w:p w14:paraId="6B46B1AF" w14:textId="77777777" w:rsidR="009118ED" w:rsidRPr="00824156" w:rsidRDefault="009118ED" w:rsidP="00D60574">
            <w:pPr>
              <w:pStyle w:val="Tabletext1"/>
            </w:pPr>
            <w:r w:rsidRPr="00F84469">
              <w:rPr>
                <w:color w:val="000000"/>
              </w:rPr>
              <w:t>6,779</w:t>
            </w:r>
          </w:p>
        </w:tc>
      </w:tr>
      <w:tr w:rsidR="009118ED" w:rsidRPr="00F84469" w14:paraId="2D62FEB9" w14:textId="77777777" w:rsidTr="003929ED">
        <w:trPr>
          <w:trHeight w:val="300"/>
        </w:trPr>
        <w:tc>
          <w:tcPr>
            <w:tcW w:w="1837" w:type="pct"/>
            <w:shd w:val="clear" w:color="auto" w:fill="auto"/>
            <w:vAlign w:val="center"/>
          </w:tcPr>
          <w:p w14:paraId="41933A22" w14:textId="77777777" w:rsidR="009118ED" w:rsidRPr="00F84469" w:rsidRDefault="009118ED" w:rsidP="00D60574">
            <w:pPr>
              <w:pStyle w:val="Tabletext1"/>
            </w:pPr>
            <w:r w:rsidRPr="00F84469">
              <w:rPr>
                <w:bCs/>
                <w:color w:val="000000"/>
              </w:rPr>
              <w:t>Cost of AMH testing to MBS</w:t>
            </w:r>
          </w:p>
        </w:tc>
        <w:tc>
          <w:tcPr>
            <w:tcW w:w="644" w:type="pct"/>
            <w:vAlign w:val="center"/>
          </w:tcPr>
          <w:p w14:paraId="4829EFE3" w14:textId="77777777" w:rsidR="009118ED" w:rsidRPr="00F84469" w:rsidRDefault="009118ED" w:rsidP="00D60574">
            <w:pPr>
              <w:pStyle w:val="Tabletext1"/>
            </w:pPr>
            <w:r w:rsidRPr="00F84469">
              <w:rPr>
                <w:bCs/>
                <w:color w:val="000000"/>
              </w:rPr>
              <w:t>$567,961</w:t>
            </w:r>
          </w:p>
        </w:tc>
        <w:tc>
          <w:tcPr>
            <w:tcW w:w="633" w:type="pct"/>
            <w:shd w:val="clear" w:color="auto" w:fill="auto"/>
            <w:vAlign w:val="center"/>
          </w:tcPr>
          <w:p w14:paraId="0BE4A086" w14:textId="77777777" w:rsidR="009118ED" w:rsidRPr="00F84469" w:rsidRDefault="009118ED" w:rsidP="00D60574">
            <w:pPr>
              <w:pStyle w:val="Tabletext1"/>
            </w:pPr>
            <w:r w:rsidRPr="00F84469">
              <w:rPr>
                <w:bCs/>
                <w:color w:val="000000"/>
              </w:rPr>
              <w:t>$570,005</w:t>
            </w:r>
          </w:p>
        </w:tc>
        <w:tc>
          <w:tcPr>
            <w:tcW w:w="633" w:type="pct"/>
            <w:shd w:val="clear" w:color="auto" w:fill="auto"/>
            <w:vAlign w:val="center"/>
          </w:tcPr>
          <w:p w14:paraId="5CEEEBFA" w14:textId="77777777" w:rsidR="009118ED" w:rsidRPr="00F84469" w:rsidRDefault="009118ED" w:rsidP="00D60574">
            <w:pPr>
              <w:pStyle w:val="Tabletext1"/>
            </w:pPr>
            <w:r w:rsidRPr="00F84469">
              <w:rPr>
                <w:bCs/>
                <w:color w:val="000000"/>
              </w:rPr>
              <w:t>$572,057</w:t>
            </w:r>
          </w:p>
        </w:tc>
        <w:tc>
          <w:tcPr>
            <w:tcW w:w="635" w:type="pct"/>
            <w:shd w:val="clear" w:color="auto" w:fill="auto"/>
            <w:vAlign w:val="center"/>
          </w:tcPr>
          <w:p w14:paraId="54DFB19B" w14:textId="77777777" w:rsidR="009118ED" w:rsidRPr="00F84469" w:rsidRDefault="009118ED" w:rsidP="00D60574">
            <w:pPr>
              <w:pStyle w:val="Tabletext1"/>
            </w:pPr>
            <w:r w:rsidRPr="00F84469">
              <w:rPr>
                <w:bCs/>
                <w:color w:val="000000"/>
              </w:rPr>
              <w:t>$574,117</w:t>
            </w:r>
          </w:p>
        </w:tc>
        <w:tc>
          <w:tcPr>
            <w:tcW w:w="617" w:type="pct"/>
            <w:shd w:val="clear" w:color="auto" w:fill="auto"/>
            <w:vAlign w:val="center"/>
          </w:tcPr>
          <w:p w14:paraId="24AD74B5" w14:textId="77777777" w:rsidR="009118ED" w:rsidRPr="00F84469" w:rsidRDefault="009118ED" w:rsidP="00D60574">
            <w:pPr>
              <w:pStyle w:val="Tabletext1"/>
            </w:pPr>
            <w:r w:rsidRPr="00F84469">
              <w:rPr>
                <w:bCs/>
                <w:color w:val="000000"/>
              </w:rPr>
              <w:t>$576,184</w:t>
            </w:r>
          </w:p>
        </w:tc>
      </w:tr>
      <w:tr w:rsidR="009118ED" w:rsidRPr="00257C45" w14:paraId="7FF9368D" w14:textId="77777777" w:rsidTr="003929ED">
        <w:trPr>
          <w:trHeight w:val="300"/>
        </w:trPr>
        <w:tc>
          <w:tcPr>
            <w:tcW w:w="1837" w:type="pct"/>
            <w:shd w:val="clear" w:color="auto" w:fill="auto"/>
            <w:vAlign w:val="center"/>
          </w:tcPr>
          <w:p w14:paraId="49D2D72C" w14:textId="77777777" w:rsidR="009118ED" w:rsidRPr="00F84469" w:rsidRDefault="009118ED" w:rsidP="00D60574">
            <w:pPr>
              <w:pStyle w:val="Tabletext1"/>
              <w:rPr>
                <w:rFonts w:cs="Times New Roman"/>
                <w:color w:val="000000"/>
              </w:rPr>
            </w:pPr>
            <w:r>
              <w:rPr>
                <w:color w:val="000000"/>
              </w:rPr>
              <w:t>Cost of AFC test to MBS</w:t>
            </w:r>
          </w:p>
        </w:tc>
        <w:tc>
          <w:tcPr>
            <w:tcW w:w="644" w:type="pct"/>
            <w:vAlign w:val="center"/>
          </w:tcPr>
          <w:p w14:paraId="38959644" w14:textId="77777777" w:rsidR="009118ED" w:rsidRPr="00F84469" w:rsidRDefault="009118ED" w:rsidP="00D60574">
            <w:pPr>
              <w:pStyle w:val="Tabletext1"/>
              <w:rPr>
                <w:bCs/>
                <w:color w:val="000000"/>
              </w:rPr>
            </w:pPr>
            <w:r w:rsidRPr="00F84469">
              <w:rPr>
                <w:color w:val="000000"/>
              </w:rPr>
              <w:t>$634,780</w:t>
            </w:r>
          </w:p>
        </w:tc>
        <w:tc>
          <w:tcPr>
            <w:tcW w:w="633" w:type="pct"/>
            <w:shd w:val="clear" w:color="auto" w:fill="auto"/>
            <w:vAlign w:val="center"/>
          </w:tcPr>
          <w:p w14:paraId="5DB27C07" w14:textId="77777777" w:rsidR="009118ED" w:rsidRPr="00F84469" w:rsidRDefault="009118ED" w:rsidP="00D60574">
            <w:pPr>
              <w:pStyle w:val="Tabletext1"/>
              <w:rPr>
                <w:bCs/>
                <w:color w:val="000000"/>
              </w:rPr>
            </w:pPr>
            <w:r w:rsidRPr="00F84469">
              <w:rPr>
                <w:color w:val="000000"/>
              </w:rPr>
              <w:t>$637,065</w:t>
            </w:r>
          </w:p>
        </w:tc>
        <w:tc>
          <w:tcPr>
            <w:tcW w:w="633" w:type="pct"/>
            <w:shd w:val="clear" w:color="auto" w:fill="auto"/>
            <w:vAlign w:val="center"/>
          </w:tcPr>
          <w:p w14:paraId="234D03C4" w14:textId="77777777" w:rsidR="009118ED" w:rsidRPr="00F84469" w:rsidRDefault="009118ED" w:rsidP="00D60574">
            <w:pPr>
              <w:pStyle w:val="Tabletext1"/>
              <w:rPr>
                <w:bCs/>
                <w:color w:val="000000"/>
              </w:rPr>
            </w:pPr>
            <w:r w:rsidRPr="00F84469">
              <w:rPr>
                <w:color w:val="000000"/>
              </w:rPr>
              <w:t>$639,358</w:t>
            </w:r>
          </w:p>
        </w:tc>
        <w:tc>
          <w:tcPr>
            <w:tcW w:w="635" w:type="pct"/>
            <w:shd w:val="clear" w:color="auto" w:fill="auto"/>
            <w:vAlign w:val="center"/>
          </w:tcPr>
          <w:p w14:paraId="5C964D45" w14:textId="77777777" w:rsidR="009118ED" w:rsidRPr="00F84469" w:rsidRDefault="009118ED" w:rsidP="00D60574">
            <w:pPr>
              <w:pStyle w:val="Tabletext1"/>
              <w:rPr>
                <w:bCs/>
                <w:color w:val="000000"/>
              </w:rPr>
            </w:pPr>
            <w:r w:rsidRPr="00F84469">
              <w:rPr>
                <w:color w:val="000000"/>
              </w:rPr>
              <w:t>$641,660</w:t>
            </w:r>
          </w:p>
        </w:tc>
        <w:tc>
          <w:tcPr>
            <w:tcW w:w="617" w:type="pct"/>
            <w:shd w:val="clear" w:color="auto" w:fill="auto"/>
            <w:vAlign w:val="center"/>
          </w:tcPr>
          <w:p w14:paraId="0D1F2C75" w14:textId="77777777" w:rsidR="009118ED" w:rsidRPr="00F84469" w:rsidRDefault="009118ED" w:rsidP="00D60574">
            <w:pPr>
              <w:pStyle w:val="Tabletext1"/>
              <w:rPr>
                <w:bCs/>
                <w:color w:val="000000"/>
              </w:rPr>
            </w:pPr>
            <w:r w:rsidRPr="00F84469">
              <w:rPr>
                <w:color w:val="000000"/>
              </w:rPr>
              <w:t>$643,970</w:t>
            </w:r>
          </w:p>
        </w:tc>
      </w:tr>
      <w:tr w:rsidR="009118ED" w:rsidRPr="00475AF8" w14:paraId="2864A75D" w14:textId="77777777" w:rsidTr="003929ED">
        <w:trPr>
          <w:trHeight w:val="300"/>
        </w:trPr>
        <w:tc>
          <w:tcPr>
            <w:tcW w:w="1837" w:type="pct"/>
            <w:shd w:val="clear" w:color="auto" w:fill="auto"/>
            <w:vAlign w:val="center"/>
          </w:tcPr>
          <w:p w14:paraId="16AECC51" w14:textId="77777777" w:rsidR="009118ED" w:rsidRPr="00475AF8" w:rsidRDefault="009118ED" w:rsidP="00D60574">
            <w:pPr>
              <w:pStyle w:val="Tabletext1"/>
              <w:rPr>
                <w:rFonts w:cs="Times New Roman"/>
              </w:rPr>
            </w:pPr>
            <w:r w:rsidRPr="00475AF8">
              <w:t>Net costs to MBS if AMH test replaces AFC</w:t>
            </w:r>
          </w:p>
        </w:tc>
        <w:tc>
          <w:tcPr>
            <w:tcW w:w="644" w:type="pct"/>
            <w:vAlign w:val="center"/>
          </w:tcPr>
          <w:p w14:paraId="4AE0F41A" w14:textId="77777777" w:rsidR="009118ED" w:rsidRPr="00475AF8" w:rsidRDefault="009118ED" w:rsidP="00D60574">
            <w:pPr>
              <w:pStyle w:val="Tabletext1"/>
              <w:rPr>
                <w:bCs/>
              </w:rPr>
            </w:pPr>
            <w:r w:rsidRPr="00475AF8">
              <w:t>-$66,819</w:t>
            </w:r>
          </w:p>
        </w:tc>
        <w:tc>
          <w:tcPr>
            <w:tcW w:w="633" w:type="pct"/>
            <w:shd w:val="clear" w:color="auto" w:fill="auto"/>
            <w:vAlign w:val="center"/>
          </w:tcPr>
          <w:p w14:paraId="33015786" w14:textId="77777777" w:rsidR="009118ED" w:rsidRPr="00475AF8" w:rsidRDefault="009118ED" w:rsidP="00D60574">
            <w:pPr>
              <w:pStyle w:val="Tabletext1"/>
              <w:rPr>
                <w:bCs/>
              </w:rPr>
            </w:pPr>
            <w:r w:rsidRPr="00475AF8">
              <w:t>-$67,059</w:t>
            </w:r>
          </w:p>
        </w:tc>
        <w:tc>
          <w:tcPr>
            <w:tcW w:w="633" w:type="pct"/>
            <w:shd w:val="clear" w:color="auto" w:fill="auto"/>
            <w:vAlign w:val="center"/>
          </w:tcPr>
          <w:p w14:paraId="55876D7F" w14:textId="77777777" w:rsidR="009118ED" w:rsidRPr="00475AF8" w:rsidRDefault="009118ED" w:rsidP="00D60574">
            <w:pPr>
              <w:pStyle w:val="Tabletext1"/>
              <w:rPr>
                <w:bCs/>
              </w:rPr>
            </w:pPr>
            <w:r w:rsidRPr="00475AF8">
              <w:t>-$67,301</w:t>
            </w:r>
          </w:p>
        </w:tc>
        <w:tc>
          <w:tcPr>
            <w:tcW w:w="635" w:type="pct"/>
            <w:shd w:val="clear" w:color="auto" w:fill="auto"/>
            <w:vAlign w:val="center"/>
          </w:tcPr>
          <w:p w14:paraId="4780755B" w14:textId="77777777" w:rsidR="009118ED" w:rsidRPr="00475AF8" w:rsidRDefault="009118ED" w:rsidP="00D60574">
            <w:pPr>
              <w:pStyle w:val="Tabletext1"/>
              <w:rPr>
                <w:bCs/>
              </w:rPr>
            </w:pPr>
            <w:r w:rsidRPr="00475AF8">
              <w:t>-$67,543</w:t>
            </w:r>
          </w:p>
        </w:tc>
        <w:tc>
          <w:tcPr>
            <w:tcW w:w="617" w:type="pct"/>
            <w:shd w:val="clear" w:color="auto" w:fill="auto"/>
            <w:vAlign w:val="center"/>
          </w:tcPr>
          <w:p w14:paraId="26230432" w14:textId="77777777" w:rsidR="009118ED" w:rsidRPr="00475AF8" w:rsidRDefault="009118ED" w:rsidP="00D60574">
            <w:pPr>
              <w:pStyle w:val="Tabletext1"/>
              <w:rPr>
                <w:bCs/>
              </w:rPr>
            </w:pPr>
            <w:r w:rsidRPr="00475AF8">
              <w:t>-$67,786</w:t>
            </w:r>
          </w:p>
        </w:tc>
      </w:tr>
    </w:tbl>
    <w:p w14:paraId="38757347" w14:textId="546D0C5B" w:rsidR="009118ED" w:rsidRPr="00251616" w:rsidRDefault="00251616" w:rsidP="009118ED">
      <w:pPr>
        <w:pStyle w:val="TableNotes1"/>
        <w:rPr>
          <w:sz w:val="18"/>
          <w:szCs w:val="18"/>
        </w:rPr>
      </w:pPr>
      <w:r>
        <w:rPr>
          <w:sz w:val="18"/>
          <w:szCs w:val="18"/>
        </w:rPr>
        <w:t>AMH = a</w:t>
      </w:r>
      <w:r w:rsidR="009118ED" w:rsidRPr="00251616">
        <w:rPr>
          <w:sz w:val="18"/>
          <w:szCs w:val="18"/>
        </w:rPr>
        <w:t>nti-Müllerian hormone; AFC = antral follicle count; MBS = Medicare Benefits Schedule</w:t>
      </w:r>
    </w:p>
    <w:p w14:paraId="0CD43221" w14:textId="533040B2" w:rsidR="009118ED" w:rsidRDefault="009118ED" w:rsidP="009118ED">
      <w:pPr>
        <w:pStyle w:val="Caption"/>
        <w:keepNext/>
      </w:pPr>
      <w:bookmarkStart w:id="460" w:name="_Ref501010793"/>
      <w:bookmarkStart w:id="461" w:name="_Toc502833093"/>
      <w:r>
        <w:t xml:space="preserve">Table </w:t>
      </w:r>
      <w:r w:rsidR="00AC4BE5">
        <w:fldChar w:fldCharType="begin"/>
      </w:r>
      <w:r w:rsidR="00AC4BE5">
        <w:instrText xml:space="preserve"> SEQ Table \* ARABIC </w:instrText>
      </w:r>
      <w:r w:rsidR="00AC4BE5">
        <w:fldChar w:fldCharType="separate"/>
      </w:r>
      <w:r w:rsidR="00AC4BE5">
        <w:rPr>
          <w:noProof/>
        </w:rPr>
        <w:t>75</w:t>
      </w:r>
      <w:r w:rsidR="00AC4BE5">
        <w:rPr>
          <w:noProof/>
        </w:rPr>
        <w:fldChar w:fldCharType="end"/>
      </w:r>
      <w:bookmarkEnd w:id="460"/>
      <w:r>
        <w:tab/>
        <w:t>Scenario analyses, potential cost</w:t>
      </w:r>
      <w:r w:rsidR="00DF36E4">
        <w:t>-</w:t>
      </w:r>
      <w:r>
        <w:t>offsets to MBS, if AMH is a replacement test for FSH+E2</w:t>
      </w:r>
      <w:bookmarkEnd w:id="4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Financial implications of MBS listing the AMH test; sensitivity analysis varying uptake rate"/>
        <w:tblDescription w:val="Financial implications of MBS listing the AMH test; sensitivity analysis varying uptake rate"/>
      </w:tblPr>
      <w:tblGrid>
        <w:gridCol w:w="3279"/>
        <w:gridCol w:w="1286"/>
        <w:gridCol w:w="1143"/>
        <w:gridCol w:w="1143"/>
        <w:gridCol w:w="1141"/>
        <w:gridCol w:w="1090"/>
      </w:tblGrid>
      <w:tr w:rsidR="009118ED" w:rsidRPr="00475AF8" w14:paraId="3F67F4B0" w14:textId="77777777" w:rsidTr="003929ED">
        <w:trPr>
          <w:trHeight w:val="300"/>
          <w:tblHeader/>
        </w:trPr>
        <w:tc>
          <w:tcPr>
            <w:tcW w:w="1806" w:type="pct"/>
            <w:tcBorders>
              <w:bottom w:val="single" w:sz="4" w:space="0" w:color="auto"/>
            </w:tcBorders>
            <w:shd w:val="clear" w:color="auto" w:fill="auto"/>
            <w:vAlign w:val="center"/>
          </w:tcPr>
          <w:p w14:paraId="4393CC78" w14:textId="53732F61" w:rsidR="009118ED" w:rsidRPr="00475AF8" w:rsidRDefault="00811281" w:rsidP="00D60574">
            <w:pPr>
              <w:pStyle w:val="Tabletext1"/>
              <w:rPr>
                <w:b/>
              </w:rPr>
            </w:pPr>
            <w:r>
              <w:rPr>
                <w:b/>
              </w:rPr>
              <w:t> </w:t>
            </w:r>
          </w:p>
        </w:tc>
        <w:tc>
          <w:tcPr>
            <w:tcW w:w="708" w:type="pct"/>
            <w:tcBorders>
              <w:bottom w:val="single" w:sz="4" w:space="0" w:color="auto"/>
            </w:tcBorders>
            <w:vAlign w:val="center"/>
          </w:tcPr>
          <w:p w14:paraId="1817DF14" w14:textId="77777777" w:rsidR="009118ED" w:rsidRPr="00475AF8" w:rsidRDefault="009118ED" w:rsidP="00D60574">
            <w:pPr>
              <w:pStyle w:val="Tabletext1"/>
              <w:rPr>
                <w:b/>
              </w:rPr>
            </w:pPr>
            <w:r w:rsidRPr="00475AF8">
              <w:rPr>
                <w:b/>
                <w:bCs/>
                <w:color w:val="000000"/>
              </w:rPr>
              <w:t>Year 1</w:t>
            </w:r>
          </w:p>
        </w:tc>
        <w:tc>
          <w:tcPr>
            <w:tcW w:w="629" w:type="pct"/>
            <w:tcBorders>
              <w:bottom w:val="single" w:sz="4" w:space="0" w:color="auto"/>
            </w:tcBorders>
            <w:shd w:val="clear" w:color="auto" w:fill="auto"/>
            <w:vAlign w:val="center"/>
          </w:tcPr>
          <w:p w14:paraId="66D5C0AE" w14:textId="77777777" w:rsidR="009118ED" w:rsidRPr="00475AF8" w:rsidRDefault="009118ED" w:rsidP="00D60574">
            <w:pPr>
              <w:pStyle w:val="Tabletext1"/>
              <w:rPr>
                <w:b/>
              </w:rPr>
            </w:pPr>
            <w:r w:rsidRPr="00475AF8">
              <w:rPr>
                <w:b/>
                <w:bCs/>
                <w:color w:val="000000"/>
              </w:rPr>
              <w:t>Year 2</w:t>
            </w:r>
          </w:p>
        </w:tc>
        <w:tc>
          <w:tcPr>
            <w:tcW w:w="629" w:type="pct"/>
            <w:tcBorders>
              <w:bottom w:val="single" w:sz="4" w:space="0" w:color="auto"/>
            </w:tcBorders>
            <w:shd w:val="clear" w:color="auto" w:fill="auto"/>
            <w:vAlign w:val="center"/>
          </w:tcPr>
          <w:p w14:paraId="314DB8D1" w14:textId="77777777" w:rsidR="009118ED" w:rsidRPr="00475AF8" w:rsidRDefault="009118ED" w:rsidP="00D60574">
            <w:pPr>
              <w:pStyle w:val="Tabletext1"/>
              <w:rPr>
                <w:b/>
              </w:rPr>
            </w:pPr>
            <w:r w:rsidRPr="00475AF8">
              <w:rPr>
                <w:b/>
                <w:bCs/>
                <w:color w:val="000000"/>
              </w:rPr>
              <w:t>Year 3</w:t>
            </w:r>
          </w:p>
        </w:tc>
        <w:tc>
          <w:tcPr>
            <w:tcW w:w="628" w:type="pct"/>
            <w:tcBorders>
              <w:bottom w:val="single" w:sz="4" w:space="0" w:color="auto"/>
            </w:tcBorders>
            <w:shd w:val="clear" w:color="auto" w:fill="auto"/>
            <w:vAlign w:val="center"/>
          </w:tcPr>
          <w:p w14:paraId="0DB7E918" w14:textId="77777777" w:rsidR="009118ED" w:rsidRPr="00475AF8" w:rsidRDefault="009118ED" w:rsidP="00D60574">
            <w:pPr>
              <w:pStyle w:val="Tabletext1"/>
              <w:rPr>
                <w:b/>
              </w:rPr>
            </w:pPr>
            <w:r w:rsidRPr="00475AF8">
              <w:rPr>
                <w:b/>
                <w:bCs/>
                <w:color w:val="000000"/>
              </w:rPr>
              <w:t>Year 4</w:t>
            </w:r>
          </w:p>
        </w:tc>
        <w:tc>
          <w:tcPr>
            <w:tcW w:w="601" w:type="pct"/>
            <w:tcBorders>
              <w:bottom w:val="single" w:sz="4" w:space="0" w:color="auto"/>
            </w:tcBorders>
            <w:shd w:val="clear" w:color="auto" w:fill="auto"/>
            <w:vAlign w:val="center"/>
          </w:tcPr>
          <w:p w14:paraId="6375F5EA" w14:textId="77777777" w:rsidR="009118ED" w:rsidRPr="00475AF8" w:rsidRDefault="009118ED" w:rsidP="00D60574">
            <w:pPr>
              <w:pStyle w:val="Tabletext1"/>
              <w:rPr>
                <w:b/>
              </w:rPr>
            </w:pPr>
            <w:r w:rsidRPr="00475AF8">
              <w:rPr>
                <w:b/>
                <w:bCs/>
                <w:color w:val="000000"/>
              </w:rPr>
              <w:t>Year 5</w:t>
            </w:r>
          </w:p>
        </w:tc>
      </w:tr>
      <w:tr w:rsidR="009118ED" w:rsidRPr="002F2479" w14:paraId="65F84922" w14:textId="77777777" w:rsidTr="003929ED">
        <w:trPr>
          <w:trHeight w:val="300"/>
        </w:trPr>
        <w:tc>
          <w:tcPr>
            <w:tcW w:w="1806" w:type="pct"/>
            <w:tcBorders>
              <w:right w:val="single" w:sz="4" w:space="0" w:color="auto"/>
            </w:tcBorders>
            <w:shd w:val="clear" w:color="auto" w:fill="auto"/>
            <w:vAlign w:val="center"/>
          </w:tcPr>
          <w:p w14:paraId="1222E63F" w14:textId="77777777" w:rsidR="009118ED" w:rsidRPr="002F2479" w:rsidRDefault="009118ED" w:rsidP="00D60574">
            <w:pPr>
              <w:pStyle w:val="Tabletext1"/>
              <w:rPr>
                <w:rFonts w:cs="Times New Roman"/>
                <w:bCs/>
                <w:color w:val="000000"/>
              </w:rPr>
            </w:pPr>
            <w:r w:rsidRPr="002F2479">
              <w:rPr>
                <w:bCs/>
                <w:color w:val="000000"/>
              </w:rPr>
              <w:t>Projected number of AMH tests</w:t>
            </w:r>
          </w:p>
        </w:tc>
        <w:tc>
          <w:tcPr>
            <w:tcW w:w="708" w:type="pct"/>
            <w:tcBorders>
              <w:left w:val="single" w:sz="4" w:space="0" w:color="auto"/>
              <w:right w:val="single" w:sz="4" w:space="0" w:color="auto"/>
            </w:tcBorders>
            <w:vAlign w:val="center"/>
          </w:tcPr>
          <w:p w14:paraId="5FE7BE59" w14:textId="77777777" w:rsidR="009118ED" w:rsidRPr="00824156" w:rsidRDefault="009118ED" w:rsidP="00D60574">
            <w:pPr>
              <w:pStyle w:val="Tabletext1"/>
            </w:pPr>
            <w:r w:rsidRPr="002F2479">
              <w:rPr>
                <w:color w:val="000000"/>
              </w:rPr>
              <w:t>6,682</w:t>
            </w:r>
          </w:p>
        </w:tc>
        <w:tc>
          <w:tcPr>
            <w:tcW w:w="629" w:type="pct"/>
            <w:tcBorders>
              <w:left w:val="single" w:sz="4" w:space="0" w:color="auto"/>
              <w:right w:val="single" w:sz="4" w:space="0" w:color="auto"/>
            </w:tcBorders>
            <w:shd w:val="clear" w:color="auto" w:fill="auto"/>
            <w:vAlign w:val="center"/>
          </w:tcPr>
          <w:p w14:paraId="587E56C4" w14:textId="77777777" w:rsidR="009118ED" w:rsidRPr="00824156" w:rsidRDefault="009118ED" w:rsidP="00D60574">
            <w:pPr>
              <w:pStyle w:val="Tabletext1"/>
            </w:pPr>
            <w:r w:rsidRPr="002F2479">
              <w:rPr>
                <w:color w:val="000000"/>
              </w:rPr>
              <w:t>6,706</w:t>
            </w:r>
          </w:p>
        </w:tc>
        <w:tc>
          <w:tcPr>
            <w:tcW w:w="629" w:type="pct"/>
            <w:tcBorders>
              <w:left w:val="single" w:sz="4" w:space="0" w:color="auto"/>
              <w:right w:val="single" w:sz="4" w:space="0" w:color="auto"/>
            </w:tcBorders>
            <w:shd w:val="clear" w:color="auto" w:fill="auto"/>
            <w:vAlign w:val="center"/>
          </w:tcPr>
          <w:p w14:paraId="01D36F67" w14:textId="77777777" w:rsidR="009118ED" w:rsidRPr="00824156" w:rsidRDefault="009118ED" w:rsidP="00D60574">
            <w:pPr>
              <w:pStyle w:val="Tabletext1"/>
            </w:pPr>
            <w:r w:rsidRPr="002F2479">
              <w:rPr>
                <w:color w:val="000000"/>
              </w:rPr>
              <w:t>6,730</w:t>
            </w:r>
          </w:p>
        </w:tc>
        <w:tc>
          <w:tcPr>
            <w:tcW w:w="628" w:type="pct"/>
            <w:tcBorders>
              <w:left w:val="single" w:sz="4" w:space="0" w:color="auto"/>
              <w:right w:val="single" w:sz="4" w:space="0" w:color="auto"/>
            </w:tcBorders>
            <w:shd w:val="clear" w:color="auto" w:fill="auto"/>
            <w:vAlign w:val="center"/>
          </w:tcPr>
          <w:p w14:paraId="27657FDC" w14:textId="77777777" w:rsidR="009118ED" w:rsidRPr="00824156" w:rsidRDefault="009118ED" w:rsidP="00D60574">
            <w:pPr>
              <w:pStyle w:val="Tabletext1"/>
            </w:pPr>
            <w:r w:rsidRPr="002F2479">
              <w:rPr>
                <w:color w:val="000000"/>
              </w:rPr>
              <w:t>6,754</w:t>
            </w:r>
          </w:p>
        </w:tc>
        <w:tc>
          <w:tcPr>
            <w:tcW w:w="601" w:type="pct"/>
            <w:tcBorders>
              <w:left w:val="single" w:sz="4" w:space="0" w:color="auto"/>
            </w:tcBorders>
            <w:shd w:val="clear" w:color="auto" w:fill="auto"/>
            <w:vAlign w:val="center"/>
          </w:tcPr>
          <w:p w14:paraId="7BE6F2A9" w14:textId="77777777" w:rsidR="009118ED" w:rsidRPr="00824156" w:rsidRDefault="009118ED" w:rsidP="00D60574">
            <w:pPr>
              <w:pStyle w:val="Tabletext1"/>
            </w:pPr>
            <w:r w:rsidRPr="002F2479">
              <w:rPr>
                <w:color w:val="000000"/>
              </w:rPr>
              <w:t>6,779</w:t>
            </w:r>
          </w:p>
        </w:tc>
      </w:tr>
      <w:tr w:rsidR="009118ED" w:rsidRPr="002F2479" w14:paraId="4186C7B3" w14:textId="77777777" w:rsidTr="003929ED">
        <w:trPr>
          <w:trHeight w:val="300"/>
        </w:trPr>
        <w:tc>
          <w:tcPr>
            <w:tcW w:w="1806" w:type="pct"/>
            <w:shd w:val="clear" w:color="auto" w:fill="auto"/>
            <w:vAlign w:val="center"/>
          </w:tcPr>
          <w:p w14:paraId="011A946B" w14:textId="77777777" w:rsidR="009118ED" w:rsidRPr="002F2479" w:rsidRDefault="009118ED" w:rsidP="00D60574">
            <w:pPr>
              <w:pStyle w:val="Tabletext1"/>
            </w:pPr>
            <w:r w:rsidRPr="002F2479">
              <w:rPr>
                <w:bCs/>
                <w:color w:val="000000"/>
              </w:rPr>
              <w:t>Cost of AMH testing to MBS</w:t>
            </w:r>
          </w:p>
        </w:tc>
        <w:tc>
          <w:tcPr>
            <w:tcW w:w="708" w:type="pct"/>
            <w:vAlign w:val="center"/>
          </w:tcPr>
          <w:p w14:paraId="73BC7208" w14:textId="77777777" w:rsidR="009118ED" w:rsidRPr="002F2479" w:rsidRDefault="009118ED" w:rsidP="00D60574">
            <w:pPr>
              <w:pStyle w:val="Tabletext1"/>
            </w:pPr>
            <w:r w:rsidRPr="002F2479">
              <w:rPr>
                <w:bCs/>
                <w:color w:val="000000"/>
              </w:rPr>
              <w:t>$567,961</w:t>
            </w:r>
          </w:p>
        </w:tc>
        <w:tc>
          <w:tcPr>
            <w:tcW w:w="629" w:type="pct"/>
            <w:shd w:val="clear" w:color="auto" w:fill="auto"/>
            <w:vAlign w:val="center"/>
          </w:tcPr>
          <w:p w14:paraId="1F6FA0B5" w14:textId="77777777" w:rsidR="009118ED" w:rsidRPr="002F2479" w:rsidRDefault="009118ED" w:rsidP="00D60574">
            <w:pPr>
              <w:pStyle w:val="Tabletext1"/>
            </w:pPr>
            <w:r w:rsidRPr="002F2479">
              <w:rPr>
                <w:bCs/>
                <w:color w:val="000000"/>
              </w:rPr>
              <w:t>$570,005</w:t>
            </w:r>
          </w:p>
        </w:tc>
        <w:tc>
          <w:tcPr>
            <w:tcW w:w="629" w:type="pct"/>
            <w:shd w:val="clear" w:color="auto" w:fill="auto"/>
            <w:vAlign w:val="center"/>
          </w:tcPr>
          <w:p w14:paraId="18751241" w14:textId="77777777" w:rsidR="009118ED" w:rsidRPr="002F2479" w:rsidRDefault="009118ED" w:rsidP="00D60574">
            <w:pPr>
              <w:pStyle w:val="Tabletext1"/>
            </w:pPr>
            <w:r w:rsidRPr="002F2479">
              <w:rPr>
                <w:bCs/>
                <w:color w:val="000000"/>
              </w:rPr>
              <w:t>$572,057</w:t>
            </w:r>
          </w:p>
        </w:tc>
        <w:tc>
          <w:tcPr>
            <w:tcW w:w="628" w:type="pct"/>
            <w:shd w:val="clear" w:color="auto" w:fill="auto"/>
            <w:vAlign w:val="center"/>
          </w:tcPr>
          <w:p w14:paraId="5E49FA90" w14:textId="77777777" w:rsidR="009118ED" w:rsidRPr="002F2479" w:rsidRDefault="009118ED" w:rsidP="00D60574">
            <w:pPr>
              <w:pStyle w:val="Tabletext1"/>
            </w:pPr>
            <w:r w:rsidRPr="002F2479">
              <w:rPr>
                <w:bCs/>
                <w:color w:val="000000"/>
              </w:rPr>
              <w:t>$574,117</w:t>
            </w:r>
          </w:p>
        </w:tc>
        <w:tc>
          <w:tcPr>
            <w:tcW w:w="601" w:type="pct"/>
            <w:shd w:val="clear" w:color="auto" w:fill="auto"/>
            <w:vAlign w:val="center"/>
          </w:tcPr>
          <w:p w14:paraId="571E53EE" w14:textId="77777777" w:rsidR="009118ED" w:rsidRPr="002F2479" w:rsidRDefault="009118ED" w:rsidP="00D60574">
            <w:pPr>
              <w:pStyle w:val="Tabletext1"/>
            </w:pPr>
            <w:r w:rsidRPr="002F2479">
              <w:rPr>
                <w:bCs/>
                <w:color w:val="000000"/>
              </w:rPr>
              <w:t>$576,184</w:t>
            </w:r>
          </w:p>
        </w:tc>
      </w:tr>
      <w:tr w:rsidR="009118ED" w:rsidRPr="00257C45" w14:paraId="680077E0" w14:textId="77777777" w:rsidTr="003929ED">
        <w:trPr>
          <w:trHeight w:val="300"/>
        </w:trPr>
        <w:tc>
          <w:tcPr>
            <w:tcW w:w="1806" w:type="pct"/>
            <w:shd w:val="clear" w:color="auto" w:fill="auto"/>
            <w:vAlign w:val="center"/>
          </w:tcPr>
          <w:p w14:paraId="6AA7E9A1" w14:textId="77777777" w:rsidR="009118ED" w:rsidRPr="00F84469" w:rsidRDefault="009118ED" w:rsidP="00D60574">
            <w:pPr>
              <w:pStyle w:val="Tabletext1"/>
              <w:rPr>
                <w:bCs/>
                <w:color w:val="000000"/>
              </w:rPr>
            </w:pPr>
            <w:r>
              <w:rPr>
                <w:bCs/>
                <w:color w:val="000000"/>
              </w:rPr>
              <w:t>Cost of FSH+</w:t>
            </w:r>
            <w:r w:rsidRPr="00F84469">
              <w:rPr>
                <w:bCs/>
                <w:color w:val="000000"/>
              </w:rPr>
              <w:t>E2 tests to MBS</w:t>
            </w:r>
          </w:p>
        </w:tc>
        <w:tc>
          <w:tcPr>
            <w:tcW w:w="708" w:type="pct"/>
            <w:vAlign w:val="center"/>
          </w:tcPr>
          <w:p w14:paraId="46BAA9E4" w14:textId="77777777" w:rsidR="009118ED" w:rsidRPr="00F84469" w:rsidRDefault="009118ED" w:rsidP="00D60574">
            <w:pPr>
              <w:pStyle w:val="Tabletext1"/>
              <w:rPr>
                <w:color w:val="000000"/>
              </w:rPr>
            </w:pPr>
            <w:r w:rsidRPr="00F84469">
              <w:rPr>
                <w:color w:val="000000"/>
              </w:rPr>
              <w:t>$327,413</w:t>
            </w:r>
          </w:p>
        </w:tc>
        <w:tc>
          <w:tcPr>
            <w:tcW w:w="629" w:type="pct"/>
            <w:shd w:val="clear" w:color="auto" w:fill="auto"/>
            <w:vAlign w:val="center"/>
          </w:tcPr>
          <w:p w14:paraId="021478F5" w14:textId="77777777" w:rsidR="009118ED" w:rsidRPr="00F84469" w:rsidRDefault="009118ED" w:rsidP="00D60574">
            <w:pPr>
              <w:pStyle w:val="Tabletext1"/>
              <w:rPr>
                <w:color w:val="000000"/>
              </w:rPr>
            </w:pPr>
            <w:r w:rsidRPr="00F84469">
              <w:rPr>
                <w:color w:val="000000"/>
              </w:rPr>
              <w:t>$328,591</w:t>
            </w:r>
          </w:p>
        </w:tc>
        <w:tc>
          <w:tcPr>
            <w:tcW w:w="629" w:type="pct"/>
            <w:shd w:val="clear" w:color="auto" w:fill="auto"/>
            <w:vAlign w:val="center"/>
          </w:tcPr>
          <w:p w14:paraId="6670FC69" w14:textId="77777777" w:rsidR="009118ED" w:rsidRPr="00F84469" w:rsidRDefault="009118ED" w:rsidP="00D60574">
            <w:pPr>
              <w:pStyle w:val="Tabletext1"/>
              <w:rPr>
                <w:color w:val="000000"/>
              </w:rPr>
            </w:pPr>
            <w:r w:rsidRPr="00F84469">
              <w:rPr>
                <w:color w:val="000000"/>
              </w:rPr>
              <w:t>$329,774</w:t>
            </w:r>
          </w:p>
        </w:tc>
        <w:tc>
          <w:tcPr>
            <w:tcW w:w="628" w:type="pct"/>
            <w:shd w:val="clear" w:color="auto" w:fill="auto"/>
            <w:vAlign w:val="center"/>
          </w:tcPr>
          <w:p w14:paraId="179024D6" w14:textId="77777777" w:rsidR="009118ED" w:rsidRPr="00F84469" w:rsidRDefault="009118ED" w:rsidP="00D60574">
            <w:pPr>
              <w:pStyle w:val="Tabletext1"/>
              <w:rPr>
                <w:color w:val="000000"/>
              </w:rPr>
            </w:pPr>
            <w:r w:rsidRPr="00F84469">
              <w:rPr>
                <w:color w:val="000000"/>
              </w:rPr>
              <w:t>$330,961</w:t>
            </w:r>
          </w:p>
        </w:tc>
        <w:tc>
          <w:tcPr>
            <w:tcW w:w="601" w:type="pct"/>
            <w:shd w:val="clear" w:color="auto" w:fill="auto"/>
            <w:vAlign w:val="center"/>
          </w:tcPr>
          <w:p w14:paraId="0FE1E450" w14:textId="77777777" w:rsidR="009118ED" w:rsidRPr="00F84469" w:rsidRDefault="009118ED" w:rsidP="00D60574">
            <w:pPr>
              <w:pStyle w:val="Tabletext1"/>
              <w:rPr>
                <w:color w:val="000000"/>
              </w:rPr>
            </w:pPr>
            <w:r w:rsidRPr="00F84469">
              <w:rPr>
                <w:color w:val="000000"/>
              </w:rPr>
              <w:t>$332,153</w:t>
            </w:r>
          </w:p>
        </w:tc>
      </w:tr>
      <w:tr w:rsidR="009118ED" w:rsidRPr="00475AF8" w14:paraId="5C887AB8" w14:textId="77777777" w:rsidTr="003929ED">
        <w:trPr>
          <w:trHeight w:val="300"/>
        </w:trPr>
        <w:tc>
          <w:tcPr>
            <w:tcW w:w="1806" w:type="pct"/>
            <w:shd w:val="clear" w:color="auto" w:fill="auto"/>
            <w:vAlign w:val="center"/>
          </w:tcPr>
          <w:p w14:paraId="7503A9A8" w14:textId="77777777" w:rsidR="009118ED" w:rsidRPr="00475AF8" w:rsidRDefault="009118ED" w:rsidP="00D60574">
            <w:pPr>
              <w:pStyle w:val="Tabletext1"/>
              <w:rPr>
                <w:b/>
                <w:bCs/>
                <w:color w:val="000000"/>
              </w:rPr>
            </w:pPr>
            <w:r w:rsidRPr="00475AF8">
              <w:rPr>
                <w:b/>
                <w:bCs/>
                <w:color w:val="000000"/>
              </w:rPr>
              <w:t>Net costs to MBS if AMH test replaces FSH+E2</w:t>
            </w:r>
          </w:p>
        </w:tc>
        <w:tc>
          <w:tcPr>
            <w:tcW w:w="708" w:type="pct"/>
            <w:vAlign w:val="center"/>
          </w:tcPr>
          <w:p w14:paraId="289097B4" w14:textId="77777777" w:rsidR="009118ED" w:rsidRPr="00475AF8" w:rsidRDefault="009118ED" w:rsidP="00D60574">
            <w:pPr>
              <w:pStyle w:val="Tabletext1"/>
              <w:rPr>
                <w:b/>
                <w:color w:val="000000"/>
              </w:rPr>
            </w:pPr>
            <w:r w:rsidRPr="00475AF8">
              <w:rPr>
                <w:b/>
                <w:color w:val="000000"/>
              </w:rPr>
              <w:t>$307,367</w:t>
            </w:r>
          </w:p>
        </w:tc>
        <w:tc>
          <w:tcPr>
            <w:tcW w:w="629" w:type="pct"/>
            <w:shd w:val="clear" w:color="auto" w:fill="auto"/>
            <w:vAlign w:val="center"/>
          </w:tcPr>
          <w:p w14:paraId="4E18B007" w14:textId="77777777" w:rsidR="009118ED" w:rsidRPr="00475AF8" w:rsidRDefault="009118ED" w:rsidP="00D60574">
            <w:pPr>
              <w:pStyle w:val="Tabletext1"/>
              <w:rPr>
                <w:b/>
                <w:color w:val="000000"/>
              </w:rPr>
            </w:pPr>
            <w:r w:rsidRPr="00475AF8">
              <w:rPr>
                <w:b/>
                <w:color w:val="000000"/>
              </w:rPr>
              <w:t>$308,474</w:t>
            </w:r>
          </w:p>
        </w:tc>
        <w:tc>
          <w:tcPr>
            <w:tcW w:w="629" w:type="pct"/>
            <w:shd w:val="clear" w:color="auto" w:fill="auto"/>
            <w:vAlign w:val="center"/>
          </w:tcPr>
          <w:p w14:paraId="2425DC01" w14:textId="77777777" w:rsidR="009118ED" w:rsidRPr="00475AF8" w:rsidRDefault="009118ED" w:rsidP="00D60574">
            <w:pPr>
              <w:pStyle w:val="Tabletext1"/>
              <w:rPr>
                <w:b/>
                <w:color w:val="000000"/>
              </w:rPr>
            </w:pPr>
            <w:r w:rsidRPr="00475AF8">
              <w:rPr>
                <w:b/>
                <w:color w:val="000000"/>
              </w:rPr>
              <w:t>$309,584</w:t>
            </w:r>
          </w:p>
        </w:tc>
        <w:tc>
          <w:tcPr>
            <w:tcW w:w="628" w:type="pct"/>
            <w:shd w:val="clear" w:color="auto" w:fill="auto"/>
            <w:vAlign w:val="center"/>
          </w:tcPr>
          <w:p w14:paraId="5B75D593" w14:textId="77777777" w:rsidR="009118ED" w:rsidRPr="00475AF8" w:rsidRDefault="009118ED" w:rsidP="00D60574">
            <w:pPr>
              <w:pStyle w:val="Tabletext1"/>
              <w:rPr>
                <w:b/>
                <w:color w:val="000000"/>
              </w:rPr>
            </w:pPr>
            <w:r w:rsidRPr="00475AF8">
              <w:rPr>
                <w:b/>
                <w:color w:val="000000"/>
              </w:rPr>
              <w:t>$310,699</w:t>
            </w:r>
          </w:p>
        </w:tc>
        <w:tc>
          <w:tcPr>
            <w:tcW w:w="601" w:type="pct"/>
            <w:shd w:val="clear" w:color="auto" w:fill="auto"/>
            <w:vAlign w:val="center"/>
          </w:tcPr>
          <w:p w14:paraId="528F3F9E" w14:textId="77777777" w:rsidR="009118ED" w:rsidRPr="00475AF8" w:rsidRDefault="009118ED" w:rsidP="00D60574">
            <w:pPr>
              <w:pStyle w:val="Tabletext1"/>
              <w:rPr>
                <w:b/>
                <w:color w:val="000000"/>
              </w:rPr>
            </w:pPr>
            <w:r w:rsidRPr="00475AF8">
              <w:rPr>
                <w:b/>
                <w:color w:val="000000"/>
              </w:rPr>
              <w:t>$311,817</w:t>
            </w:r>
          </w:p>
        </w:tc>
      </w:tr>
    </w:tbl>
    <w:p w14:paraId="6246318E" w14:textId="181D44E2" w:rsidR="009C5054" w:rsidRDefault="009118ED" w:rsidP="009118ED">
      <w:pPr>
        <w:pStyle w:val="TableNotes1"/>
        <w:rPr>
          <w:sz w:val="18"/>
          <w:szCs w:val="18"/>
        </w:rPr>
        <w:sectPr w:rsidR="009C5054" w:rsidSect="00822811">
          <w:pgSz w:w="11906" w:h="16838"/>
          <w:pgMar w:top="1440" w:right="1440" w:bottom="1440" w:left="1440" w:header="720" w:footer="720" w:gutter="0"/>
          <w:paperSrc w:first="7" w:other="7"/>
          <w:cols w:space="720"/>
        </w:sectPr>
      </w:pPr>
      <w:r w:rsidRPr="00C41BAD">
        <w:rPr>
          <w:sz w:val="18"/>
          <w:szCs w:val="18"/>
        </w:rPr>
        <w:t xml:space="preserve">AMH = </w:t>
      </w:r>
      <w:r w:rsidR="00C41BAD" w:rsidRPr="00C41BAD">
        <w:rPr>
          <w:sz w:val="18"/>
          <w:szCs w:val="18"/>
        </w:rPr>
        <w:t>anti-Müllerian hormone</w:t>
      </w:r>
      <w:r w:rsidRPr="00C41BAD">
        <w:rPr>
          <w:sz w:val="18"/>
          <w:szCs w:val="18"/>
        </w:rPr>
        <w:t>; E2 = estradiol; FSH = follicle</w:t>
      </w:r>
      <w:r w:rsidR="00DE6DD5">
        <w:rPr>
          <w:sz w:val="18"/>
          <w:szCs w:val="18"/>
        </w:rPr>
        <w:t>-</w:t>
      </w:r>
      <w:r w:rsidRPr="00C41BAD">
        <w:rPr>
          <w:sz w:val="18"/>
          <w:szCs w:val="18"/>
        </w:rPr>
        <w:t>stimulating hormone; M</w:t>
      </w:r>
      <w:r w:rsidR="00C41BAD">
        <w:rPr>
          <w:sz w:val="18"/>
          <w:szCs w:val="18"/>
        </w:rPr>
        <w:t>BS = Medicare Benefits Schedule</w:t>
      </w:r>
    </w:p>
    <w:p w14:paraId="1ED78571" w14:textId="77777777" w:rsidR="0077418B" w:rsidRPr="00183E4D" w:rsidRDefault="0077418B" w:rsidP="0077418B">
      <w:pPr>
        <w:pStyle w:val="Heading1"/>
        <w:jc w:val="both"/>
      </w:pPr>
      <w:bookmarkStart w:id="462" w:name="_Toc502832996"/>
      <w:r w:rsidRPr="00183E4D">
        <w:lastRenderedPageBreak/>
        <w:t>Section F</w:t>
      </w:r>
      <w:r w:rsidRPr="00183E4D">
        <w:tab/>
        <w:t>Other relevant considerations</w:t>
      </w:r>
      <w:bookmarkEnd w:id="376"/>
      <w:bookmarkEnd w:id="377"/>
      <w:bookmarkEnd w:id="462"/>
    </w:p>
    <w:p w14:paraId="733972A2" w14:textId="60D2EE09" w:rsidR="007518CF" w:rsidRDefault="000F127E" w:rsidP="00A92CDC">
      <w:pPr>
        <w:jc w:val="both"/>
      </w:pPr>
      <w:r>
        <w:t xml:space="preserve">Patients should be </w:t>
      </w:r>
      <w:r w:rsidR="00E21ECA">
        <w:t xml:space="preserve">counselled before receiving the AMH test, as it is difficult to interpret the results of the test. Girls and women </w:t>
      </w:r>
      <w:r>
        <w:t xml:space="preserve">who receive a </w:t>
      </w:r>
      <w:r w:rsidR="00E21ECA">
        <w:t xml:space="preserve">test result </w:t>
      </w:r>
      <w:r>
        <w:t xml:space="preserve">indicating a low AMH level </w:t>
      </w:r>
      <w:r w:rsidR="00E21ECA">
        <w:t>could become unnecessaril</w:t>
      </w:r>
      <w:r>
        <w:t>y anxious about their fertility without the appropriate professional advice.</w:t>
      </w:r>
    </w:p>
    <w:p w14:paraId="6C2C5D14" w14:textId="0A2A1C7D" w:rsidR="007518CF" w:rsidRDefault="00A92CDC" w:rsidP="00A92CDC">
      <w:pPr>
        <w:jc w:val="both"/>
      </w:pPr>
      <w:r>
        <w:t xml:space="preserve">One abstract was identified investigating the psychological impact of ovarian reserve testing </w:t>
      </w:r>
      <w:r w:rsidR="00577E24">
        <w:fldChar w:fldCharType="begin"/>
      </w:r>
      <w:r w:rsidR="00577E24">
        <w:instrText xml:space="preserve"> ADDIN EN.CITE &lt;EndNote&gt;&lt;Cite&gt;&lt;Author&gt;O&amp;apos;Brien&lt;/Author&gt;&lt;Year&gt;2016&lt;/Year&gt;&lt;RecNum&gt;408&lt;/RecNum&gt;&lt;IDText&gt;e47&lt;/IDText&gt;&lt;DisplayText&gt;(O&amp;apos;Brien, Wingfield &amp;amp; Kelleher 2016)&lt;/DisplayText&gt;&lt;record&gt;&lt;rec-number&gt;408&lt;/rec-number&gt;&lt;foreign-keys&gt;&lt;key app="EN" db-id="s2dftfxw1fvsr1efx58vfvxtvfwzxea0td02" timestamp="1512363837"&gt;408&lt;/key&gt;&lt;/foreign-keys&gt;&lt;ref-type name="Journal Article"&gt;17&lt;/ref-type&gt;&lt;contributors&gt;&lt;authors&gt;&lt;author&gt;O&amp;apos;Brien, Y.&lt;/author&gt;&lt;author&gt;Wingfield, M.&lt;/author&gt;&lt;author&gt;Kelleher, C.&lt;/author&gt;&lt;/authors&gt;&lt;/contributors&gt;&lt;titles&gt;&lt;title&gt;The psychological impact of ovarian reserve testing: a qualitative analysis&lt;/title&gt;&lt;secondary-title&gt;Fertility and Sterility&lt;/secondary-title&gt;&lt;/titles&gt;&lt;periodical&gt;&lt;full-title&gt;Fertility and Sterility&lt;/full-title&gt;&lt;/periodical&gt;&lt;pages&gt;e47&lt;/pages&gt;&lt;volume&gt;106&lt;/volume&gt;&lt;number&gt;3, Supplement&lt;/number&gt;&lt;dates&gt;&lt;year&gt;2016&lt;/year&gt;&lt;pub-dates&gt;&lt;date&gt;2016/09/01/&lt;/date&gt;&lt;/pub-dates&gt;&lt;/dates&gt;&lt;isbn&gt;0015-0282&lt;/isbn&gt;&lt;urls&gt;&lt;related-urls&gt;&lt;url&gt;http://www.sciencedirect.com/science/article/pii/S0015028216615595&lt;/url&gt;&lt;/related-urls&gt;&lt;/urls&gt;&lt;electronic-resource-num&gt;https://doi.org/10.1016/j.fertnstert.2016.07.146&lt;/electronic-resource-num&gt;&lt;/record&gt;&lt;/Cite&gt;&lt;/EndNote&gt;</w:instrText>
      </w:r>
      <w:r w:rsidR="00577E24">
        <w:fldChar w:fldCharType="separate"/>
      </w:r>
      <w:r w:rsidR="00577E24">
        <w:rPr>
          <w:noProof/>
        </w:rPr>
        <w:t>(</w:t>
      </w:r>
      <w:hyperlink w:anchor="_ENREF_50" w:tooltip="O'Brien, 2016 #408" w:history="1">
        <w:r w:rsidR="00835BA6">
          <w:rPr>
            <w:noProof/>
          </w:rPr>
          <w:t>O'Brien, Wingfield &amp; Kelleher 2016</w:t>
        </w:r>
      </w:hyperlink>
      <w:r w:rsidR="00577E24">
        <w:rPr>
          <w:noProof/>
        </w:rPr>
        <w:t>)</w:t>
      </w:r>
      <w:r w:rsidR="00577E24">
        <w:fldChar w:fldCharType="end"/>
      </w:r>
      <w:r>
        <w:t xml:space="preserve">. </w:t>
      </w:r>
      <w:r w:rsidR="004C046E">
        <w:t xml:space="preserve">This study was conducted in Ireland. Interview analysis showed that in women </w:t>
      </w:r>
      <w:r w:rsidR="00496507">
        <w:t>who attended a</w:t>
      </w:r>
      <w:r w:rsidR="004C046E">
        <w:t xml:space="preserve"> fertility clinic and underwent AMH testing</w:t>
      </w:r>
      <w:r w:rsidR="00496507">
        <w:t>,</w:t>
      </w:r>
      <w:r w:rsidR="002930F3">
        <w:t xml:space="preserve"> the overall</w:t>
      </w:r>
      <w:r w:rsidR="00496507">
        <w:t xml:space="preserve"> awareness of the clinical relevance of the test was low. Their main source o</w:t>
      </w:r>
      <w:r w:rsidR="000F127E">
        <w:t xml:space="preserve">f information was the internet, </w:t>
      </w:r>
      <w:r w:rsidR="00496507">
        <w:t xml:space="preserve">rather </w:t>
      </w:r>
      <w:r w:rsidR="000F127E">
        <w:t>than their medical practitioner</w:t>
      </w:r>
      <w:r w:rsidR="00496507">
        <w:t>. The</w:t>
      </w:r>
      <w:r w:rsidR="000F1FE9">
        <w:t>ir</w:t>
      </w:r>
      <w:r w:rsidR="00496507">
        <w:t xml:space="preserve"> feeling</w:t>
      </w:r>
      <w:r w:rsidR="000F1FE9">
        <w:t>s</w:t>
      </w:r>
      <w:r w:rsidR="00496507">
        <w:t xml:space="preserve"> about the test were mostly determined by the </w:t>
      </w:r>
      <w:r w:rsidR="000F1FE9">
        <w:t xml:space="preserve">test </w:t>
      </w:r>
      <w:r w:rsidR="00496507">
        <w:t xml:space="preserve">result. It was reported that women with a low AMH level had feelings of isolation, loss of femininity and purpose, and devastation. Women with a normal test result felt reassured and surprised that their result was normal. In general, regardless of their test results, women indicated that knowledge about their ovarian reserve was important and </w:t>
      </w:r>
      <w:r w:rsidR="000F127E">
        <w:t>that it impacted their decision-making</w:t>
      </w:r>
      <w:r w:rsidR="00496507">
        <w:t xml:space="preserve"> regarding childbearing intentions. </w:t>
      </w:r>
      <w:r w:rsidR="00D663AB">
        <w:t>No evidence was found on</w:t>
      </w:r>
      <w:r w:rsidR="00496507">
        <w:t xml:space="preserve"> </w:t>
      </w:r>
      <w:r w:rsidR="00D663AB">
        <w:t>the psychological impact of AMH testing in women undergoing gonadoxic treatment. It is not known whether the</w:t>
      </w:r>
      <w:r w:rsidR="000F1FE9">
        <w:t xml:space="preserve"> psychological impact in the target population will</w:t>
      </w:r>
      <w:r w:rsidR="00D663AB">
        <w:t xml:space="preserve"> be similar, as the current priorities of women visiting a fertility specialist are like</w:t>
      </w:r>
      <w:r w:rsidR="002930F3">
        <w:t xml:space="preserve">ly to be quite different </w:t>
      </w:r>
      <w:r w:rsidR="000F127E">
        <w:t>compared to</w:t>
      </w:r>
      <w:r w:rsidR="002930F3">
        <w:t xml:space="preserve"> </w:t>
      </w:r>
      <w:r w:rsidR="000F127E">
        <w:t xml:space="preserve">those </w:t>
      </w:r>
      <w:r w:rsidR="00D663AB">
        <w:t xml:space="preserve">women with a potentially serious disease </w:t>
      </w:r>
      <w:r w:rsidR="000F127E">
        <w:t>requiring gonadotoxic treatment</w:t>
      </w:r>
      <w:r w:rsidR="00D663AB">
        <w:t xml:space="preserve"> </w:t>
      </w:r>
      <w:r w:rsidR="000F127E">
        <w:t>for whom</w:t>
      </w:r>
      <w:r w:rsidR="00D663AB">
        <w:t xml:space="preserve"> </w:t>
      </w:r>
      <w:r w:rsidR="000F127E">
        <w:t xml:space="preserve">biological children are not wanted, at least in the </w:t>
      </w:r>
      <w:r w:rsidR="00D663AB">
        <w:t>near future.</w:t>
      </w:r>
    </w:p>
    <w:p w14:paraId="543159B6" w14:textId="72D3E24D" w:rsidR="004E45C4" w:rsidRPr="004D6709" w:rsidRDefault="004E45C4" w:rsidP="004D6709">
      <w:pPr>
        <w:pStyle w:val="Heading1"/>
        <w:ind w:left="2410" w:hanging="2410"/>
      </w:pPr>
      <w:bookmarkStart w:id="463" w:name="_Ref352745383"/>
      <w:bookmarkStart w:id="464" w:name="_Toc352254677"/>
      <w:bookmarkStart w:id="465" w:name="_Toc352672949"/>
      <w:bookmarkStart w:id="466" w:name="_Toc355274740"/>
      <w:bookmarkStart w:id="467" w:name="_Toc379118097"/>
      <w:bookmarkStart w:id="468" w:name="_Toc381796496"/>
      <w:bookmarkStart w:id="469" w:name="_Toc502832997"/>
      <w:bookmarkStart w:id="470" w:name="_Ref237760111"/>
      <w:bookmarkEnd w:id="378"/>
      <w:bookmarkEnd w:id="379"/>
      <w:r w:rsidRPr="004D6709">
        <w:lastRenderedPageBreak/>
        <w:t xml:space="preserve">Appendix </w:t>
      </w:r>
      <w:r w:rsidR="0086593E" w:rsidRPr="004D6709">
        <w:fldChar w:fldCharType="begin"/>
      </w:r>
      <w:r w:rsidR="00A63A5D" w:rsidRPr="004D6709">
        <w:instrText xml:space="preserve"> SEQ Appendix \* ALPHABETIC </w:instrText>
      </w:r>
      <w:r w:rsidR="0086593E" w:rsidRPr="004D6709">
        <w:fldChar w:fldCharType="separate"/>
      </w:r>
      <w:r w:rsidR="00AC4BE5">
        <w:rPr>
          <w:noProof/>
        </w:rPr>
        <w:t>A</w:t>
      </w:r>
      <w:r w:rsidR="0086593E" w:rsidRPr="004D6709">
        <w:fldChar w:fldCharType="end"/>
      </w:r>
      <w:bookmarkEnd w:id="463"/>
      <w:bookmarkEnd w:id="464"/>
      <w:bookmarkEnd w:id="465"/>
      <w:r w:rsidR="00745565" w:rsidRPr="004D6709">
        <w:tab/>
      </w:r>
      <w:r w:rsidR="003E626D" w:rsidRPr="004D6709">
        <w:t xml:space="preserve">Clinical </w:t>
      </w:r>
      <w:r w:rsidR="00DC5CE5" w:rsidRPr="004D6709">
        <w:t>e</w:t>
      </w:r>
      <w:r w:rsidR="003E626D" w:rsidRPr="004D6709">
        <w:t>xperts</w:t>
      </w:r>
      <w:r w:rsidR="00745565" w:rsidRPr="004D6709">
        <w:t xml:space="preserve"> </w:t>
      </w:r>
      <w:r w:rsidRPr="004D6709">
        <w:t xml:space="preserve">and </w:t>
      </w:r>
      <w:r w:rsidR="00DC5CE5" w:rsidRPr="004D6709">
        <w:t>a</w:t>
      </w:r>
      <w:r w:rsidRPr="004D6709">
        <w:t xml:space="preserve">ssessment </w:t>
      </w:r>
      <w:r w:rsidR="00DC5CE5" w:rsidRPr="004D6709">
        <w:t>g</w:t>
      </w:r>
      <w:r w:rsidRPr="004D6709">
        <w:t>roup</w:t>
      </w:r>
      <w:bookmarkEnd w:id="466"/>
      <w:bookmarkEnd w:id="467"/>
      <w:bookmarkEnd w:id="468"/>
      <w:bookmarkEnd w:id="469"/>
    </w:p>
    <w:p w14:paraId="5E87DB88" w14:textId="54B24C8D" w:rsidR="004E45C4" w:rsidRPr="00183E4D" w:rsidRDefault="002047EB" w:rsidP="00DF343F">
      <w:pPr>
        <w:pStyle w:val="Heading2"/>
        <w:jc w:val="both"/>
      </w:pPr>
      <w:bookmarkStart w:id="471" w:name="_Toc502832998"/>
      <w:r>
        <w:t>Clinical experts</w:t>
      </w:r>
      <w:bookmarkEnd w:id="471"/>
    </w:p>
    <w:p w14:paraId="25368C37" w14:textId="73CE16B6" w:rsidR="003E626D" w:rsidRDefault="003E626D" w:rsidP="003E626D">
      <w:pPr>
        <w:tabs>
          <w:tab w:val="left" w:pos="4111"/>
        </w:tabs>
        <w:spacing w:after="40"/>
        <w:jc w:val="both"/>
        <w:rPr>
          <w:u w:val="single"/>
        </w:rPr>
      </w:pPr>
      <w:r w:rsidRPr="00183E4D">
        <w:rPr>
          <w:u w:val="single"/>
        </w:rPr>
        <w:t>Name</w:t>
      </w:r>
      <w:r w:rsidRPr="00183E4D">
        <w:tab/>
      </w:r>
      <w:r>
        <w:rPr>
          <w:u w:val="single"/>
        </w:rPr>
        <w:t>Expertise</w:t>
      </w:r>
      <w:r w:rsidR="002047EB">
        <w:rPr>
          <w:u w:val="single"/>
        </w:rPr>
        <w:t xml:space="preserve"> or affiliation</w:t>
      </w:r>
    </w:p>
    <w:p w14:paraId="5D27B050" w14:textId="25FE6BA0" w:rsidR="007518CF" w:rsidRDefault="002047EB" w:rsidP="003E626D">
      <w:pPr>
        <w:tabs>
          <w:tab w:val="left" w:pos="4111"/>
        </w:tabs>
        <w:spacing w:after="40"/>
        <w:jc w:val="both"/>
      </w:pPr>
      <w:r>
        <w:t>Dr. Antoinette Anazodo</w:t>
      </w:r>
      <w:r w:rsidR="00127544">
        <w:tab/>
        <w:t>Paedi</w:t>
      </w:r>
      <w:r w:rsidR="00B71456">
        <w:t>atric and adolescent oncologist;</w:t>
      </w:r>
      <w:r w:rsidR="00127544">
        <w:t xml:space="preserve"> Director</w:t>
      </w:r>
      <w:r w:rsidR="000F127E">
        <w:t>,</w:t>
      </w:r>
      <w:r w:rsidR="00B71456">
        <w:tab/>
        <w:t xml:space="preserve">Sydney Youth Cancer Service; NSW Lead, </w:t>
      </w:r>
      <w:r w:rsidR="00127544">
        <w:t xml:space="preserve">Youth </w:t>
      </w:r>
      <w:r w:rsidR="00127544">
        <w:tab/>
        <w:t>Cancer in NSW and ACT</w:t>
      </w:r>
    </w:p>
    <w:p w14:paraId="1ED15C80" w14:textId="6B2F5A10" w:rsidR="002047EB" w:rsidRDefault="002047EB" w:rsidP="003E626D">
      <w:pPr>
        <w:tabs>
          <w:tab w:val="left" w:pos="4111"/>
        </w:tabs>
        <w:spacing w:after="40"/>
        <w:jc w:val="both"/>
      </w:pPr>
      <w:r>
        <w:t>Assoc. Prof. Cathryn Stern</w:t>
      </w:r>
      <w:r w:rsidR="000C1DFE">
        <w:tab/>
      </w:r>
      <w:r w:rsidR="00931ACC">
        <w:t>Head</w:t>
      </w:r>
      <w:r w:rsidR="000F127E">
        <w:t>,</w:t>
      </w:r>
      <w:r w:rsidR="00931ACC">
        <w:t xml:space="preserve"> </w:t>
      </w:r>
      <w:r w:rsidR="000F127E">
        <w:t>Fertility Preservation Service,</w:t>
      </w:r>
      <w:r w:rsidR="00931ACC">
        <w:t xml:space="preserve"> </w:t>
      </w:r>
      <w:r w:rsidR="00B71456">
        <w:t xml:space="preserve">Royal </w:t>
      </w:r>
      <w:r w:rsidR="00931ACC">
        <w:t xml:space="preserve">Women’s </w:t>
      </w:r>
      <w:r w:rsidR="00B71456">
        <w:tab/>
      </w:r>
      <w:r w:rsidR="00931ACC">
        <w:t>Hospital and Melbourne IVF</w:t>
      </w:r>
    </w:p>
    <w:p w14:paraId="64F8533E" w14:textId="1021F8C5" w:rsidR="007518CF" w:rsidRDefault="002047EB" w:rsidP="003E626D">
      <w:pPr>
        <w:tabs>
          <w:tab w:val="left" w:pos="4111"/>
        </w:tabs>
        <w:spacing w:after="40"/>
        <w:jc w:val="both"/>
      </w:pPr>
      <w:r>
        <w:t>Prof. William Ledger</w:t>
      </w:r>
      <w:r w:rsidR="00127544">
        <w:tab/>
      </w:r>
      <w:r w:rsidR="000F127E">
        <w:t>S</w:t>
      </w:r>
      <w:r w:rsidR="00127544">
        <w:t>enior fertili</w:t>
      </w:r>
      <w:r w:rsidR="00B71456">
        <w:t xml:space="preserve">ty specialist and gynaecologist, </w:t>
      </w:r>
      <w:r w:rsidR="00127544">
        <w:t xml:space="preserve">IVF </w:t>
      </w:r>
      <w:r w:rsidR="000C1DFE">
        <w:tab/>
      </w:r>
      <w:r w:rsidR="00B71456">
        <w:t>Australia;</w:t>
      </w:r>
      <w:r w:rsidR="00127544">
        <w:t xml:space="preserve"> Head and Professor of Obstetrics and </w:t>
      </w:r>
      <w:r w:rsidR="000C1DFE">
        <w:tab/>
      </w:r>
      <w:r w:rsidR="00B71456">
        <w:t xml:space="preserve">Gynaecology, </w:t>
      </w:r>
      <w:r w:rsidR="00127544">
        <w:t>Royal Hospital for Women</w:t>
      </w:r>
      <w:r w:rsidR="00B71456">
        <w:t>;</w:t>
      </w:r>
      <w:r w:rsidR="00127544">
        <w:t xml:space="preserve"> Head</w:t>
      </w:r>
      <w:r w:rsidR="00B71456">
        <w:t>,</w:t>
      </w:r>
      <w:r w:rsidR="00B71456">
        <w:tab/>
      </w:r>
      <w:r w:rsidR="00127544">
        <w:t>Disciplin</w:t>
      </w:r>
      <w:r w:rsidR="00B71456">
        <w:t xml:space="preserve">e of Obstetrics and Gynaecology, </w:t>
      </w:r>
      <w:r w:rsidR="00127544">
        <w:t xml:space="preserve">University of </w:t>
      </w:r>
      <w:r w:rsidR="00B71456">
        <w:tab/>
      </w:r>
      <w:r w:rsidR="00127544">
        <w:t>New South Wales</w:t>
      </w:r>
    </w:p>
    <w:p w14:paraId="38ADE536" w14:textId="181894FE" w:rsidR="003E626D" w:rsidRPr="00183E4D" w:rsidRDefault="002047EB" w:rsidP="00B71456">
      <w:pPr>
        <w:tabs>
          <w:tab w:val="left" w:pos="4111"/>
        </w:tabs>
        <w:jc w:val="both"/>
      </w:pPr>
      <w:r>
        <w:t>Dr</w:t>
      </w:r>
      <w:r w:rsidR="002B2631">
        <w:t>.</w:t>
      </w:r>
      <w:r>
        <w:t xml:space="preserve"> David Molloy</w:t>
      </w:r>
      <w:r w:rsidR="00931ACC">
        <w:tab/>
        <w:t>Gynaeco</w:t>
      </w:r>
      <w:r w:rsidR="00B71456">
        <w:t>logist and fertility specialist; Clinical D</w:t>
      </w:r>
      <w:r w:rsidR="00931ACC">
        <w:t>irector</w:t>
      </w:r>
      <w:r w:rsidR="00B71456">
        <w:t>,</w:t>
      </w:r>
      <w:r w:rsidR="00931ACC">
        <w:t xml:space="preserve"> </w:t>
      </w:r>
      <w:r w:rsidR="00931ACC">
        <w:tab/>
        <w:t>Queensland Fertility Group</w:t>
      </w:r>
    </w:p>
    <w:p w14:paraId="5103A560" w14:textId="77777777" w:rsidR="007518CF" w:rsidRDefault="004E45C4" w:rsidP="00DF343F">
      <w:pPr>
        <w:pStyle w:val="Heading2"/>
        <w:jc w:val="both"/>
      </w:pPr>
      <w:bookmarkStart w:id="472" w:name="_Toc379118099"/>
      <w:bookmarkStart w:id="473" w:name="_Toc381796498"/>
      <w:bookmarkStart w:id="474" w:name="_Toc502832999"/>
      <w:r w:rsidRPr="00183E4D">
        <w:t>Assessment group</w:t>
      </w:r>
      <w:bookmarkEnd w:id="472"/>
      <w:bookmarkEnd w:id="473"/>
      <w:bookmarkEnd w:id="474"/>
    </w:p>
    <w:p w14:paraId="6A2DE531" w14:textId="4BB3EFCF" w:rsidR="004E45C4" w:rsidRPr="00183E4D" w:rsidRDefault="004E45C4" w:rsidP="00DF343F">
      <w:pPr>
        <w:tabs>
          <w:tab w:val="left" w:pos="4111"/>
        </w:tabs>
        <w:spacing w:after="40"/>
        <w:jc w:val="both"/>
        <w:rPr>
          <w:u w:val="single"/>
        </w:rPr>
      </w:pPr>
      <w:r w:rsidRPr="00183E4D">
        <w:rPr>
          <w:u w:val="single"/>
        </w:rPr>
        <w:t>Name</w:t>
      </w:r>
      <w:r w:rsidRPr="00183E4D">
        <w:tab/>
      </w:r>
      <w:r w:rsidRPr="00183E4D">
        <w:rPr>
          <w:u w:val="single"/>
        </w:rPr>
        <w:t>Position</w:t>
      </w:r>
    </w:p>
    <w:p w14:paraId="35A14368" w14:textId="41C52020" w:rsidR="002B2631" w:rsidRDefault="002B2631" w:rsidP="00DF343F">
      <w:pPr>
        <w:tabs>
          <w:tab w:val="left" w:pos="4111"/>
        </w:tabs>
        <w:jc w:val="both"/>
      </w:pPr>
      <w:r>
        <w:t>Sharon Kessels</w:t>
      </w:r>
      <w:r>
        <w:tab/>
        <w:t>Senior Research Officer</w:t>
      </w:r>
    </w:p>
    <w:p w14:paraId="51D14CE9" w14:textId="31B9F4DC" w:rsidR="002B2631" w:rsidRDefault="002B2631" w:rsidP="00DF343F">
      <w:pPr>
        <w:tabs>
          <w:tab w:val="left" w:pos="4111"/>
        </w:tabs>
        <w:jc w:val="both"/>
      </w:pPr>
      <w:r>
        <w:t>Ruchi Mittal</w:t>
      </w:r>
      <w:r>
        <w:tab/>
        <w:t>Health Economist</w:t>
      </w:r>
    </w:p>
    <w:p w14:paraId="09DF9CC4" w14:textId="25FFA246" w:rsidR="002B2631" w:rsidRDefault="002B2631" w:rsidP="00DF343F">
      <w:pPr>
        <w:tabs>
          <w:tab w:val="left" w:pos="4111"/>
        </w:tabs>
        <w:jc w:val="both"/>
      </w:pPr>
      <w:r>
        <w:t>Judy Morona</w:t>
      </w:r>
      <w:r>
        <w:tab/>
        <w:t>Senior Research Officer</w:t>
      </w:r>
    </w:p>
    <w:p w14:paraId="71381DA2" w14:textId="31772F00" w:rsidR="002B2631" w:rsidRDefault="002B2631" w:rsidP="00DF343F">
      <w:pPr>
        <w:tabs>
          <w:tab w:val="left" w:pos="4111"/>
        </w:tabs>
        <w:jc w:val="both"/>
      </w:pPr>
      <w:r>
        <w:t>Skye Newton</w:t>
      </w:r>
      <w:r>
        <w:tab/>
        <w:t>Team Leader (Medical HTA)</w:t>
      </w:r>
    </w:p>
    <w:p w14:paraId="39F920F0" w14:textId="03C17FBD" w:rsidR="002B2631" w:rsidRDefault="002B2631" w:rsidP="00DF343F">
      <w:pPr>
        <w:tabs>
          <w:tab w:val="left" w:pos="4111"/>
        </w:tabs>
        <w:jc w:val="both"/>
      </w:pPr>
      <w:r>
        <w:t>Camille Schubert</w:t>
      </w:r>
      <w:r>
        <w:tab/>
        <w:t>Team Leader (Economics)</w:t>
      </w:r>
    </w:p>
    <w:p w14:paraId="78F55ECE" w14:textId="210838CF" w:rsidR="002B2631" w:rsidRDefault="002B2631" w:rsidP="00DF343F">
      <w:pPr>
        <w:tabs>
          <w:tab w:val="left" w:pos="4111"/>
        </w:tabs>
        <w:jc w:val="both"/>
      </w:pPr>
      <w:r>
        <w:t>Jo Milverton</w:t>
      </w:r>
      <w:r>
        <w:tab/>
        <w:t>Research Officer</w:t>
      </w:r>
    </w:p>
    <w:p w14:paraId="0CA71612" w14:textId="6D66423F" w:rsidR="007B1DC8" w:rsidRPr="00183E4D" w:rsidRDefault="002B2631" w:rsidP="00B71456">
      <w:pPr>
        <w:tabs>
          <w:tab w:val="left" w:pos="4111"/>
        </w:tabs>
        <w:jc w:val="both"/>
      </w:pPr>
      <w:r>
        <w:t xml:space="preserve">Tracy Merlin </w:t>
      </w:r>
      <w:r>
        <w:tab/>
        <w:t>Managing Director</w:t>
      </w:r>
    </w:p>
    <w:p w14:paraId="010671F5" w14:textId="77777777" w:rsidR="004E45C4" w:rsidRPr="00183E4D" w:rsidRDefault="004E45C4" w:rsidP="00DF343F">
      <w:pPr>
        <w:spacing w:line="240" w:lineRule="auto"/>
        <w:jc w:val="both"/>
        <w:rPr>
          <w:b/>
          <w:sz w:val="28"/>
          <w:szCs w:val="28"/>
        </w:rPr>
      </w:pPr>
      <w:bookmarkStart w:id="475" w:name="_Toc352254679"/>
      <w:bookmarkStart w:id="476" w:name="_Toc352672951"/>
      <w:bookmarkStart w:id="477" w:name="_Toc352761736"/>
      <w:r w:rsidRPr="00183E4D">
        <w:rPr>
          <w:b/>
          <w:sz w:val="28"/>
          <w:szCs w:val="28"/>
        </w:rPr>
        <w:t>Noted conflicts of interest</w:t>
      </w:r>
      <w:bookmarkEnd w:id="475"/>
      <w:bookmarkEnd w:id="476"/>
      <w:bookmarkEnd w:id="477"/>
    </w:p>
    <w:p w14:paraId="6F4E6711" w14:textId="0A6AE5D3" w:rsidR="004E45C4" w:rsidRPr="00183E4D" w:rsidRDefault="004E45C4" w:rsidP="00DF343F">
      <w:pPr>
        <w:spacing w:line="240" w:lineRule="auto"/>
        <w:jc w:val="both"/>
      </w:pPr>
      <w:r w:rsidRPr="00183E4D">
        <w:t>There were no conflicts of interest.</w:t>
      </w:r>
    </w:p>
    <w:p w14:paraId="2DD4F7AE" w14:textId="558A944E" w:rsidR="007A7960" w:rsidRDefault="00193B87" w:rsidP="00DF343F">
      <w:pPr>
        <w:pStyle w:val="Heading1"/>
        <w:jc w:val="both"/>
      </w:pPr>
      <w:bookmarkStart w:id="478" w:name="_Toc379118100"/>
      <w:bookmarkStart w:id="479" w:name="_Toc381796499"/>
      <w:bookmarkStart w:id="480" w:name="_Toc502833000"/>
      <w:bookmarkEnd w:id="470"/>
      <w:r w:rsidRPr="00183E4D">
        <w:lastRenderedPageBreak/>
        <w:t xml:space="preserve">Appendix </w:t>
      </w:r>
      <w:r w:rsidR="00AC4BE5">
        <w:fldChar w:fldCharType="begin"/>
      </w:r>
      <w:r w:rsidR="00AC4BE5">
        <w:instrText xml:space="preserve"> SEQ Appendix \* ALPHABETIC </w:instrText>
      </w:r>
      <w:r w:rsidR="00AC4BE5">
        <w:fldChar w:fldCharType="separate"/>
      </w:r>
      <w:r w:rsidR="00AC4BE5">
        <w:rPr>
          <w:noProof/>
        </w:rPr>
        <w:t>B</w:t>
      </w:r>
      <w:r w:rsidR="00AC4BE5">
        <w:rPr>
          <w:noProof/>
        </w:rPr>
        <w:fldChar w:fldCharType="end"/>
      </w:r>
      <w:r w:rsidR="00871F61" w:rsidRPr="00183E4D">
        <w:tab/>
        <w:t>Search strategies</w:t>
      </w:r>
      <w:bookmarkEnd w:id="478"/>
      <w:bookmarkEnd w:id="479"/>
      <w:bookmarkEnd w:id="480"/>
    </w:p>
    <w:p w14:paraId="69AF1393" w14:textId="0EC30426" w:rsidR="007711F9" w:rsidRDefault="00E40E41" w:rsidP="00C22CC2">
      <w:pPr>
        <w:pStyle w:val="Heading2"/>
      </w:pPr>
      <w:bookmarkStart w:id="481" w:name="_Toc294256148"/>
      <w:bookmarkStart w:id="482" w:name="_Toc301358577"/>
      <w:bookmarkStart w:id="483" w:name="_Toc303677590"/>
      <w:bookmarkStart w:id="484" w:name="_Toc303677762"/>
      <w:bookmarkStart w:id="485" w:name="_Toc381796500"/>
      <w:bookmarkStart w:id="486" w:name="_Toc502833001"/>
      <w:r w:rsidRPr="00183E4D">
        <w:t>Bibliographic database</w:t>
      </w:r>
      <w:bookmarkStart w:id="487" w:name="_Ref493593234"/>
      <w:bookmarkEnd w:id="481"/>
      <w:bookmarkEnd w:id="482"/>
      <w:bookmarkEnd w:id="483"/>
      <w:bookmarkEnd w:id="484"/>
      <w:bookmarkEnd w:id="485"/>
      <w:r w:rsidR="007711F9">
        <w:t>s</w:t>
      </w:r>
      <w:bookmarkEnd w:id="486"/>
    </w:p>
    <w:p w14:paraId="69B36F83" w14:textId="77777777" w:rsidR="007518CF" w:rsidRDefault="007711F9" w:rsidP="007711F9">
      <w:pPr>
        <w:jc w:val="both"/>
      </w:pPr>
      <w:r w:rsidRPr="00D86397">
        <w:t xml:space="preserve">Electronic bibliographic databases </w:t>
      </w:r>
      <w:r>
        <w:t>were</w:t>
      </w:r>
      <w:r w:rsidRPr="00D86397">
        <w:t xml:space="preserve"> sea</w:t>
      </w:r>
      <w:r w:rsidR="00DA12F3">
        <w:t>rched studies meeting the inclusion criteria to address</w:t>
      </w:r>
      <w:r w:rsidRPr="00D86397">
        <w:t xml:space="preserve"> each of the research questions developed for this MSAC assessment. These databases are describ</w:t>
      </w:r>
      <w:r>
        <w:t xml:space="preserve">ed in </w:t>
      </w:r>
      <w:r>
        <w:fldChar w:fldCharType="begin"/>
      </w:r>
      <w:r>
        <w:instrText xml:space="preserve"> REF _Ref497987005 \h </w:instrText>
      </w:r>
      <w:r>
        <w:fldChar w:fldCharType="separate"/>
      </w:r>
      <w:r w:rsidR="00AC4BE5">
        <w:t xml:space="preserve">Table </w:t>
      </w:r>
      <w:r w:rsidR="00AC4BE5">
        <w:rPr>
          <w:noProof/>
        </w:rPr>
        <w:t>76</w:t>
      </w:r>
      <w:r>
        <w:fldChar w:fldCharType="end"/>
      </w:r>
      <w:r w:rsidRPr="00D86397">
        <w:t>.</w:t>
      </w:r>
    </w:p>
    <w:p w14:paraId="58BE607E" w14:textId="6701D305" w:rsidR="007711F9" w:rsidRDefault="007711F9" w:rsidP="007711F9">
      <w:pPr>
        <w:pStyle w:val="Caption"/>
        <w:keepNext/>
      </w:pPr>
      <w:bookmarkStart w:id="488" w:name="_Ref497987005"/>
      <w:bookmarkStart w:id="489" w:name="_Toc502833094"/>
      <w:r>
        <w:t xml:space="preserve">Table </w:t>
      </w:r>
      <w:r w:rsidR="00AC4BE5">
        <w:fldChar w:fldCharType="begin"/>
      </w:r>
      <w:r w:rsidR="00AC4BE5">
        <w:instrText xml:space="preserve"> SEQ Table \* ARABIC </w:instrText>
      </w:r>
      <w:r w:rsidR="00AC4BE5">
        <w:fldChar w:fldCharType="separate"/>
      </w:r>
      <w:r w:rsidR="00AC4BE5">
        <w:rPr>
          <w:noProof/>
        </w:rPr>
        <w:t>76</w:t>
      </w:r>
      <w:r w:rsidR="00AC4BE5">
        <w:rPr>
          <w:noProof/>
        </w:rPr>
        <w:fldChar w:fldCharType="end"/>
      </w:r>
      <w:bookmarkEnd w:id="488"/>
      <w:r>
        <w:tab/>
      </w:r>
      <w:r w:rsidRPr="00F60322">
        <w:t>Bibliographic databases</w:t>
      </w:r>
      <w:bookmarkEnd w:id="489"/>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9"/>
        <w:gridCol w:w="1985"/>
      </w:tblGrid>
      <w:tr w:rsidR="007711F9" w:rsidRPr="00D86397" w14:paraId="7F7CF38A" w14:textId="77777777" w:rsidTr="007711F9">
        <w:trPr>
          <w:trHeight w:val="336"/>
        </w:trPr>
        <w:tc>
          <w:tcPr>
            <w:tcW w:w="7059" w:type="dxa"/>
          </w:tcPr>
          <w:p w14:paraId="0CB89686" w14:textId="77777777" w:rsidR="007711F9" w:rsidRPr="00260996" w:rsidRDefault="007711F9" w:rsidP="00260996">
            <w:pPr>
              <w:pStyle w:val="TableText0"/>
              <w:rPr>
                <w:b/>
              </w:rPr>
            </w:pPr>
            <w:r w:rsidRPr="00260996">
              <w:rPr>
                <w:b/>
              </w:rPr>
              <w:t>Electronic database</w:t>
            </w:r>
          </w:p>
        </w:tc>
        <w:tc>
          <w:tcPr>
            <w:tcW w:w="1985" w:type="dxa"/>
          </w:tcPr>
          <w:p w14:paraId="207339CB" w14:textId="77777777" w:rsidR="007711F9" w:rsidRPr="00260996" w:rsidRDefault="007711F9" w:rsidP="00260996">
            <w:pPr>
              <w:pStyle w:val="TableText0"/>
              <w:rPr>
                <w:b/>
              </w:rPr>
            </w:pPr>
            <w:r w:rsidRPr="00260996">
              <w:rPr>
                <w:b/>
              </w:rPr>
              <w:t>Time period</w:t>
            </w:r>
          </w:p>
        </w:tc>
      </w:tr>
      <w:tr w:rsidR="007711F9" w:rsidRPr="00D86397" w14:paraId="52FFDD8B" w14:textId="77777777" w:rsidTr="007711F9">
        <w:tc>
          <w:tcPr>
            <w:tcW w:w="7059" w:type="dxa"/>
          </w:tcPr>
          <w:p w14:paraId="7797EA51" w14:textId="13A05323" w:rsidR="007711F9" w:rsidRPr="00D86397" w:rsidRDefault="00B50CCE" w:rsidP="00260996">
            <w:pPr>
              <w:pStyle w:val="TableText0"/>
            </w:pPr>
            <w:r>
              <w:t>Cochrane Library, including</w:t>
            </w:r>
            <w:r w:rsidR="007711F9" w:rsidRPr="00D86397">
              <w:t xml:space="preserve"> Cochrane Database of Systematic Reviews, Database of Abstracts of Reviews of Effects, the Cochrane Central Register of Controlled Trials (CENTRAL), the Health Technology Assessment Database, the NHS Economic Evaluation Database</w:t>
            </w:r>
          </w:p>
        </w:tc>
        <w:tc>
          <w:tcPr>
            <w:tcW w:w="1985" w:type="dxa"/>
          </w:tcPr>
          <w:p w14:paraId="1A0528ED" w14:textId="707ECF2F" w:rsidR="007711F9" w:rsidRPr="00D86397" w:rsidRDefault="007711F9" w:rsidP="00260996">
            <w:pPr>
              <w:pStyle w:val="TableText0"/>
            </w:pPr>
            <w:r>
              <w:t>Inception</w:t>
            </w:r>
            <w:r w:rsidR="00D60574">
              <w:t>–</w:t>
            </w:r>
            <w:r>
              <w:t>6/</w:t>
            </w:r>
            <w:r w:rsidRPr="00D86397">
              <w:t>201</w:t>
            </w:r>
            <w:r>
              <w:t>7</w:t>
            </w:r>
          </w:p>
        </w:tc>
      </w:tr>
      <w:tr w:rsidR="007711F9" w:rsidRPr="00D86397" w14:paraId="343D2294" w14:textId="77777777" w:rsidTr="007711F9">
        <w:tc>
          <w:tcPr>
            <w:tcW w:w="7059" w:type="dxa"/>
          </w:tcPr>
          <w:p w14:paraId="3CE30858" w14:textId="77777777" w:rsidR="007711F9" w:rsidRPr="00D86397" w:rsidRDefault="007711F9" w:rsidP="00260996">
            <w:pPr>
              <w:pStyle w:val="TableText0"/>
            </w:pPr>
            <w:r w:rsidRPr="00211AC7">
              <w:t>CINAHL</w:t>
            </w:r>
          </w:p>
        </w:tc>
        <w:tc>
          <w:tcPr>
            <w:tcW w:w="1985" w:type="dxa"/>
          </w:tcPr>
          <w:p w14:paraId="6CC3F28E" w14:textId="46A26506" w:rsidR="007711F9" w:rsidRPr="00D86397" w:rsidRDefault="007711F9" w:rsidP="00260996">
            <w:pPr>
              <w:pStyle w:val="TableText0"/>
            </w:pPr>
            <w:r>
              <w:t>Inception</w:t>
            </w:r>
            <w:r w:rsidR="00D60574">
              <w:t>–</w:t>
            </w:r>
            <w:r>
              <w:t>6/</w:t>
            </w:r>
            <w:r w:rsidRPr="00D86397">
              <w:t>201</w:t>
            </w:r>
            <w:r>
              <w:t>7</w:t>
            </w:r>
          </w:p>
        </w:tc>
      </w:tr>
      <w:tr w:rsidR="007711F9" w:rsidRPr="00D86397" w14:paraId="0E3F6B63" w14:textId="77777777" w:rsidTr="007711F9">
        <w:tc>
          <w:tcPr>
            <w:tcW w:w="7059" w:type="dxa"/>
          </w:tcPr>
          <w:p w14:paraId="28645E4F" w14:textId="77777777" w:rsidR="007711F9" w:rsidRPr="00D86397" w:rsidRDefault="007711F9" w:rsidP="00260996">
            <w:pPr>
              <w:pStyle w:val="TableText0"/>
            </w:pPr>
            <w:r w:rsidRPr="00211AC7">
              <w:t>Current Contents</w:t>
            </w:r>
          </w:p>
        </w:tc>
        <w:tc>
          <w:tcPr>
            <w:tcW w:w="1985" w:type="dxa"/>
          </w:tcPr>
          <w:p w14:paraId="2D82CEAC" w14:textId="3061EA2F" w:rsidR="007711F9" w:rsidRPr="00D86397" w:rsidRDefault="007711F9" w:rsidP="00260996">
            <w:pPr>
              <w:pStyle w:val="TableText0"/>
            </w:pPr>
            <w:r>
              <w:t>Inception</w:t>
            </w:r>
            <w:r w:rsidR="00D60574">
              <w:t>–</w:t>
            </w:r>
            <w:r>
              <w:t>6/</w:t>
            </w:r>
            <w:r w:rsidRPr="00D86397">
              <w:t>201</w:t>
            </w:r>
            <w:r>
              <w:t>7</w:t>
            </w:r>
          </w:p>
        </w:tc>
      </w:tr>
      <w:tr w:rsidR="007711F9" w:rsidRPr="00D86397" w14:paraId="3ABEA59E" w14:textId="77777777" w:rsidTr="007711F9">
        <w:tc>
          <w:tcPr>
            <w:tcW w:w="7059" w:type="dxa"/>
          </w:tcPr>
          <w:p w14:paraId="320772B5" w14:textId="77777777" w:rsidR="007711F9" w:rsidRPr="00D86397" w:rsidRDefault="007711F9" w:rsidP="00260996">
            <w:pPr>
              <w:pStyle w:val="TableText0"/>
            </w:pPr>
            <w:r w:rsidRPr="00D86397">
              <w:t xml:space="preserve">Embase </w:t>
            </w:r>
            <w:r w:rsidRPr="00211AC7">
              <w:t>(including Embase and Medline)</w:t>
            </w:r>
          </w:p>
        </w:tc>
        <w:tc>
          <w:tcPr>
            <w:tcW w:w="1985" w:type="dxa"/>
          </w:tcPr>
          <w:p w14:paraId="62C85701" w14:textId="42998888" w:rsidR="007711F9" w:rsidRPr="00D86397" w:rsidRDefault="007711F9" w:rsidP="00260996">
            <w:pPr>
              <w:pStyle w:val="TableText0"/>
            </w:pPr>
            <w:r>
              <w:t>Inception</w:t>
            </w:r>
            <w:r w:rsidR="00D60574">
              <w:t>–</w:t>
            </w:r>
            <w:r>
              <w:t>6/</w:t>
            </w:r>
            <w:r w:rsidRPr="00D86397">
              <w:t>201</w:t>
            </w:r>
            <w:r>
              <w:t>7</w:t>
            </w:r>
          </w:p>
        </w:tc>
      </w:tr>
      <w:tr w:rsidR="007711F9" w:rsidRPr="00D86397" w14:paraId="0B726FCE" w14:textId="77777777" w:rsidTr="007711F9">
        <w:tc>
          <w:tcPr>
            <w:tcW w:w="7059" w:type="dxa"/>
          </w:tcPr>
          <w:p w14:paraId="3EE47996" w14:textId="77777777" w:rsidR="007711F9" w:rsidRPr="00D86397" w:rsidRDefault="007711F9" w:rsidP="00260996">
            <w:pPr>
              <w:pStyle w:val="TableText0"/>
            </w:pPr>
            <w:r w:rsidRPr="00D86397">
              <w:t>PubMed</w:t>
            </w:r>
          </w:p>
        </w:tc>
        <w:tc>
          <w:tcPr>
            <w:tcW w:w="1985" w:type="dxa"/>
          </w:tcPr>
          <w:p w14:paraId="5E194B81" w14:textId="02234AF3" w:rsidR="007711F9" w:rsidRPr="00D86397" w:rsidRDefault="007711F9" w:rsidP="00260996">
            <w:pPr>
              <w:pStyle w:val="TableText0"/>
            </w:pPr>
            <w:r>
              <w:t>Inception</w:t>
            </w:r>
            <w:r w:rsidR="00D60574">
              <w:t>–</w:t>
            </w:r>
            <w:r>
              <w:t>6/</w:t>
            </w:r>
            <w:r w:rsidRPr="00D86397">
              <w:t>201</w:t>
            </w:r>
            <w:r>
              <w:t>7</w:t>
            </w:r>
          </w:p>
        </w:tc>
      </w:tr>
      <w:tr w:rsidR="007711F9" w:rsidRPr="00D86397" w14:paraId="2CD2C5CB" w14:textId="77777777" w:rsidTr="007711F9">
        <w:tc>
          <w:tcPr>
            <w:tcW w:w="7059" w:type="dxa"/>
          </w:tcPr>
          <w:p w14:paraId="4037E071" w14:textId="5534A91C" w:rsidR="007711F9" w:rsidRPr="00D86397" w:rsidRDefault="007711F9" w:rsidP="00260996">
            <w:pPr>
              <w:pStyle w:val="TableText0"/>
            </w:pPr>
            <w:r w:rsidRPr="00211AC7">
              <w:t xml:space="preserve">Web of Science </w:t>
            </w:r>
            <w:r w:rsidR="00B50CCE">
              <w:t>-</w:t>
            </w:r>
            <w:r w:rsidRPr="00211AC7">
              <w:t xml:space="preserve"> Science Citation Index Expanded</w:t>
            </w:r>
          </w:p>
        </w:tc>
        <w:tc>
          <w:tcPr>
            <w:tcW w:w="1985" w:type="dxa"/>
          </w:tcPr>
          <w:p w14:paraId="3AAA2824" w14:textId="36C90ABF" w:rsidR="007711F9" w:rsidRPr="00D86397" w:rsidRDefault="007711F9" w:rsidP="00260996">
            <w:pPr>
              <w:pStyle w:val="TableText0"/>
            </w:pPr>
            <w:r>
              <w:t>Inception</w:t>
            </w:r>
            <w:r w:rsidR="00D60574">
              <w:t>–</w:t>
            </w:r>
            <w:r>
              <w:t>6/</w:t>
            </w:r>
            <w:r w:rsidRPr="00D86397">
              <w:t>201</w:t>
            </w:r>
            <w:r>
              <w:t>7</w:t>
            </w:r>
          </w:p>
        </w:tc>
      </w:tr>
      <w:tr w:rsidR="007711F9" w:rsidRPr="00D86397" w14:paraId="27EB0326" w14:textId="77777777" w:rsidTr="007711F9">
        <w:tc>
          <w:tcPr>
            <w:tcW w:w="7059" w:type="dxa"/>
          </w:tcPr>
          <w:p w14:paraId="2CFAD8FC" w14:textId="77777777" w:rsidR="007711F9" w:rsidRPr="00211AC7" w:rsidRDefault="007711F9" w:rsidP="00260996">
            <w:pPr>
              <w:pStyle w:val="TableText0"/>
            </w:pPr>
            <w:r w:rsidRPr="00211AC7">
              <w:t>PsycINFO (for ethical issues only)</w:t>
            </w:r>
          </w:p>
        </w:tc>
        <w:tc>
          <w:tcPr>
            <w:tcW w:w="1985" w:type="dxa"/>
          </w:tcPr>
          <w:p w14:paraId="2E630607" w14:textId="06885B0F" w:rsidR="007711F9" w:rsidRPr="00D86397" w:rsidRDefault="007711F9" w:rsidP="00260996">
            <w:pPr>
              <w:pStyle w:val="TableText0"/>
            </w:pPr>
            <w:r>
              <w:t>Inception</w:t>
            </w:r>
            <w:r w:rsidR="00D60574">
              <w:t>–</w:t>
            </w:r>
            <w:r>
              <w:t>6/</w:t>
            </w:r>
            <w:r w:rsidRPr="00D86397">
              <w:t>201</w:t>
            </w:r>
            <w:r>
              <w:t>7</w:t>
            </w:r>
          </w:p>
        </w:tc>
      </w:tr>
    </w:tbl>
    <w:p w14:paraId="474EC4F7" w14:textId="5B191976" w:rsidR="007711F9" w:rsidRPr="00D86397" w:rsidRDefault="00B50CCE" w:rsidP="008F63C7">
      <w:pPr>
        <w:spacing w:before="240"/>
      </w:pPr>
      <w:r>
        <w:t xml:space="preserve">Additional literature, including </w:t>
      </w:r>
      <w:r w:rsidR="007711F9" w:rsidRPr="00D86397">
        <w:t>peer-reviewed or gre</w:t>
      </w:r>
      <w:r>
        <w:t xml:space="preserve">y literature, </w:t>
      </w:r>
      <w:r w:rsidR="007711F9">
        <w:t>was sought</w:t>
      </w:r>
      <w:r w:rsidR="007711F9" w:rsidRPr="00D86397">
        <w:t xml:space="preserve"> fro</w:t>
      </w:r>
      <w:r w:rsidR="007711F9">
        <w:t xml:space="preserve">m the sources outlined in </w:t>
      </w:r>
      <w:r w:rsidR="007711F9">
        <w:fldChar w:fldCharType="begin"/>
      </w:r>
      <w:r w:rsidR="007711F9">
        <w:instrText xml:space="preserve"> REF _Ref497987304 \h </w:instrText>
      </w:r>
      <w:r w:rsidR="007711F9">
        <w:fldChar w:fldCharType="separate"/>
      </w:r>
      <w:r w:rsidR="00AC4BE5">
        <w:t xml:space="preserve">Table </w:t>
      </w:r>
      <w:r w:rsidR="00AC4BE5">
        <w:rPr>
          <w:noProof/>
        </w:rPr>
        <w:t>77</w:t>
      </w:r>
      <w:r w:rsidR="007711F9">
        <w:fldChar w:fldCharType="end"/>
      </w:r>
      <w:r w:rsidR="007711F9" w:rsidRPr="00D86397">
        <w:t xml:space="preserve">, and from the health technology assessment agency </w:t>
      </w:r>
      <w:r w:rsidR="007711F9">
        <w:t xml:space="preserve">websites provided in </w:t>
      </w:r>
      <w:r w:rsidR="007711F9">
        <w:fldChar w:fldCharType="begin"/>
      </w:r>
      <w:r w:rsidR="007711F9">
        <w:instrText xml:space="preserve"> REF _Ref497987311 \h </w:instrText>
      </w:r>
      <w:r w:rsidR="007711F9">
        <w:fldChar w:fldCharType="separate"/>
      </w:r>
      <w:r w:rsidR="00AC4BE5">
        <w:t xml:space="preserve">Table </w:t>
      </w:r>
      <w:r w:rsidR="00AC4BE5">
        <w:rPr>
          <w:noProof/>
        </w:rPr>
        <w:t>78</w:t>
      </w:r>
      <w:r w:rsidR="007711F9">
        <w:fldChar w:fldCharType="end"/>
      </w:r>
      <w:r w:rsidR="007711F9" w:rsidRPr="00D86397">
        <w:t xml:space="preserve">. Websites of specialty organisations </w:t>
      </w:r>
      <w:r w:rsidR="007711F9">
        <w:t>were also</w:t>
      </w:r>
      <w:r w:rsidR="007711F9" w:rsidRPr="00D86397">
        <w:t xml:space="preserve"> searched for any potentially relevant information</w:t>
      </w:r>
      <w:r w:rsidR="007711F9">
        <w:t xml:space="preserve"> (</w:t>
      </w:r>
      <w:r w:rsidR="007711F9">
        <w:fldChar w:fldCharType="begin"/>
      </w:r>
      <w:r w:rsidR="007711F9">
        <w:instrText xml:space="preserve"> REF _Ref497987319 \h </w:instrText>
      </w:r>
      <w:r w:rsidR="007711F9">
        <w:fldChar w:fldCharType="separate"/>
      </w:r>
      <w:r w:rsidR="00AC4BE5">
        <w:t xml:space="preserve">Table </w:t>
      </w:r>
      <w:r w:rsidR="00AC4BE5">
        <w:rPr>
          <w:noProof/>
        </w:rPr>
        <w:t>79</w:t>
      </w:r>
      <w:r w:rsidR="007711F9">
        <w:fldChar w:fldCharType="end"/>
      </w:r>
      <w:r w:rsidR="007711F9">
        <w:t>)</w:t>
      </w:r>
      <w:r w:rsidR="007711F9" w:rsidRPr="00D86397">
        <w:t>.</w:t>
      </w:r>
    </w:p>
    <w:p w14:paraId="66DE78CD" w14:textId="1B41505A" w:rsidR="007711F9" w:rsidRDefault="007711F9" w:rsidP="00C96A3B">
      <w:pPr>
        <w:pStyle w:val="Caption"/>
        <w:keepNext/>
      </w:pPr>
      <w:bookmarkStart w:id="490" w:name="_Ref497987304"/>
      <w:bookmarkStart w:id="491" w:name="_Toc502833095"/>
      <w:r>
        <w:t xml:space="preserve">Table </w:t>
      </w:r>
      <w:r w:rsidR="00AC4BE5">
        <w:fldChar w:fldCharType="begin"/>
      </w:r>
      <w:r w:rsidR="00AC4BE5">
        <w:instrText xml:space="preserve"> SEQ Table \* ARABIC </w:instrText>
      </w:r>
      <w:r w:rsidR="00AC4BE5">
        <w:fldChar w:fldCharType="separate"/>
      </w:r>
      <w:r w:rsidR="00AC4BE5">
        <w:rPr>
          <w:noProof/>
        </w:rPr>
        <w:t>77</w:t>
      </w:r>
      <w:r w:rsidR="00AC4BE5">
        <w:rPr>
          <w:noProof/>
        </w:rPr>
        <w:fldChar w:fldCharType="end"/>
      </w:r>
      <w:bookmarkEnd w:id="490"/>
      <w:r w:rsidR="00DA12F3">
        <w:tab/>
      </w:r>
      <w:r w:rsidRPr="00C66622">
        <w:t>Additional sources of literature</w:t>
      </w:r>
      <w:bookmarkEnd w:id="49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iterature Search"/>
        <w:tblDescription w:val="additional literature sources"/>
      </w:tblPr>
      <w:tblGrid>
        <w:gridCol w:w="4390"/>
        <w:gridCol w:w="4790"/>
      </w:tblGrid>
      <w:tr w:rsidR="00C96A3B" w:rsidRPr="00C96A3B" w14:paraId="6AA569F7" w14:textId="77777777" w:rsidTr="009D0A93">
        <w:trPr>
          <w:tblHeader/>
        </w:trPr>
        <w:tc>
          <w:tcPr>
            <w:tcW w:w="4390" w:type="dxa"/>
          </w:tcPr>
          <w:p w14:paraId="15B422D1" w14:textId="77777777" w:rsidR="00C96A3B" w:rsidRPr="00260996" w:rsidRDefault="00C96A3B" w:rsidP="00260996">
            <w:pPr>
              <w:pStyle w:val="Tabletext1"/>
              <w:rPr>
                <w:b/>
                <w:lang w:eastAsia="en-US"/>
              </w:rPr>
            </w:pPr>
            <w:r w:rsidRPr="00260996">
              <w:rPr>
                <w:b/>
                <w:lang w:eastAsia="en-US"/>
              </w:rPr>
              <w:t>Source</w:t>
            </w:r>
          </w:p>
        </w:tc>
        <w:tc>
          <w:tcPr>
            <w:tcW w:w="4790" w:type="dxa"/>
          </w:tcPr>
          <w:p w14:paraId="3AA86E8A" w14:textId="61265468" w:rsidR="00C96A3B" w:rsidRPr="00260996" w:rsidRDefault="00DA12F3" w:rsidP="00260996">
            <w:pPr>
              <w:pStyle w:val="Tabletext1"/>
              <w:rPr>
                <w:b/>
                <w:lang w:eastAsia="en-US"/>
              </w:rPr>
            </w:pPr>
            <w:r w:rsidRPr="00260996">
              <w:rPr>
                <w:b/>
                <w:lang w:eastAsia="en-US"/>
              </w:rPr>
              <w:t>Location</w:t>
            </w:r>
          </w:p>
        </w:tc>
      </w:tr>
      <w:tr w:rsidR="00C96A3B" w:rsidRPr="00C96A3B" w14:paraId="45769353" w14:textId="77777777" w:rsidTr="009D0A93">
        <w:tc>
          <w:tcPr>
            <w:tcW w:w="4390" w:type="dxa"/>
          </w:tcPr>
          <w:p w14:paraId="66DF0DA8" w14:textId="77777777" w:rsidR="00C96A3B" w:rsidRPr="00C96A3B" w:rsidRDefault="00C96A3B" w:rsidP="00C96A3B">
            <w:pPr>
              <w:keepNext/>
              <w:spacing w:before="40" w:after="40" w:line="240" w:lineRule="auto"/>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lastRenderedPageBreak/>
              <w:t>Internet</w:t>
            </w:r>
          </w:p>
        </w:tc>
        <w:tc>
          <w:tcPr>
            <w:tcW w:w="4790" w:type="dxa"/>
          </w:tcPr>
          <w:p w14:paraId="161BD993" w14:textId="77777777" w:rsidR="00C96A3B" w:rsidRPr="00C96A3B" w:rsidRDefault="00C96A3B" w:rsidP="00C96A3B">
            <w:pPr>
              <w:keepNext/>
              <w:spacing w:before="40" w:after="40" w:line="240" w:lineRule="auto"/>
              <w:jc w:val="both"/>
              <w:rPr>
                <w:rFonts w:ascii="Arial Narrow" w:hAnsi="Arial Narrow"/>
                <w:color w:val="FFFFFF" w:themeColor="background1"/>
                <w:sz w:val="20"/>
                <w:lang w:eastAsia="en-US"/>
              </w:rPr>
            </w:pPr>
            <w:r w:rsidRPr="00C96A3B">
              <w:rPr>
                <w:rFonts w:ascii="Arial Narrow" w:hAnsi="Arial Narrow"/>
                <w:color w:val="FFFFFF" w:themeColor="background1"/>
                <w:sz w:val="20"/>
                <w:lang w:eastAsia="en-US"/>
              </w:rPr>
              <w:t>-</w:t>
            </w:r>
          </w:p>
        </w:tc>
      </w:tr>
      <w:tr w:rsidR="00C96A3B" w:rsidRPr="00C96A3B" w14:paraId="0C0F3C66" w14:textId="77777777" w:rsidTr="009D0A93">
        <w:tc>
          <w:tcPr>
            <w:tcW w:w="4390" w:type="dxa"/>
          </w:tcPr>
          <w:p w14:paraId="70FEB675" w14:textId="10AB78E3"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NHMRC- National Health and Medical Re</w:t>
            </w:r>
            <w:r w:rsidR="00DA12F3">
              <w:rPr>
                <w:rFonts w:ascii="Arial Narrow" w:hAnsi="Arial Narrow"/>
                <w:sz w:val="20"/>
                <w:lang w:eastAsia="en-US"/>
              </w:rPr>
              <w:t>search Council (Australia)</w:t>
            </w:r>
          </w:p>
        </w:tc>
        <w:tc>
          <w:tcPr>
            <w:tcW w:w="4790" w:type="dxa"/>
          </w:tcPr>
          <w:p w14:paraId="76AAA880" w14:textId="6E6DCDAD" w:rsidR="00C96A3B" w:rsidRPr="00C96A3B" w:rsidRDefault="00AC4BE5" w:rsidP="009D0A93">
            <w:pPr>
              <w:pStyle w:val="PlainText"/>
            </w:pPr>
            <w:hyperlink r:id="rId45" w:tooltip="link to the National Health and Medical Research Council website"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//www.nhmrc.gov.au/</w:t>
              </w:r>
            </w:hyperlink>
            <w:r w:rsidR="00C96A3B" w:rsidRPr="00C96A3B">
              <w:rPr>
                <w:rFonts w:ascii="Arial Narrow" w:hAnsi="Arial Narrow"/>
                <w:color w:val="0000FF"/>
                <w:u w:val="single"/>
              </w:rPr>
              <w:t xml:space="preserve"> </w:t>
            </w:r>
          </w:p>
        </w:tc>
      </w:tr>
      <w:tr w:rsidR="00C96A3B" w:rsidRPr="00C96A3B" w14:paraId="6480266A" w14:textId="77777777" w:rsidTr="009D0A93">
        <w:tc>
          <w:tcPr>
            <w:tcW w:w="4390" w:type="dxa"/>
          </w:tcPr>
          <w:p w14:paraId="3F8CDF4F" w14:textId="0DA44772"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US Department of Health and Human Services (</w:t>
            </w:r>
            <w:r w:rsidR="00E830B2">
              <w:rPr>
                <w:rFonts w:ascii="Arial Narrow" w:hAnsi="Arial Narrow"/>
                <w:sz w:val="20"/>
                <w:lang w:eastAsia="en-US"/>
              </w:rPr>
              <w:t>r</w:t>
            </w:r>
            <w:r w:rsidRPr="00C96A3B">
              <w:rPr>
                <w:rFonts w:ascii="Arial Narrow" w:hAnsi="Arial Narrow"/>
                <w:sz w:val="20"/>
                <w:lang w:eastAsia="en-US"/>
              </w:rPr>
              <w:t xml:space="preserve">eports and </w:t>
            </w:r>
            <w:r w:rsidR="00E830B2">
              <w:rPr>
                <w:rFonts w:ascii="Arial Narrow" w:hAnsi="Arial Narrow"/>
                <w:sz w:val="20"/>
                <w:lang w:eastAsia="en-US"/>
              </w:rPr>
              <w:t>p</w:t>
            </w:r>
            <w:r w:rsidRPr="00C96A3B">
              <w:rPr>
                <w:rFonts w:ascii="Arial Narrow" w:hAnsi="Arial Narrow"/>
                <w:sz w:val="20"/>
                <w:lang w:eastAsia="en-US"/>
              </w:rPr>
              <w:t>ublications)</w:t>
            </w:r>
          </w:p>
        </w:tc>
        <w:tc>
          <w:tcPr>
            <w:tcW w:w="4790" w:type="dxa"/>
          </w:tcPr>
          <w:p w14:paraId="1A5FB3C4" w14:textId="779C4AB5" w:rsidR="00C96A3B" w:rsidRPr="00C96A3B" w:rsidRDefault="00AC4BE5" w:rsidP="009D0A93">
            <w:pPr>
              <w:pStyle w:val="PlainText"/>
            </w:pPr>
            <w:hyperlink r:id="rId46" w:tooltip="Link to the US Department of Health and Human Services website"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//www.hhs.gov/</w:t>
              </w:r>
            </w:hyperlink>
          </w:p>
        </w:tc>
      </w:tr>
      <w:tr w:rsidR="00C96A3B" w:rsidRPr="00C96A3B" w14:paraId="63D4EE78" w14:textId="77777777" w:rsidTr="009D0A93">
        <w:tc>
          <w:tcPr>
            <w:tcW w:w="4390" w:type="dxa"/>
          </w:tcPr>
          <w:p w14:paraId="234EA3E6" w14:textId="77777777"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New York Academy of Medicine Grey Literature Report</w:t>
            </w:r>
          </w:p>
        </w:tc>
        <w:tc>
          <w:tcPr>
            <w:tcW w:w="4790" w:type="dxa"/>
          </w:tcPr>
          <w:p w14:paraId="1AF27DE8" w14:textId="6E21980F" w:rsidR="00C96A3B" w:rsidRPr="00C96A3B" w:rsidRDefault="00AC4BE5" w:rsidP="009D0A93">
            <w:pPr>
              <w:pStyle w:val="PlainText"/>
            </w:pPr>
            <w:hyperlink r:id="rId47" w:tooltip="Link to the New York Academy of Medicine Grey Literature Report website"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//www.greylit.org/</w:t>
              </w:r>
            </w:hyperlink>
          </w:p>
        </w:tc>
      </w:tr>
      <w:tr w:rsidR="00C96A3B" w:rsidRPr="00C96A3B" w14:paraId="4C60847F" w14:textId="77777777" w:rsidTr="009D0A93">
        <w:tc>
          <w:tcPr>
            <w:tcW w:w="4390" w:type="dxa"/>
          </w:tcPr>
          <w:p w14:paraId="7ACD4C7A" w14:textId="7DCDBC0F"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 xml:space="preserve">Trip </w:t>
            </w:r>
            <w:r w:rsidR="00886898">
              <w:rPr>
                <w:rFonts w:ascii="Arial Narrow" w:hAnsi="Arial Narrow"/>
                <w:sz w:val="20"/>
                <w:lang w:eastAsia="en-US"/>
              </w:rPr>
              <w:t>D</w:t>
            </w:r>
            <w:r w:rsidRPr="00C96A3B">
              <w:rPr>
                <w:rFonts w:ascii="Arial Narrow" w:hAnsi="Arial Narrow"/>
                <w:sz w:val="20"/>
                <w:lang w:eastAsia="en-US"/>
              </w:rPr>
              <w:t>atabase</w:t>
            </w:r>
          </w:p>
        </w:tc>
        <w:tc>
          <w:tcPr>
            <w:tcW w:w="4790" w:type="dxa"/>
          </w:tcPr>
          <w:p w14:paraId="30FBF130" w14:textId="5DBF54BA" w:rsidR="00C96A3B" w:rsidRPr="00C96A3B" w:rsidRDefault="00AC4BE5" w:rsidP="009D0A93">
            <w:pPr>
              <w:pStyle w:val="PlainText"/>
            </w:pPr>
            <w:hyperlink r:id="rId48" w:tooltip="Link to the TRIP database"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//www.tripdatabase.com</w:t>
              </w:r>
            </w:hyperlink>
          </w:p>
        </w:tc>
      </w:tr>
      <w:tr w:rsidR="00C96A3B" w:rsidRPr="00C96A3B" w14:paraId="3AD9F775" w14:textId="77777777" w:rsidTr="009D0A93">
        <w:tc>
          <w:tcPr>
            <w:tcW w:w="4390" w:type="dxa"/>
          </w:tcPr>
          <w:p w14:paraId="2DC7CF9C" w14:textId="77777777"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Current Controlled Trials metaRegister</w:t>
            </w:r>
          </w:p>
        </w:tc>
        <w:tc>
          <w:tcPr>
            <w:tcW w:w="4790" w:type="dxa"/>
          </w:tcPr>
          <w:p w14:paraId="6574547C" w14:textId="0C5E5989" w:rsidR="00C96A3B" w:rsidRPr="00C96A3B" w:rsidRDefault="00AC4BE5" w:rsidP="009D0A93">
            <w:pPr>
              <w:pStyle w:val="PlainText"/>
            </w:pPr>
            <w:hyperlink r:id="rId49" w:tooltip="Link to the Current Controlled Trials metaRegister"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//controlled-trials.com/</w:t>
              </w:r>
            </w:hyperlink>
          </w:p>
        </w:tc>
      </w:tr>
      <w:tr w:rsidR="00C96A3B" w:rsidRPr="00C96A3B" w14:paraId="60786E67" w14:textId="77777777" w:rsidTr="009D0A93">
        <w:tc>
          <w:tcPr>
            <w:tcW w:w="4390" w:type="dxa"/>
          </w:tcPr>
          <w:p w14:paraId="56F7183F" w14:textId="77777777"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National Library of Medicine Health Services/Technology Assessment Text</w:t>
            </w:r>
          </w:p>
        </w:tc>
        <w:tc>
          <w:tcPr>
            <w:tcW w:w="4790" w:type="dxa"/>
          </w:tcPr>
          <w:p w14:paraId="606A136F" w14:textId="2B1AE265" w:rsidR="00C96A3B" w:rsidRPr="00C96A3B" w:rsidRDefault="00AC4BE5" w:rsidP="009D0A93">
            <w:pPr>
              <w:pStyle w:val="PlainText"/>
            </w:pPr>
            <w:hyperlink r:id="rId50" w:tooltip="Link to the National Library of Medicine Health Services/Technology Assessment Text Database"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//text.nlm.nih.gov/</w:t>
              </w:r>
            </w:hyperlink>
          </w:p>
        </w:tc>
      </w:tr>
      <w:tr w:rsidR="00C96A3B" w:rsidRPr="00C96A3B" w14:paraId="6854F9D5" w14:textId="77777777" w:rsidTr="009D0A93">
        <w:tc>
          <w:tcPr>
            <w:tcW w:w="4390" w:type="dxa"/>
          </w:tcPr>
          <w:p w14:paraId="07304089" w14:textId="77777777"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U.K. National Research Register</w:t>
            </w:r>
          </w:p>
        </w:tc>
        <w:tc>
          <w:tcPr>
            <w:tcW w:w="4790" w:type="dxa"/>
          </w:tcPr>
          <w:p w14:paraId="61287673" w14:textId="68226E2D" w:rsidR="00C96A3B" w:rsidRPr="00C96A3B" w:rsidRDefault="00AC4BE5" w:rsidP="009D0A93">
            <w:pPr>
              <w:pStyle w:val="PlainText"/>
            </w:pPr>
            <w:hyperlink r:id="rId51" w:tooltip="link to the U.K. National Research Register"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//www.nihr.ac.uk/Pages/NRRArchive.aspx</w:t>
              </w:r>
            </w:hyperlink>
            <w:r w:rsidR="00C96A3B" w:rsidRPr="00C96A3B">
              <w:rPr>
                <w:rFonts w:ascii="Arial Narrow" w:hAnsi="Arial Narrow"/>
                <w:color w:val="0000FF"/>
                <w:u w:val="single"/>
              </w:rPr>
              <w:t xml:space="preserve"> </w:t>
            </w:r>
          </w:p>
        </w:tc>
      </w:tr>
      <w:tr w:rsidR="00C96A3B" w:rsidRPr="00C96A3B" w14:paraId="03216E85" w14:textId="77777777" w:rsidTr="009D0A93">
        <w:tc>
          <w:tcPr>
            <w:tcW w:w="4390" w:type="dxa"/>
          </w:tcPr>
          <w:p w14:paraId="1F015B57" w14:textId="77777777"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Google Scholar</w:t>
            </w:r>
          </w:p>
        </w:tc>
        <w:tc>
          <w:tcPr>
            <w:tcW w:w="4790" w:type="dxa"/>
          </w:tcPr>
          <w:p w14:paraId="1219CEDB" w14:textId="1AE96EA3" w:rsidR="00C96A3B" w:rsidRPr="00C96A3B" w:rsidRDefault="00AC4BE5" w:rsidP="009D0A93">
            <w:pPr>
              <w:pStyle w:val="PlainText"/>
            </w:pPr>
            <w:hyperlink r:id="rId52" w:tooltip="link to the Google Scholar search engine"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//scholar.google.com/</w:t>
              </w:r>
            </w:hyperlink>
            <w:r w:rsidR="00C96A3B" w:rsidRPr="00C96A3B">
              <w:rPr>
                <w:rFonts w:ascii="Arial Narrow" w:hAnsi="Arial Narrow"/>
                <w:color w:val="0000FF"/>
                <w:u w:val="single"/>
              </w:rPr>
              <w:t xml:space="preserve"> </w:t>
            </w:r>
          </w:p>
        </w:tc>
      </w:tr>
      <w:tr w:rsidR="00C96A3B" w:rsidRPr="00C96A3B" w14:paraId="42DF9680" w14:textId="77777777" w:rsidTr="009D0A93">
        <w:tc>
          <w:tcPr>
            <w:tcW w:w="4390" w:type="dxa"/>
          </w:tcPr>
          <w:p w14:paraId="34999851" w14:textId="77777777"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Australian and New Zealand Clinical Trials Registry</w:t>
            </w:r>
          </w:p>
        </w:tc>
        <w:tc>
          <w:tcPr>
            <w:tcW w:w="4790" w:type="dxa"/>
          </w:tcPr>
          <w:p w14:paraId="03753785" w14:textId="77777777" w:rsidR="00C96A3B" w:rsidRPr="00C96A3B" w:rsidRDefault="00AC4BE5" w:rsidP="00C96A3B">
            <w:pPr>
              <w:keepNext/>
              <w:spacing w:before="40" w:after="40" w:line="240" w:lineRule="auto"/>
              <w:jc w:val="both"/>
              <w:rPr>
                <w:rFonts w:ascii="Arial Narrow" w:hAnsi="Arial Narrow"/>
                <w:color w:val="0000FF"/>
                <w:sz w:val="20"/>
                <w:u w:val="single"/>
                <w:lang w:eastAsia="en-US"/>
              </w:rPr>
            </w:pPr>
            <w:hyperlink r:id="rId53" w:tooltip="link to the Australian and New Zealand Clinical Trials Registry" w:history="1">
              <w:r w:rsidR="00C96A3B" w:rsidRPr="00C96A3B">
                <w:rPr>
                  <w:rFonts w:ascii="Arial Narrow" w:hAnsi="Arial Narrow"/>
                  <w:color w:val="0000FF"/>
                  <w:sz w:val="20"/>
                  <w:u w:val="single"/>
                  <w:lang w:eastAsia="en-US"/>
                </w:rPr>
                <w:t>www.anzctr.org.au</w:t>
              </w:r>
            </w:hyperlink>
            <w:r w:rsidR="00C96A3B" w:rsidRPr="00C96A3B">
              <w:rPr>
                <w:rFonts w:ascii="Arial Narrow" w:hAnsi="Arial Narrow"/>
                <w:color w:val="0000FF"/>
                <w:sz w:val="20"/>
                <w:u w:val="single"/>
                <w:lang w:eastAsia="en-US"/>
              </w:rPr>
              <w:t xml:space="preserve"> </w:t>
            </w:r>
          </w:p>
        </w:tc>
      </w:tr>
      <w:tr w:rsidR="00C96A3B" w:rsidRPr="00C96A3B" w14:paraId="01509289" w14:textId="77777777" w:rsidTr="009D0A93">
        <w:tc>
          <w:tcPr>
            <w:tcW w:w="4390" w:type="dxa"/>
          </w:tcPr>
          <w:p w14:paraId="169D7449" w14:textId="77777777"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World Health Organization</w:t>
            </w:r>
          </w:p>
        </w:tc>
        <w:tc>
          <w:tcPr>
            <w:tcW w:w="4790" w:type="dxa"/>
          </w:tcPr>
          <w:p w14:paraId="3182C872" w14:textId="0587E2F7" w:rsidR="00C96A3B" w:rsidRPr="00C96A3B" w:rsidRDefault="00AC4BE5" w:rsidP="009D0A93">
            <w:pPr>
              <w:pStyle w:val="PlainText"/>
            </w:pPr>
            <w:hyperlink r:id="rId54" w:tooltip="link to the World Health Organization website" w:history="1">
              <w:r w:rsidR="00C96A3B" w:rsidRPr="00C96A3B">
                <w:rPr>
                  <w:rFonts w:ascii="Arial Narrow" w:hAnsi="Arial Narrow"/>
                  <w:color w:val="0000FF"/>
                  <w:u w:val="single"/>
                </w:rPr>
                <w:t>http</w:t>
              </w:r>
              <w:r w:rsidR="009D0A93" w:rsidRPr="009D0A93">
                <w:rPr>
                  <w:rFonts w:ascii="Arial Narrow" w:hAnsi="Arial Narrow"/>
                  <w:color w:val="0000FF"/>
                </w:rPr>
                <w:t>:</w:t>
              </w:r>
              <w:r w:rsidR="00C96A3B" w:rsidRPr="00C96A3B">
                <w:rPr>
                  <w:rFonts w:ascii="Arial Narrow" w:hAnsi="Arial Narrow"/>
                  <w:color w:val="0000FF"/>
                  <w:u w:val="single"/>
                </w:rPr>
                <w:t>//www.who.int/en/</w:t>
              </w:r>
            </w:hyperlink>
            <w:r w:rsidR="00C96A3B" w:rsidRPr="00C96A3B">
              <w:rPr>
                <w:rFonts w:ascii="Arial Narrow" w:hAnsi="Arial Narrow"/>
                <w:color w:val="0000FF"/>
                <w:u w:val="single"/>
              </w:rPr>
              <w:t xml:space="preserve"> </w:t>
            </w:r>
          </w:p>
        </w:tc>
      </w:tr>
      <w:tr w:rsidR="00C96A3B" w:rsidRPr="00C96A3B" w14:paraId="39B64699" w14:textId="77777777" w:rsidTr="009D0A93">
        <w:tc>
          <w:tcPr>
            <w:tcW w:w="4390" w:type="dxa"/>
          </w:tcPr>
          <w:p w14:paraId="0B125270" w14:textId="77777777" w:rsidR="00C96A3B" w:rsidRPr="00C96A3B" w:rsidRDefault="00C96A3B" w:rsidP="00C96A3B">
            <w:pPr>
              <w:keepNext/>
              <w:spacing w:before="40" w:after="40" w:line="240" w:lineRule="auto"/>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Pearling</w:t>
            </w:r>
          </w:p>
        </w:tc>
        <w:tc>
          <w:tcPr>
            <w:tcW w:w="4790" w:type="dxa"/>
          </w:tcPr>
          <w:p w14:paraId="58F13CCC" w14:textId="77777777" w:rsidR="00C96A3B" w:rsidRPr="00C96A3B" w:rsidRDefault="00C96A3B" w:rsidP="00C96A3B">
            <w:pPr>
              <w:keepNext/>
              <w:spacing w:before="40" w:after="40" w:line="240" w:lineRule="auto"/>
              <w:jc w:val="both"/>
              <w:rPr>
                <w:rFonts w:ascii="Arial Narrow" w:hAnsi="Arial Narrow"/>
                <w:color w:val="FFFFFF" w:themeColor="background1"/>
                <w:sz w:val="20"/>
                <w:lang w:eastAsia="en-US"/>
              </w:rPr>
            </w:pPr>
            <w:r w:rsidRPr="00C96A3B">
              <w:rPr>
                <w:rFonts w:ascii="Arial Narrow" w:hAnsi="Arial Narrow"/>
                <w:color w:val="FFFFFF" w:themeColor="background1"/>
                <w:sz w:val="20"/>
                <w:lang w:eastAsia="en-US"/>
              </w:rPr>
              <w:t>-</w:t>
            </w:r>
          </w:p>
        </w:tc>
      </w:tr>
      <w:tr w:rsidR="00C96A3B" w:rsidRPr="00C96A3B" w14:paraId="4FA59FEF" w14:textId="77777777" w:rsidTr="009D0A93">
        <w:tc>
          <w:tcPr>
            <w:tcW w:w="4390" w:type="dxa"/>
          </w:tcPr>
          <w:p w14:paraId="20BF2DB5" w14:textId="77777777" w:rsidR="00C96A3B" w:rsidRPr="00C96A3B" w:rsidRDefault="00C96A3B" w:rsidP="00C96A3B">
            <w:pPr>
              <w:keepNext/>
              <w:spacing w:before="40" w:after="40" w:line="240" w:lineRule="auto"/>
              <w:jc w:val="both"/>
              <w:rPr>
                <w:rFonts w:ascii="Arial Narrow" w:hAnsi="Arial Narrow"/>
                <w:sz w:val="20"/>
                <w:lang w:eastAsia="en-US"/>
              </w:rPr>
            </w:pPr>
            <w:r w:rsidRPr="00C96A3B">
              <w:rPr>
                <w:rFonts w:ascii="Arial Narrow" w:hAnsi="Arial Narrow"/>
                <w:sz w:val="20"/>
                <w:lang w:eastAsia="en-US"/>
              </w:rPr>
              <w:t>All included articles will have their reference lists searched for additional relevant source material</w:t>
            </w:r>
          </w:p>
        </w:tc>
        <w:tc>
          <w:tcPr>
            <w:tcW w:w="4790" w:type="dxa"/>
          </w:tcPr>
          <w:p w14:paraId="61492F3A" w14:textId="77777777" w:rsidR="00C96A3B" w:rsidRPr="00C96A3B" w:rsidRDefault="00C96A3B" w:rsidP="00C96A3B">
            <w:pPr>
              <w:keepNext/>
              <w:spacing w:before="40" w:after="40" w:line="240" w:lineRule="auto"/>
              <w:jc w:val="both"/>
              <w:rPr>
                <w:rFonts w:ascii="Arial Narrow" w:hAnsi="Arial Narrow"/>
                <w:color w:val="FFFFFF" w:themeColor="background1"/>
                <w:sz w:val="20"/>
                <w:lang w:eastAsia="en-US"/>
              </w:rPr>
            </w:pPr>
            <w:r w:rsidRPr="00C96A3B">
              <w:rPr>
                <w:rFonts w:ascii="Arial Narrow" w:hAnsi="Arial Narrow"/>
                <w:color w:val="FFFFFF" w:themeColor="background1"/>
                <w:sz w:val="20"/>
                <w:lang w:eastAsia="en-US"/>
              </w:rPr>
              <w:t>-</w:t>
            </w:r>
          </w:p>
        </w:tc>
      </w:tr>
    </w:tbl>
    <w:p w14:paraId="55732CB8" w14:textId="2AD76F23" w:rsidR="007711F9" w:rsidRDefault="007711F9" w:rsidP="00DA12F3">
      <w:pPr>
        <w:pStyle w:val="Caption"/>
        <w:keepNext/>
        <w:spacing w:before="240"/>
      </w:pPr>
      <w:bookmarkStart w:id="492" w:name="_Ref497987311"/>
      <w:bookmarkStart w:id="493" w:name="_Toc502833096"/>
      <w:r>
        <w:t xml:space="preserve">Table </w:t>
      </w:r>
      <w:r w:rsidR="00AC4BE5">
        <w:fldChar w:fldCharType="begin"/>
      </w:r>
      <w:r w:rsidR="00AC4BE5">
        <w:instrText xml:space="preserve"> SEQ Table \* ARABIC </w:instrText>
      </w:r>
      <w:r w:rsidR="00AC4BE5">
        <w:fldChar w:fldCharType="separate"/>
      </w:r>
      <w:r w:rsidR="00AC4BE5">
        <w:rPr>
          <w:noProof/>
        </w:rPr>
        <w:t>78</w:t>
      </w:r>
      <w:r w:rsidR="00AC4BE5">
        <w:rPr>
          <w:noProof/>
        </w:rPr>
        <w:fldChar w:fldCharType="end"/>
      </w:r>
      <w:bookmarkEnd w:id="492"/>
      <w:r>
        <w:tab/>
      </w:r>
      <w:r w:rsidR="001E7102">
        <w:t>Specialty w</w:t>
      </w:r>
      <w:r w:rsidRPr="000B28CB">
        <w:t>ebsites</w:t>
      </w:r>
      <w:bookmarkEnd w:id="493"/>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4A0" w:firstRow="1" w:lastRow="0" w:firstColumn="1" w:lastColumn="0" w:noHBand="0" w:noVBand="1"/>
      </w:tblPr>
      <w:tblGrid>
        <w:gridCol w:w="4395"/>
        <w:gridCol w:w="4819"/>
      </w:tblGrid>
      <w:tr w:rsidR="007711F9" w:rsidRPr="00D86397" w14:paraId="5BB7EF2D" w14:textId="77777777" w:rsidTr="007F7700">
        <w:tc>
          <w:tcPr>
            <w:tcW w:w="4395" w:type="dxa"/>
          </w:tcPr>
          <w:p w14:paraId="54BE140A" w14:textId="77777777" w:rsidR="007711F9" w:rsidRPr="005F3E33" w:rsidRDefault="007711F9" w:rsidP="00260996">
            <w:pPr>
              <w:pStyle w:val="TableText0"/>
            </w:pPr>
            <w:r w:rsidRPr="005F3E33">
              <w:t>Clinical Oncology Society of Australia</w:t>
            </w:r>
          </w:p>
        </w:tc>
        <w:tc>
          <w:tcPr>
            <w:tcW w:w="4819" w:type="dxa"/>
          </w:tcPr>
          <w:p w14:paraId="1B13A544" w14:textId="25FB02DE" w:rsidR="007711F9" w:rsidRPr="00D60574" w:rsidRDefault="00AC4BE5" w:rsidP="00260996">
            <w:pPr>
              <w:pStyle w:val="TableText0"/>
            </w:pPr>
            <w:hyperlink r:id="rId55" w:tooltip="Link to COSA website" w:history="1">
              <w:r w:rsidR="007711F9" w:rsidRPr="00D60574">
                <w:rPr>
                  <w:rStyle w:val="Hyperlink"/>
                </w:rPr>
                <w:t>https</w:t>
              </w:r>
              <w:r w:rsidR="009D0A93" w:rsidRPr="00D60574">
                <w:rPr>
                  <w:rStyle w:val="Hyperlink"/>
                  <w:u w:val="none"/>
                </w:rPr>
                <w:t>:</w:t>
              </w:r>
              <w:r w:rsidR="007711F9" w:rsidRPr="00D60574">
                <w:rPr>
                  <w:rStyle w:val="Hyperlink"/>
                </w:rPr>
                <w:t>//www.cosa.org.au/</w:t>
              </w:r>
            </w:hyperlink>
            <w:r w:rsidR="007711F9" w:rsidRPr="00D60574">
              <w:t xml:space="preserve"> </w:t>
            </w:r>
          </w:p>
        </w:tc>
      </w:tr>
      <w:tr w:rsidR="007711F9" w:rsidRPr="00D86397" w14:paraId="14AB0BDD" w14:textId="77777777" w:rsidTr="007F7700">
        <w:tc>
          <w:tcPr>
            <w:tcW w:w="4395" w:type="dxa"/>
          </w:tcPr>
          <w:p w14:paraId="3A5F8A82" w14:textId="77777777" w:rsidR="007711F9" w:rsidRPr="005F3E33" w:rsidRDefault="007711F9" w:rsidP="00260996">
            <w:pPr>
              <w:pStyle w:val="TableText0"/>
            </w:pPr>
            <w:r w:rsidRPr="005F3E33">
              <w:t xml:space="preserve">American Society </w:t>
            </w:r>
            <w:r>
              <w:t xml:space="preserve">of </w:t>
            </w:r>
            <w:r w:rsidRPr="005F3E33">
              <w:t xml:space="preserve">Clinical Oncology </w:t>
            </w:r>
          </w:p>
        </w:tc>
        <w:tc>
          <w:tcPr>
            <w:tcW w:w="4819" w:type="dxa"/>
          </w:tcPr>
          <w:p w14:paraId="7E516C0C" w14:textId="6EEF5E1D" w:rsidR="007711F9" w:rsidRPr="00D60574" w:rsidRDefault="00AC4BE5" w:rsidP="00260996">
            <w:pPr>
              <w:pStyle w:val="TableText0"/>
            </w:pPr>
            <w:hyperlink r:id="rId56" w:tooltip="Link to ASCO website" w:history="1">
              <w:r w:rsidR="007711F9" w:rsidRPr="00D60574">
                <w:rPr>
                  <w:rStyle w:val="Hyperlink"/>
                </w:rPr>
                <w:t>https</w:t>
              </w:r>
              <w:r w:rsidR="009D0A93" w:rsidRPr="00D60574">
                <w:rPr>
                  <w:rStyle w:val="Hyperlink"/>
                  <w:u w:val="none"/>
                </w:rPr>
                <w:t>:</w:t>
              </w:r>
              <w:r w:rsidR="007711F9" w:rsidRPr="00D60574">
                <w:rPr>
                  <w:rStyle w:val="Hyperlink"/>
                </w:rPr>
                <w:t>//www.asco.org/</w:t>
              </w:r>
            </w:hyperlink>
            <w:r w:rsidR="007711F9" w:rsidRPr="00D60574">
              <w:t xml:space="preserve"> </w:t>
            </w:r>
          </w:p>
        </w:tc>
      </w:tr>
      <w:tr w:rsidR="007711F9" w:rsidRPr="00D86397" w14:paraId="2A49193A" w14:textId="77777777" w:rsidTr="007F7700">
        <w:tc>
          <w:tcPr>
            <w:tcW w:w="4395" w:type="dxa"/>
          </w:tcPr>
          <w:p w14:paraId="00F2C860" w14:textId="77777777" w:rsidR="007711F9" w:rsidRPr="005F3E33" w:rsidRDefault="007711F9" w:rsidP="00260996">
            <w:pPr>
              <w:pStyle w:val="TableText0"/>
            </w:pPr>
            <w:r>
              <w:t xml:space="preserve">European </w:t>
            </w:r>
            <w:r w:rsidRPr="005F3E33">
              <w:t xml:space="preserve">Society </w:t>
            </w:r>
            <w:r>
              <w:t>for Medical</w:t>
            </w:r>
            <w:r w:rsidRPr="005F3E33">
              <w:t xml:space="preserve"> Oncology</w:t>
            </w:r>
          </w:p>
        </w:tc>
        <w:tc>
          <w:tcPr>
            <w:tcW w:w="4819" w:type="dxa"/>
          </w:tcPr>
          <w:p w14:paraId="7CFDA8FE" w14:textId="7430F49E" w:rsidR="007711F9" w:rsidRPr="00D60574" w:rsidRDefault="00AC4BE5" w:rsidP="00260996">
            <w:pPr>
              <w:pStyle w:val="TableText0"/>
            </w:pPr>
            <w:hyperlink r:id="rId57" w:tooltip="Link to ESMO website" w:history="1">
              <w:r w:rsidR="007711F9" w:rsidRPr="00D60574">
                <w:rPr>
                  <w:rStyle w:val="Hyperlink"/>
                </w:rPr>
                <w:t>http</w:t>
              </w:r>
              <w:r w:rsidR="009D0A93" w:rsidRPr="00D60574">
                <w:rPr>
                  <w:rStyle w:val="Hyperlink"/>
                  <w:u w:val="none"/>
                </w:rPr>
                <w:t>:</w:t>
              </w:r>
              <w:r w:rsidR="007711F9" w:rsidRPr="00D60574">
                <w:rPr>
                  <w:rStyle w:val="Hyperlink"/>
                </w:rPr>
                <w:t>//www.esmo.org/</w:t>
              </w:r>
            </w:hyperlink>
            <w:r w:rsidR="007711F9" w:rsidRPr="00D60574">
              <w:t xml:space="preserve"> </w:t>
            </w:r>
          </w:p>
        </w:tc>
      </w:tr>
    </w:tbl>
    <w:p w14:paraId="102335A3" w14:textId="6D76FB85" w:rsidR="007711F9" w:rsidRDefault="007711F9" w:rsidP="00DA12F3">
      <w:pPr>
        <w:pStyle w:val="Caption"/>
        <w:spacing w:before="240"/>
      </w:pPr>
      <w:bookmarkStart w:id="494" w:name="_Ref497987319"/>
      <w:bookmarkStart w:id="495" w:name="_Toc502833097"/>
      <w:r>
        <w:t xml:space="preserve">Table </w:t>
      </w:r>
      <w:r w:rsidR="00AC4BE5">
        <w:fldChar w:fldCharType="begin"/>
      </w:r>
      <w:r w:rsidR="00AC4BE5">
        <w:instrText xml:space="preserve"> SEQ Table \* ARABIC </w:instrText>
      </w:r>
      <w:r w:rsidR="00AC4BE5">
        <w:fldChar w:fldCharType="separate"/>
      </w:r>
      <w:r w:rsidR="00AC4BE5">
        <w:rPr>
          <w:noProof/>
        </w:rPr>
        <w:t>79</w:t>
      </w:r>
      <w:r w:rsidR="00AC4BE5">
        <w:rPr>
          <w:noProof/>
        </w:rPr>
        <w:fldChar w:fldCharType="end"/>
      </w:r>
      <w:bookmarkEnd w:id="494"/>
      <w:r>
        <w:tab/>
        <w:t>HTA websites</w:t>
      </w:r>
      <w:bookmarkEnd w:id="495"/>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HTA websites searched"/>
      </w:tblPr>
      <w:tblGrid>
        <w:gridCol w:w="4347"/>
        <w:gridCol w:w="4833"/>
        <w:gridCol w:w="34"/>
      </w:tblGrid>
      <w:tr w:rsidR="00C96A3B" w:rsidRPr="00C96A3B" w14:paraId="7600D264" w14:textId="77777777" w:rsidTr="009D0A93">
        <w:trPr>
          <w:gridAfter w:val="1"/>
          <w:wAfter w:w="34" w:type="dxa"/>
        </w:trPr>
        <w:tc>
          <w:tcPr>
            <w:tcW w:w="4347" w:type="dxa"/>
            <w:tcBorders>
              <w:right w:val="nil"/>
            </w:tcBorders>
          </w:tcPr>
          <w:p w14:paraId="515B6607"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INTERNATIONAL</w:t>
            </w:r>
          </w:p>
        </w:tc>
        <w:tc>
          <w:tcPr>
            <w:tcW w:w="4833" w:type="dxa"/>
            <w:tcBorders>
              <w:left w:val="nil"/>
            </w:tcBorders>
          </w:tcPr>
          <w:p w14:paraId="3A65FF52"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color w:val="FFFFFF" w:themeColor="background1"/>
                <w:sz w:val="20"/>
                <w:szCs w:val="20"/>
                <w:lang w:eastAsia="en-US"/>
              </w:rPr>
            </w:pPr>
            <w:r w:rsidRPr="00C96A3B">
              <w:rPr>
                <w:rFonts w:ascii="Arial Narrow" w:hAnsi="Arial Narrow" w:cs="Times New Roman"/>
                <w:b/>
                <w:bCs/>
                <w:color w:val="FFFFFF" w:themeColor="background1"/>
                <w:sz w:val="20"/>
                <w:szCs w:val="20"/>
                <w:lang w:eastAsia="en-US"/>
              </w:rPr>
              <w:t>-</w:t>
            </w:r>
          </w:p>
        </w:tc>
      </w:tr>
      <w:tr w:rsidR="00C96A3B" w:rsidRPr="00C96A3B" w14:paraId="07E1F474" w14:textId="77777777" w:rsidTr="009D0A93">
        <w:trPr>
          <w:gridAfter w:val="1"/>
          <w:wAfter w:w="34" w:type="dxa"/>
        </w:trPr>
        <w:tc>
          <w:tcPr>
            <w:tcW w:w="4347" w:type="dxa"/>
            <w:tcBorders>
              <w:bottom w:val="single" w:sz="4" w:space="0" w:color="auto"/>
            </w:tcBorders>
          </w:tcPr>
          <w:p w14:paraId="18942BDC"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International Network of Agencies for Health Technology Assessment</w:t>
            </w:r>
          </w:p>
        </w:tc>
        <w:tc>
          <w:tcPr>
            <w:tcW w:w="4833" w:type="dxa"/>
            <w:tcBorders>
              <w:bottom w:val="single" w:sz="4" w:space="0" w:color="auto"/>
            </w:tcBorders>
          </w:tcPr>
          <w:p w14:paraId="07634F32" w14:textId="5464CAEE" w:rsidR="00C96A3B" w:rsidRPr="00C96A3B" w:rsidRDefault="00AC4BE5" w:rsidP="009D0A93">
            <w:pPr>
              <w:pStyle w:val="PlainText"/>
            </w:pPr>
            <w:hyperlink r:id="rId58" w:tooltip="link to the International Network of Agencies for Health Technology Assessment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//www.inahta.org/</w:t>
              </w:r>
            </w:hyperlink>
            <w:r w:rsidR="00C96A3B" w:rsidRPr="00C96A3B">
              <w:rPr>
                <w:rFonts w:ascii="Arial Narrow" w:hAnsi="Arial Narrow"/>
                <w:color w:val="0000FF"/>
                <w:szCs w:val="20"/>
                <w:u w:val="single"/>
              </w:rPr>
              <w:t xml:space="preserve"> </w:t>
            </w:r>
          </w:p>
        </w:tc>
      </w:tr>
      <w:tr w:rsidR="00C96A3B" w:rsidRPr="00C96A3B" w14:paraId="5348ED97" w14:textId="77777777" w:rsidTr="009D0A93">
        <w:trPr>
          <w:gridAfter w:val="1"/>
          <w:wAfter w:w="34" w:type="dxa"/>
        </w:trPr>
        <w:tc>
          <w:tcPr>
            <w:tcW w:w="4347" w:type="dxa"/>
            <w:tcBorders>
              <w:right w:val="nil"/>
            </w:tcBorders>
          </w:tcPr>
          <w:p w14:paraId="026BBDF7"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AUSTRALIA</w:t>
            </w:r>
          </w:p>
        </w:tc>
        <w:tc>
          <w:tcPr>
            <w:tcW w:w="4833" w:type="dxa"/>
            <w:tcBorders>
              <w:left w:val="nil"/>
            </w:tcBorders>
          </w:tcPr>
          <w:p w14:paraId="7A636C91"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color w:val="FFFFFF" w:themeColor="background1"/>
                <w:sz w:val="20"/>
                <w:szCs w:val="20"/>
                <w:lang w:eastAsia="en-US"/>
              </w:rPr>
            </w:pPr>
            <w:r w:rsidRPr="00C96A3B">
              <w:rPr>
                <w:rFonts w:ascii="Arial Narrow" w:hAnsi="Arial Narrow" w:cs="Times New Roman"/>
                <w:b/>
                <w:bCs/>
                <w:color w:val="FFFFFF" w:themeColor="background1"/>
                <w:sz w:val="20"/>
                <w:szCs w:val="20"/>
                <w:lang w:eastAsia="en-US"/>
              </w:rPr>
              <w:t>-</w:t>
            </w:r>
          </w:p>
        </w:tc>
      </w:tr>
      <w:tr w:rsidR="00C96A3B" w:rsidRPr="00C96A3B" w14:paraId="2466F94A" w14:textId="77777777" w:rsidTr="00DA12F3">
        <w:trPr>
          <w:gridAfter w:val="1"/>
          <w:wAfter w:w="34" w:type="dxa"/>
        </w:trPr>
        <w:tc>
          <w:tcPr>
            <w:tcW w:w="4347" w:type="dxa"/>
          </w:tcPr>
          <w:p w14:paraId="2FCF8E73" w14:textId="3F27E356"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 xml:space="preserve">Australian Safety and Efficacy Register of </w:t>
            </w:r>
            <w:r w:rsidR="00B50CCE">
              <w:rPr>
                <w:rFonts w:ascii="Arial Narrow" w:hAnsi="Arial Narrow"/>
                <w:sz w:val="20"/>
                <w:szCs w:val="20"/>
              </w:rPr>
              <w:t>New Interventional Procedures-</w:t>
            </w:r>
            <w:r w:rsidRPr="00C96A3B">
              <w:rPr>
                <w:rFonts w:ascii="Arial Narrow" w:hAnsi="Arial Narrow"/>
                <w:sz w:val="20"/>
                <w:szCs w:val="20"/>
              </w:rPr>
              <w:t>Surgical (ASERNIP-S)</w:t>
            </w:r>
          </w:p>
        </w:tc>
        <w:tc>
          <w:tcPr>
            <w:tcW w:w="4833" w:type="dxa"/>
          </w:tcPr>
          <w:p w14:paraId="4898AE63" w14:textId="15BF59AB" w:rsidR="00C96A3B" w:rsidRPr="00C96A3B" w:rsidRDefault="00AC4BE5" w:rsidP="009D0A93">
            <w:pPr>
              <w:pStyle w:val="PlainText"/>
            </w:pPr>
            <w:hyperlink r:id="rId59" w:tooltip="Link to the Australian Safety and Efficacy Register of New Interventional Procedures - Surgical website. "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//www.surgeons.org/for-health-professionals/audits-and-surgical-research/asernip-s/</w:t>
              </w:r>
            </w:hyperlink>
          </w:p>
        </w:tc>
      </w:tr>
      <w:tr w:rsidR="00C96A3B" w:rsidRPr="00C96A3B" w14:paraId="5A041D57" w14:textId="77777777" w:rsidTr="00DA12F3">
        <w:trPr>
          <w:gridAfter w:val="1"/>
          <w:wAfter w:w="34" w:type="dxa"/>
        </w:trPr>
        <w:tc>
          <w:tcPr>
            <w:tcW w:w="4347" w:type="dxa"/>
          </w:tcPr>
          <w:p w14:paraId="1D763FE3"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Centre for Clinical Effectiveness, Monash University</w:t>
            </w:r>
          </w:p>
        </w:tc>
        <w:tc>
          <w:tcPr>
            <w:tcW w:w="4833" w:type="dxa"/>
          </w:tcPr>
          <w:p w14:paraId="5C7D9D30" w14:textId="681A1E54" w:rsidR="00C96A3B" w:rsidRPr="00C96A3B" w:rsidRDefault="00AC4BE5" w:rsidP="009D0A93">
            <w:pPr>
              <w:pStyle w:val="PlainText"/>
            </w:pPr>
            <w:hyperlink r:id="rId60" w:tooltip="Link to the Monash University 'Centre for Clinical Effectiveness' webpage" w:history="1">
              <w:r w:rsidR="00C96A3B" w:rsidRPr="00C96A3B">
                <w:rPr>
                  <w:rFonts w:ascii="Arial Narrow" w:hAnsi="Arial Narrow"/>
                  <w:color w:val="0000FF"/>
                  <w:sz w:val="18"/>
                  <w:u w:val="single"/>
                </w:rPr>
                <w:t>http</w:t>
              </w:r>
              <w:r w:rsidR="009D0A93" w:rsidRPr="009D0A93">
                <w:rPr>
                  <w:rFonts w:ascii="Arial Narrow" w:hAnsi="Arial Narrow"/>
                  <w:color w:val="0000FF"/>
                  <w:sz w:val="18"/>
                </w:rPr>
                <w:t>:</w:t>
              </w:r>
              <w:r w:rsidR="00C96A3B" w:rsidRPr="00C96A3B">
                <w:rPr>
                  <w:rFonts w:ascii="Arial Narrow" w:hAnsi="Arial Narrow"/>
                  <w:color w:val="0000FF"/>
                  <w:sz w:val="18"/>
                  <w:u w:val="single"/>
                </w:rPr>
                <w:t>//www.monashhealth.org/page/Health_Professionals/CCE/</w:t>
              </w:r>
            </w:hyperlink>
          </w:p>
        </w:tc>
      </w:tr>
      <w:tr w:rsidR="00C96A3B" w:rsidRPr="00C96A3B" w14:paraId="61B001AB" w14:textId="77777777" w:rsidTr="009D0A93">
        <w:trPr>
          <w:gridAfter w:val="1"/>
          <w:wAfter w:w="34" w:type="dxa"/>
        </w:trPr>
        <w:tc>
          <w:tcPr>
            <w:tcW w:w="4347" w:type="dxa"/>
            <w:tcBorders>
              <w:bottom w:val="single" w:sz="4" w:space="0" w:color="auto"/>
            </w:tcBorders>
          </w:tcPr>
          <w:p w14:paraId="6AE689D0"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Centre for Health Economics, Monash University</w:t>
            </w:r>
          </w:p>
        </w:tc>
        <w:tc>
          <w:tcPr>
            <w:tcW w:w="4833" w:type="dxa"/>
            <w:tcBorders>
              <w:bottom w:val="single" w:sz="4" w:space="0" w:color="auto"/>
            </w:tcBorders>
          </w:tcPr>
          <w:p w14:paraId="2941F064" w14:textId="23EFAC95" w:rsidR="00C96A3B" w:rsidRPr="00C96A3B" w:rsidRDefault="00AC4BE5" w:rsidP="009D0A93">
            <w:pPr>
              <w:pStyle w:val="PlainText"/>
            </w:pPr>
            <w:hyperlink r:id="rId61" w:tooltip="Link to the Monash University 'Centre for Health Economics' webpag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//www.buseco.monash.edu.au/centres/che/</w:t>
              </w:r>
            </w:hyperlink>
          </w:p>
        </w:tc>
      </w:tr>
      <w:tr w:rsidR="00C96A3B" w:rsidRPr="00C96A3B" w14:paraId="16FD2647" w14:textId="77777777" w:rsidTr="009D0A93">
        <w:trPr>
          <w:gridAfter w:val="1"/>
          <w:wAfter w:w="34" w:type="dxa"/>
        </w:trPr>
        <w:tc>
          <w:tcPr>
            <w:tcW w:w="4347" w:type="dxa"/>
            <w:tcBorders>
              <w:right w:val="nil"/>
            </w:tcBorders>
          </w:tcPr>
          <w:p w14:paraId="383CF90E"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AUSTRIA</w:t>
            </w:r>
          </w:p>
        </w:tc>
        <w:tc>
          <w:tcPr>
            <w:tcW w:w="4833" w:type="dxa"/>
            <w:tcBorders>
              <w:left w:val="nil"/>
            </w:tcBorders>
          </w:tcPr>
          <w:p w14:paraId="162B5233"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color w:val="FFFFFF" w:themeColor="background1"/>
                <w:sz w:val="20"/>
                <w:szCs w:val="20"/>
                <w:lang w:eastAsia="en-US"/>
              </w:rPr>
            </w:pPr>
            <w:r w:rsidRPr="00C96A3B">
              <w:rPr>
                <w:rFonts w:ascii="Arial Narrow" w:hAnsi="Arial Narrow" w:cs="Times New Roman"/>
                <w:b/>
                <w:bCs/>
                <w:color w:val="FFFFFF" w:themeColor="background1"/>
                <w:sz w:val="20"/>
                <w:szCs w:val="20"/>
                <w:lang w:eastAsia="en-US"/>
              </w:rPr>
              <w:t>-</w:t>
            </w:r>
          </w:p>
        </w:tc>
      </w:tr>
      <w:tr w:rsidR="00C96A3B" w:rsidRPr="00C96A3B" w14:paraId="5A80892D" w14:textId="77777777" w:rsidTr="009D0A93">
        <w:trPr>
          <w:gridAfter w:val="1"/>
          <w:wAfter w:w="34" w:type="dxa"/>
        </w:trPr>
        <w:tc>
          <w:tcPr>
            <w:tcW w:w="4347" w:type="dxa"/>
            <w:tcBorders>
              <w:bottom w:val="single" w:sz="4" w:space="0" w:color="auto"/>
            </w:tcBorders>
          </w:tcPr>
          <w:p w14:paraId="08B22AAB"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Institute of Technology Assessment / HTA unit</w:t>
            </w:r>
          </w:p>
        </w:tc>
        <w:tc>
          <w:tcPr>
            <w:tcW w:w="4833" w:type="dxa"/>
            <w:tcBorders>
              <w:bottom w:val="single" w:sz="4" w:space="0" w:color="auto"/>
            </w:tcBorders>
          </w:tcPr>
          <w:p w14:paraId="361B906D" w14:textId="28C96F32" w:rsidR="00C96A3B" w:rsidRPr="00C96A3B" w:rsidRDefault="00AC4BE5" w:rsidP="009D0A93">
            <w:pPr>
              <w:pStyle w:val="PlainText"/>
            </w:pPr>
            <w:hyperlink r:id="rId62" w:tooltip="Link to the Austrian Institute for Technolgy Assessment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//www.oeaw.ac.at/ita</w:t>
              </w:r>
            </w:hyperlink>
          </w:p>
        </w:tc>
      </w:tr>
      <w:tr w:rsidR="00C96A3B" w:rsidRPr="00C96A3B" w14:paraId="744FF325" w14:textId="77777777" w:rsidTr="009D0A93">
        <w:trPr>
          <w:gridAfter w:val="1"/>
          <w:wAfter w:w="34" w:type="dxa"/>
        </w:trPr>
        <w:tc>
          <w:tcPr>
            <w:tcW w:w="4347" w:type="dxa"/>
            <w:tcBorders>
              <w:right w:val="nil"/>
            </w:tcBorders>
          </w:tcPr>
          <w:p w14:paraId="101B6C8D"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CANADA</w:t>
            </w:r>
          </w:p>
        </w:tc>
        <w:tc>
          <w:tcPr>
            <w:tcW w:w="4833" w:type="dxa"/>
            <w:tcBorders>
              <w:left w:val="nil"/>
            </w:tcBorders>
          </w:tcPr>
          <w:p w14:paraId="0720119A"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color w:val="FFFFFF" w:themeColor="background1"/>
                <w:sz w:val="20"/>
                <w:szCs w:val="20"/>
                <w:lang w:eastAsia="en-US"/>
              </w:rPr>
            </w:pPr>
            <w:r w:rsidRPr="00C96A3B">
              <w:rPr>
                <w:rFonts w:ascii="Arial Narrow" w:hAnsi="Arial Narrow" w:cs="Times New Roman"/>
                <w:b/>
                <w:bCs/>
                <w:color w:val="FFFFFF" w:themeColor="background1"/>
                <w:sz w:val="20"/>
                <w:szCs w:val="20"/>
                <w:lang w:eastAsia="en-US"/>
              </w:rPr>
              <w:t>-</w:t>
            </w:r>
          </w:p>
        </w:tc>
      </w:tr>
      <w:tr w:rsidR="00C96A3B" w:rsidRPr="00C96A3B" w14:paraId="5FA6EE22" w14:textId="77777777" w:rsidTr="00DA12F3">
        <w:trPr>
          <w:gridAfter w:val="1"/>
          <w:wAfter w:w="34" w:type="dxa"/>
        </w:trPr>
        <w:tc>
          <w:tcPr>
            <w:tcW w:w="4347" w:type="dxa"/>
          </w:tcPr>
          <w:p w14:paraId="3A2FC71B"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Institut National d’Excellence en Santé et en Services Sociaux (INESSS)</w:t>
            </w:r>
          </w:p>
        </w:tc>
        <w:tc>
          <w:tcPr>
            <w:tcW w:w="4833" w:type="dxa"/>
          </w:tcPr>
          <w:p w14:paraId="55F6299A" w14:textId="0209D4A8" w:rsidR="00C96A3B" w:rsidRPr="00C96A3B" w:rsidRDefault="00AC4BE5" w:rsidP="009D0A93">
            <w:pPr>
              <w:pStyle w:val="PlainText"/>
            </w:pPr>
            <w:hyperlink r:id="rId63" w:tooltip="link to the Institut National d’Excellence en Santé et en Services Sociaux 'Publications' webpag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//www.inesss.qc.ca/en/publications/publications</w:t>
              </w:r>
            </w:hyperlink>
            <w:r w:rsidR="00C96A3B" w:rsidRPr="00C96A3B">
              <w:rPr>
                <w:rFonts w:ascii="Arial Narrow" w:hAnsi="Arial Narrow"/>
                <w:szCs w:val="20"/>
              </w:rPr>
              <w:t>/</w:t>
            </w:r>
          </w:p>
        </w:tc>
      </w:tr>
      <w:tr w:rsidR="00C96A3B" w:rsidRPr="00C96A3B" w14:paraId="6495BB89" w14:textId="77777777" w:rsidTr="00DA12F3">
        <w:trPr>
          <w:gridAfter w:val="1"/>
          <w:wAfter w:w="34" w:type="dxa"/>
        </w:trPr>
        <w:tc>
          <w:tcPr>
            <w:tcW w:w="4347" w:type="dxa"/>
          </w:tcPr>
          <w:p w14:paraId="220A6B7D"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Alberta Heritage Foundation for Medical Research (AHFMR)</w:t>
            </w:r>
          </w:p>
        </w:tc>
        <w:tc>
          <w:tcPr>
            <w:tcW w:w="4833" w:type="dxa"/>
          </w:tcPr>
          <w:p w14:paraId="04CA6BC9" w14:textId="1BFF9C31" w:rsidR="00C96A3B" w:rsidRPr="00C96A3B" w:rsidRDefault="00AC4BE5" w:rsidP="009D0A93">
            <w:pPr>
              <w:pStyle w:val="PlainText"/>
            </w:pPr>
            <w:hyperlink r:id="rId64" w:tooltip="link to the Alberta Heritage Foundation for Medical Research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//www.ahfmr.ab.ca/publications.html</w:t>
              </w:r>
            </w:hyperlink>
          </w:p>
        </w:tc>
      </w:tr>
      <w:tr w:rsidR="00C96A3B" w:rsidRPr="00C96A3B" w14:paraId="3963E641" w14:textId="77777777" w:rsidTr="00DA12F3">
        <w:trPr>
          <w:gridAfter w:val="1"/>
          <w:wAfter w:w="34" w:type="dxa"/>
        </w:trPr>
        <w:tc>
          <w:tcPr>
            <w:tcW w:w="4347" w:type="dxa"/>
          </w:tcPr>
          <w:p w14:paraId="5F48557A"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Alberta Institute of Health Economics</w:t>
            </w:r>
          </w:p>
        </w:tc>
        <w:tc>
          <w:tcPr>
            <w:tcW w:w="4833" w:type="dxa"/>
          </w:tcPr>
          <w:p w14:paraId="750419EF" w14:textId="02549FA8" w:rsidR="00C96A3B" w:rsidRPr="00C96A3B" w:rsidRDefault="00AC4BE5" w:rsidP="009D0A93">
            <w:pPr>
              <w:pStyle w:val="PlainText"/>
            </w:pPr>
            <w:hyperlink r:id="rId65" w:tooltip="Link to the Canadian Institute for Health Economics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//www.ihe.ca/</w:t>
              </w:r>
            </w:hyperlink>
          </w:p>
        </w:tc>
      </w:tr>
      <w:tr w:rsidR="00C96A3B" w:rsidRPr="00C96A3B" w14:paraId="530CF620" w14:textId="77777777" w:rsidTr="00DA12F3">
        <w:trPr>
          <w:gridAfter w:val="1"/>
          <w:wAfter w:w="34" w:type="dxa"/>
        </w:trPr>
        <w:tc>
          <w:tcPr>
            <w:tcW w:w="4347" w:type="dxa"/>
          </w:tcPr>
          <w:p w14:paraId="48850BFA"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The Canadian Agency for Drugs And Technologies in Health (CADTH)</w:t>
            </w:r>
          </w:p>
        </w:tc>
        <w:tc>
          <w:tcPr>
            <w:tcW w:w="4833" w:type="dxa"/>
          </w:tcPr>
          <w:p w14:paraId="332950C9" w14:textId="0619025A" w:rsidR="00C96A3B" w:rsidRPr="00C96A3B" w:rsidRDefault="00AC4BE5" w:rsidP="009D0A93">
            <w:pPr>
              <w:pStyle w:val="PlainText"/>
            </w:pPr>
            <w:hyperlink r:id="rId66" w:tooltip="Link to the Canadian Agency for Drugs and Technologies in Health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//www.cadth.ca/index.php/en/</w:t>
              </w:r>
            </w:hyperlink>
          </w:p>
        </w:tc>
      </w:tr>
      <w:tr w:rsidR="00C96A3B" w:rsidRPr="00C96A3B" w14:paraId="0927F536" w14:textId="77777777" w:rsidTr="00DA12F3">
        <w:trPr>
          <w:gridAfter w:val="1"/>
          <w:wAfter w:w="34" w:type="dxa"/>
        </w:trPr>
        <w:tc>
          <w:tcPr>
            <w:tcW w:w="4347" w:type="dxa"/>
          </w:tcPr>
          <w:p w14:paraId="334B11ED"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The Canadian Association for Health Services and Policy Research (CAHSPR)</w:t>
            </w:r>
          </w:p>
        </w:tc>
        <w:tc>
          <w:tcPr>
            <w:tcW w:w="4833" w:type="dxa"/>
          </w:tcPr>
          <w:p w14:paraId="61FB84F1" w14:textId="168ADBE3" w:rsidR="00C96A3B" w:rsidRPr="00C96A3B" w:rsidRDefault="00AC4BE5" w:rsidP="009D0A93">
            <w:pPr>
              <w:pStyle w:val="PlainText"/>
            </w:pPr>
            <w:hyperlink r:id="rId67" w:tooltip="Link to the Canadian Agency for Drugs and Technologies in Health website " w:history="1">
              <w:r w:rsidR="00C96A3B" w:rsidRPr="00C96A3B">
                <w:rPr>
                  <w:rFonts w:ascii="Arial Narrow" w:hAnsi="Arial Narrow"/>
                  <w:color w:val="0000FF"/>
                  <w:sz w:val="18"/>
                  <w:u w:val="single"/>
                </w:rPr>
                <w:t>http</w:t>
              </w:r>
              <w:r w:rsidR="009D0A93" w:rsidRPr="009D0A93">
                <w:rPr>
                  <w:rFonts w:ascii="Arial Narrow" w:hAnsi="Arial Narrow"/>
                  <w:color w:val="0000FF"/>
                  <w:sz w:val="18"/>
                </w:rPr>
                <w:t>:</w:t>
              </w:r>
              <w:r w:rsidR="00C96A3B" w:rsidRPr="00C96A3B">
                <w:rPr>
                  <w:rFonts w:ascii="Arial Narrow" w:hAnsi="Arial Narrow"/>
                  <w:color w:val="0000FF"/>
                  <w:sz w:val="18"/>
                  <w:u w:val="single"/>
                </w:rPr>
                <w:t>//www.cahspr.ca/</w:t>
              </w:r>
            </w:hyperlink>
          </w:p>
        </w:tc>
      </w:tr>
      <w:tr w:rsidR="00C96A3B" w:rsidRPr="00C96A3B" w14:paraId="1753FF1E" w14:textId="77777777" w:rsidTr="00DA12F3">
        <w:trPr>
          <w:gridAfter w:val="1"/>
          <w:wAfter w:w="34" w:type="dxa"/>
        </w:trPr>
        <w:tc>
          <w:tcPr>
            <w:tcW w:w="4347" w:type="dxa"/>
          </w:tcPr>
          <w:p w14:paraId="5CF6BC0F" w14:textId="322109DC"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 xml:space="preserve">Centre for Health Economics and Policy Analysis, </w:t>
            </w:r>
            <w:r w:rsidRPr="00C96A3B">
              <w:rPr>
                <w:rFonts w:ascii="Arial Narrow" w:hAnsi="Arial Narrow"/>
                <w:sz w:val="20"/>
                <w:szCs w:val="20"/>
              </w:rPr>
              <w:lastRenderedPageBreak/>
              <w:t>McMaster University</w:t>
            </w:r>
          </w:p>
        </w:tc>
        <w:tc>
          <w:tcPr>
            <w:tcW w:w="4833" w:type="dxa"/>
          </w:tcPr>
          <w:p w14:paraId="00996212" w14:textId="0A019378" w:rsidR="00C96A3B" w:rsidRPr="00C96A3B" w:rsidRDefault="00AC4BE5" w:rsidP="009D0A93">
            <w:pPr>
              <w:pStyle w:val="PlainText"/>
            </w:pPr>
            <w:hyperlink r:id="rId68" w:tooltip="Link to the  McMasters University 'Centre for Health Economics and Policy Analysis' webpage" w:history="1">
              <w:r w:rsidR="00C96A3B" w:rsidRPr="00C96A3B">
                <w:rPr>
                  <w:rFonts w:ascii="Arial Narrow" w:hAnsi="Arial Narrow"/>
                  <w:color w:val="0000FF"/>
                  <w:sz w:val="18"/>
                  <w:u w:val="single"/>
                </w:rPr>
                <w:t>http</w:t>
              </w:r>
              <w:r w:rsidR="009D0A93" w:rsidRPr="009D0A93">
                <w:rPr>
                  <w:rFonts w:ascii="Arial Narrow" w:hAnsi="Arial Narrow"/>
                  <w:color w:val="0000FF"/>
                  <w:sz w:val="18"/>
                </w:rPr>
                <w:t>:</w:t>
              </w:r>
              <w:r w:rsidR="00C96A3B" w:rsidRPr="00C96A3B">
                <w:rPr>
                  <w:rFonts w:ascii="Arial Narrow" w:hAnsi="Arial Narrow"/>
                  <w:color w:val="0000FF"/>
                  <w:sz w:val="18"/>
                  <w:u w:val="single"/>
                </w:rPr>
                <w:t>//www.chepa.org</w:t>
              </w:r>
            </w:hyperlink>
          </w:p>
        </w:tc>
      </w:tr>
      <w:tr w:rsidR="00C96A3B" w:rsidRPr="00C96A3B" w14:paraId="199AB9BB" w14:textId="77777777" w:rsidTr="00DA12F3">
        <w:trPr>
          <w:gridAfter w:val="1"/>
          <w:wAfter w:w="34" w:type="dxa"/>
        </w:trPr>
        <w:tc>
          <w:tcPr>
            <w:tcW w:w="4347" w:type="dxa"/>
          </w:tcPr>
          <w:tbl>
            <w:tblPr>
              <w:tblW w:w="9180" w:type="dxa"/>
              <w:tblLayout w:type="fixed"/>
              <w:tblLook w:val="01E0" w:firstRow="1" w:lastRow="1" w:firstColumn="1" w:lastColumn="1" w:noHBand="0" w:noVBand="0"/>
            </w:tblPr>
            <w:tblGrid>
              <w:gridCol w:w="4347"/>
              <w:gridCol w:w="4833"/>
            </w:tblGrid>
            <w:tr w:rsidR="00C96A3B" w:rsidRPr="00C96A3B" w14:paraId="7845D564" w14:textId="77777777" w:rsidTr="00E56F49">
              <w:tc>
                <w:tcPr>
                  <w:tcW w:w="4347" w:type="dxa"/>
                </w:tcPr>
                <w:p w14:paraId="0C6EECAE" w14:textId="3B452CB9" w:rsidR="00C96A3B" w:rsidRPr="00C96A3B" w:rsidRDefault="00C96A3B" w:rsidP="0064098D">
                  <w:pPr>
                    <w:spacing w:before="40" w:after="40" w:line="240" w:lineRule="auto"/>
                    <w:jc w:val="both"/>
                    <w:rPr>
                      <w:rFonts w:ascii="Arial Narrow" w:hAnsi="Arial Narrow"/>
                      <w:sz w:val="20"/>
                      <w:szCs w:val="20"/>
                    </w:rPr>
                  </w:pPr>
                  <w:r w:rsidRPr="00C96A3B">
                    <w:rPr>
                      <w:rFonts w:ascii="Arial Narrow" w:hAnsi="Arial Narrow"/>
                      <w:sz w:val="20"/>
                      <w:szCs w:val="20"/>
                    </w:rPr>
                    <w:lastRenderedPageBreak/>
                    <w:t>Health Utilities Index, McMaster University</w:t>
                  </w:r>
                </w:p>
              </w:tc>
              <w:tc>
                <w:tcPr>
                  <w:tcW w:w="4833" w:type="dxa"/>
                </w:tcPr>
                <w:p w14:paraId="167A98D5" w14:textId="37CF813C" w:rsidR="00C96A3B" w:rsidRPr="00C96A3B" w:rsidRDefault="00AC4BE5" w:rsidP="009D0A93">
                  <w:pPr>
                    <w:pStyle w:val="PlainText"/>
                  </w:pPr>
                  <w:hyperlink r:id="rId69" w:tooltip="Link to the McMaster University 'Health Utilities Index' webpage" w:history="1">
                    <w:r w:rsidR="00C96A3B" w:rsidRPr="00C96A3B">
                      <w:rPr>
                        <w:rFonts w:ascii="Arial Narrow" w:hAnsi="Arial Narrow"/>
                        <w:color w:val="0000FF"/>
                        <w:sz w:val="18"/>
                        <w:u w:val="single"/>
                      </w:rPr>
                      <w:t>http</w:t>
                    </w:r>
                    <w:r w:rsidR="009D0A93" w:rsidRPr="009D0A93">
                      <w:rPr>
                        <w:rFonts w:ascii="Arial Narrow" w:hAnsi="Arial Narrow"/>
                        <w:color w:val="0000FF"/>
                        <w:sz w:val="18"/>
                      </w:rPr>
                      <w:t>:</w:t>
                    </w:r>
                    <w:r w:rsidR="00C96A3B" w:rsidRPr="00C96A3B">
                      <w:rPr>
                        <w:rFonts w:ascii="Arial Narrow" w:hAnsi="Arial Narrow"/>
                        <w:color w:val="0000FF"/>
                        <w:sz w:val="18"/>
                        <w:u w:val="single"/>
                      </w:rPr>
                      <w:t>//www.fhs.mcmaster.ca/hug/index.htm</w:t>
                    </w:r>
                  </w:hyperlink>
                </w:p>
              </w:tc>
            </w:tr>
          </w:tbl>
          <w:p w14:paraId="2A1853C1" w14:textId="67D1919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Centre for Health Services and Policy Research, University of British Columbia</w:t>
            </w:r>
          </w:p>
        </w:tc>
        <w:tc>
          <w:tcPr>
            <w:tcW w:w="4833" w:type="dxa"/>
          </w:tcPr>
          <w:p w14:paraId="0251DD12" w14:textId="70D77D86" w:rsidR="00C96A3B" w:rsidRPr="00C96A3B" w:rsidRDefault="00AC4BE5" w:rsidP="009D0A93">
            <w:pPr>
              <w:pStyle w:val="PlainText"/>
            </w:pPr>
            <w:hyperlink r:id="rId70" w:tooltip="Link to the University of British Columbia 'Centre for Health Services and Policy Research' webpage" w:history="1">
              <w:r w:rsidR="00C96A3B" w:rsidRPr="00C96A3B">
                <w:rPr>
                  <w:rFonts w:ascii="Arial Narrow" w:hAnsi="Arial Narrow"/>
                  <w:color w:val="0000FF"/>
                  <w:sz w:val="18"/>
                  <w:u w:val="single"/>
                </w:rPr>
                <w:t>http</w:t>
              </w:r>
              <w:r w:rsidR="009D0A93" w:rsidRPr="009D0A93">
                <w:rPr>
                  <w:rFonts w:ascii="Arial Narrow" w:hAnsi="Arial Narrow"/>
                  <w:color w:val="0000FF"/>
                  <w:sz w:val="18"/>
                </w:rPr>
                <w:t>:</w:t>
              </w:r>
              <w:r w:rsidR="00C96A3B" w:rsidRPr="00C96A3B">
                <w:rPr>
                  <w:rFonts w:ascii="Arial Narrow" w:hAnsi="Arial Narrow"/>
                  <w:color w:val="0000FF"/>
                  <w:sz w:val="18"/>
                  <w:u w:val="single"/>
                </w:rPr>
                <w:t>//www.chspr.ubc.ca</w:t>
              </w:r>
            </w:hyperlink>
          </w:p>
        </w:tc>
      </w:tr>
      <w:tr w:rsidR="00C96A3B" w:rsidRPr="00C96A3B" w14:paraId="7A4D0BF8" w14:textId="77777777" w:rsidTr="00DA12F3">
        <w:trPr>
          <w:gridAfter w:val="1"/>
          <w:wAfter w:w="34" w:type="dxa"/>
        </w:trPr>
        <w:tc>
          <w:tcPr>
            <w:tcW w:w="4347" w:type="dxa"/>
          </w:tcPr>
          <w:p w14:paraId="5FD40BA2" w14:textId="6DCB4CA2"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 xml:space="preserve">Institute for Clinical and Evaluative Studies </w:t>
            </w:r>
          </w:p>
        </w:tc>
        <w:tc>
          <w:tcPr>
            <w:tcW w:w="4833" w:type="dxa"/>
          </w:tcPr>
          <w:p w14:paraId="64CF2861" w14:textId="53519117" w:rsidR="00C96A3B" w:rsidRPr="00C96A3B" w:rsidRDefault="00AC4BE5" w:rsidP="009D0A93">
            <w:pPr>
              <w:pStyle w:val="PlainText"/>
            </w:pPr>
            <w:hyperlink r:id="rId71" w:tooltip="Link to the Canadian Institute for Clinical and Evaluative Studies website" w:history="1">
              <w:r w:rsidR="00C96A3B" w:rsidRPr="00C96A3B">
                <w:rPr>
                  <w:rFonts w:ascii="Arial Narrow" w:hAnsi="Arial Narrow"/>
                  <w:color w:val="0000FF"/>
                  <w:sz w:val="18"/>
                  <w:u w:val="single"/>
                </w:rPr>
                <w:t>http</w:t>
              </w:r>
              <w:r w:rsidR="009D0A93" w:rsidRPr="009D0A93">
                <w:rPr>
                  <w:rFonts w:ascii="Arial Narrow" w:hAnsi="Arial Narrow"/>
                  <w:color w:val="0000FF"/>
                  <w:sz w:val="18"/>
                </w:rPr>
                <w:t>:</w:t>
              </w:r>
              <w:r w:rsidR="00C96A3B" w:rsidRPr="00C96A3B">
                <w:rPr>
                  <w:rFonts w:ascii="Arial Narrow" w:hAnsi="Arial Narrow"/>
                  <w:color w:val="0000FF"/>
                  <w:sz w:val="18"/>
                  <w:u w:val="single"/>
                </w:rPr>
                <w:t>//www.ices.on.ca</w:t>
              </w:r>
            </w:hyperlink>
          </w:p>
        </w:tc>
      </w:tr>
      <w:tr w:rsidR="00C96A3B" w:rsidRPr="00C96A3B" w14:paraId="2AB1DBF4" w14:textId="77777777" w:rsidTr="009D0A93">
        <w:trPr>
          <w:gridAfter w:val="1"/>
          <w:wAfter w:w="34" w:type="dxa"/>
        </w:trPr>
        <w:tc>
          <w:tcPr>
            <w:tcW w:w="4347" w:type="dxa"/>
            <w:tcBorders>
              <w:bottom w:val="single" w:sz="4" w:space="0" w:color="auto"/>
            </w:tcBorders>
            <w:vAlign w:val="center"/>
          </w:tcPr>
          <w:p w14:paraId="78D11729"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Saskatchewan Health Quality Council (Canada)</w:t>
            </w:r>
          </w:p>
        </w:tc>
        <w:tc>
          <w:tcPr>
            <w:tcW w:w="4833" w:type="dxa"/>
            <w:tcBorders>
              <w:bottom w:val="single" w:sz="4" w:space="0" w:color="auto"/>
            </w:tcBorders>
            <w:vAlign w:val="center"/>
          </w:tcPr>
          <w:p w14:paraId="087279A8" w14:textId="2BCA7713" w:rsidR="00C96A3B" w:rsidRPr="00C96A3B" w:rsidRDefault="00AC4BE5" w:rsidP="009D0A93">
            <w:pPr>
              <w:pStyle w:val="PlainText"/>
            </w:pPr>
            <w:hyperlink r:id="rId72" w:tooltip="Link to the Saskatchewan Health Quality Council website. "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//www.hqc.sk.ca</w:t>
              </w:r>
            </w:hyperlink>
          </w:p>
        </w:tc>
      </w:tr>
      <w:tr w:rsidR="00C96A3B" w:rsidRPr="00C96A3B" w14:paraId="483CE894" w14:textId="77777777" w:rsidTr="009D0A93">
        <w:trPr>
          <w:gridAfter w:val="1"/>
          <w:wAfter w:w="34" w:type="dxa"/>
        </w:trPr>
        <w:tc>
          <w:tcPr>
            <w:tcW w:w="4347" w:type="dxa"/>
            <w:tcBorders>
              <w:right w:val="nil"/>
            </w:tcBorders>
          </w:tcPr>
          <w:p w14:paraId="044FE2C8"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DENMARK</w:t>
            </w:r>
          </w:p>
        </w:tc>
        <w:tc>
          <w:tcPr>
            <w:tcW w:w="4833" w:type="dxa"/>
            <w:tcBorders>
              <w:left w:val="nil"/>
            </w:tcBorders>
          </w:tcPr>
          <w:p w14:paraId="07BBBC8C"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color w:val="FFFFFF" w:themeColor="background1"/>
                <w:sz w:val="20"/>
                <w:szCs w:val="20"/>
                <w:lang w:eastAsia="en-US"/>
              </w:rPr>
            </w:pPr>
            <w:r w:rsidRPr="00C96A3B">
              <w:rPr>
                <w:rFonts w:ascii="Arial Narrow" w:hAnsi="Arial Narrow" w:cs="Times New Roman"/>
                <w:b/>
                <w:bCs/>
                <w:color w:val="FFFFFF" w:themeColor="background1"/>
                <w:sz w:val="20"/>
                <w:szCs w:val="20"/>
                <w:lang w:eastAsia="en-US"/>
              </w:rPr>
              <w:t>-</w:t>
            </w:r>
          </w:p>
        </w:tc>
      </w:tr>
      <w:tr w:rsidR="00C96A3B" w:rsidRPr="00C96A3B" w14:paraId="322D0F3A" w14:textId="77777777" w:rsidTr="009D0A93">
        <w:trPr>
          <w:gridAfter w:val="1"/>
          <w:wAfter w:w="34" w:type="dxa"/>
        </w:trPr>
        <w:tc>
          <w:tcPr>
            <w:tcW w:w="4347" w:type="dxa"/>
            <w:tcBorders>
              <w:bottom w:val="single" w:sz="4" w:space="0" w:color="auto"/>
            </w:tcBorders>
          </w:tcPr>
          <w:p w14:paraId="63B34590"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Danish National Institute Of Public Health</w:t>
            </w:r>
          </w:p>
        </w:tc>
        <w:tc>
          <w:tcPr>
            <w:tcW w:w="4833" w:type="dxa"/>
            <w:tcBorders>
              <w:bottom w:val="single" w:sz="4" w:space="0" w:color="auto"/>
            </w:tcBorders>
          </w:tcPr>
          <w:p w14:paraId="6F80904F" w14:textId="6424DCDB" w:rsidR="00C96A3B" w:rsidRPr="00C96A3B" w:rsidRDefault="00AC4BE5" w:rsidP="009D0A93">
            <w:pPr>
              <w:pStyle w:val="PlainText"/>
            </w:pPr>
            <w:hyperlink r:id="rId73" w:tooltip="link to the Danish National Institute Of Public Health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//www.si-folkesundhed.dk/?lang=en</w:t>
              </w:r>
            </w:hyperlink>
            <w:r w:rsidR="00C96A3B" w:rsidRPr="00C96A3B">
              <w:rPr>
                <w:rFonts w:ascii="Arial Narrow" w:hAnsi="Arial Narrow"/>
                <w:szCs w:val="20"/>
              </w:rPr>
              <w:t xml:space="preserve"> </w:t>
            </w:r>
          </w:p>
        </w:tc>
      </w:tr>
      <w:tr w:rsidR="00C96A3B" w:rsidRPr="00C96A3B" w14:paraId="57EBDFED" w14:textId="77777777" w:rsidTr="009D0A93">
        <w:trPr>
          <w:gridAfter w:val="1"/>
          <w:wAfter w:w="34" w:type="dxa"/>
        </w:trPr>
        <w:tc>
          <w:tcPr>
            <w:tcW w:w="4347" w:type="dxa"/>
            <w:tcBorders>
              <w:right w:val="nil"/>
            </w:tcBorders>
          </w:tcPr>
          <w:p w14:paraId="05ADE689"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FINLAND</w:t>
            </w:r>
          </w:p>
        </w:tc>
        <w:tc>
          <w:tcPr>
            <w:tcW w:w="4833" w:type="dxa"/>
            <w:tcBorders>
              <w:left w:val="nil"/>
            </w:tcBorders>
          </w:tcPr>
          <w:p w14:paraId="7B71CDAA"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color w:val="FFFFFF" w:themeColor="background1"/>
                <w:sz w:val="20"/>
                <w:szCs w:val="20"/>
                <w:lang w:eastAsia="en-US"/>
              </w:rPr>
            </w:pPr>
            <w:r w:rsidRPr="00C96A3B">
              <w:rPr>
                <w:rFonts w:ascii="Arial Narrow" w:hAnsi="Arial Narrow" w:cs="Times New Roman"/>
                <w:b/>
                <w:bCs/>
                <w:color w:val="FFFFFF" w:themeColor="background1"/>
                <w:sz w:val="20"/>
                <w:szCs w:val="20"/>
                <w:lang w:eastAsia="en-US"/>
              </w:rPr>
              <w:t>-</w:t>
            </w:r>
          </w:p>
        </w:tc>
      </w:tr>
      <w:tr w:rsidR="00C96A3B" w:rsidRPr="00C96A3B" w14:paraId="54EA00CB" w14:textId="77777777" w:rsidTr="00DA12F3">
        <w:trPr>
          <w:gridAfter w:val="1"/>
          <w:wAfter w:w="34" w:type="dxa"/>
        </w:trPr>
        <w:tc>
          <w:tcPr>
            <w:tcW w:w="4347" w:type="dxa"/>
          </w:tcPr>
          <w:p w14:paraId="0EFA79F7"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Finnish National Institute for Health and Welfare</w:t>
            </w:r>
          </w:p>
        </w:tc>
        <w:tc>
          <w:tcPr>
            <w:tcW w:w="4833" w:type="dxa"/>
          </w:tcPr>
          <w:p w14:paraId="3A25BDAA" w14:textId="4023D6B0" w:rsidR="00C96A3B" w:rsidRPr="00C96A3B" w:rsidRDefault="00AC4BE5" w:rsidP="009D0A93">
            <w:pPr>
              <w:pStyle w:val="PlainText"/>
            </w:pPr>
            <w:hyperlink r:id="rId74" w:tooltip="link to the Finnish National Institute for Health and Welfare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//www.thl.fi/en/web/thlfi-en/</w:t>
              </w:r>
            </w:hyperlink>
            <w:r w:rsidR="00C96A3B" w:rsidRPr="00C96A3B">
              <w:rPr>
                <w:rFonts w:ascii="Arial Narrow" w:hAnsi="Arial Narrow"/>
                <w:szCs w:val="20"/>
              </w:rPr>
              <w:t xml:space="preserve"> </w:t>
            </w:r>
          </w:p>
        </w:tc>
      </w:tr>
      <w:tr w:rsidR="00C96A3B" w:rsidRPr="00C96A3B" w14:paraId="62E33DF1" w14:textId="77777777" w:rsidTr="00DA12F3">
        <w:trPr>
          <w:gridAfter w:val="1"/>
          <w:wAfter w:w="34" w:type="dxa"/>
        </w:trPr>
        <w:tc>
          <w:tcPr>
            <w:tcW w:w="4347" w:type="dxa"/>
          </w:tcPr>
          <w:p w14:paraId="302D4403"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FRANCE</w:t>
            </w:r>
          </w:p>
        </w:tc>
        <w:tc>
          <w:tcPr>
            <w:tcW w:w="4833" w:type="dxa"/>
          </w:tcPr>
          <w:p w14:paraId="5396FFE1"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color w:val="FFFFFF" w:themeColor="background1"/>
                <w:sz w:val="20"/>
                <w:szCs w:val="20"/>
                <w:lang w:eastAsia="en-US"/>
              </w:rPr>
            </w:pPr>
            <w:r w:rsidRPr="00C96A3B">
              <w:rPr>
                <w:rFonts w:ascii="Arial Narrow" w:hAnsi="Arial Narrow" w:cs="Times New Roman"/>
                <w:b/>
                <w:bCs/>
                <w:color w:val="FFFFFF" w:themeColor="background1"/>
                <w:sz w:val="20"/>
                <w:szCs w:val="20"/>
                <w:lang w:eastAsia="en-US"/>
              </w:rPr>
              <w:t>-</w:t>
            </w:r>
          </w:p>
        </w:tc>
      </w:tr>
      <w:tr w:rsidR="00C96A3B" w:rsidRPr="00C96A3B" w14:paraId="27F00BD7" w14:textId="77777777" w:rsidTr="009D0A93">
        <w:trPr>
          <w:gridAfter w:val="1"/>
          <w:wAfter w:w="34" w:type="dxa"/>
        </w:trPr>
        <w:tc>
          <w:tcPr>
            <w:tcW w:w="4347" w:type="dxa"/>
            <w:tcBorders>
              <w:bottom w:val="single" w:sz="4" w:space="0" w:color="auto"/>
            </w:tcBorders>
          </w:tcPr>
          <w:p w14:paraId="42CC3346"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L’Agence Nationale d’Accréditation et d’Evaluation en Santé (ANAES)</w:t>
            </w:r>
          </w:p>
        </w:tc>
        <w:tc>
          <w:tcPr>
            <w:tcW w:w="4833" w:type="dxa"/>
            <w:tcBorders>
              <w:bottom w:val="single" w:sz="4" w:space="0" w:color="auto"/>
            </w:tcBorders>
          </w:tcPr>
          <w:p w14:paraId="2ED7CD69" w14:textId="4737D0FF" w:rsidR="00C96A3B" w:rsidRPr="00C96A3B" w:rsidRDefault="00AC4BE5" w:rsidP="009D0A93">
            <w:pPr>
              <w:pStyle w:val="PlainText"/>
            </w:pPr>
            <w:hyperlink r:id="rId75" w:tooltip="Link to the French Agency L’Agence Nationale d’Accréditation et d’Evaluation en Santé website "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//www.anaes.fr/</w:t>
              </w:r>
            </w:hyperlink>
          </w:p>
        </w:tc>
      </w:tr>
      <w:tr w:rsidR="00C96A3B" w:rsidRPr="00C96A3B" w14:paraId="48C13E01" w14:textId="77777777" w:rsidTr="009D0A93">
        <w:trPr>
          <w:gridAfter w:val="1"/>
          <w:wAfter w:w="34" w:type="dxa"/>
        </w:trPr>
        <w:tc>
          <w:tcPr>
            <w:tcW w:w="4347" w:type="dxa"/>
            <w:tcBorders>
              <w:right w:val="nil"/>
            </w:tcBorders>
          </w:tcPr>
          <w:p w14:paraId="3F02F0A7"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GERMANY</w:t>
            </w:r>
          </w:p>
        </w:tc>
        <w:tc>
          <w:tcPr>
            <w:tcW w:w="4833" w:type="dxa"/>
            <w:tcBorders>
              <w:left w:val="nil"/>
            </w:tcBorders>
          </w:tcPr>
          <w:p w14:paraId="6ED6FD53"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p>
        </w:tc>
      </w:tr>
      <w:tr w:rsidR="00C96A3B" w:rsidRPr="00C96A3B" w14:paraId="62828C26" w14:textId="77777777" w:rsidTr="00DA12F3">
        <w:trPr>
          <w:gridAfter w:val="1"/>
          <w:wAfter w:w="34" w:type="dxa"/>
        </w:trPr>
        <w:tc>
          <w:tcPr>
            <w:tcW w:w="4347" w:type="dxa"/>
          </w:tcPr>
          <w:p w14:paraId="38749916"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German Institute for Medical Documentation and Information (DIMDI) / HTA</w:t>
            </w:r>
          </w:p>
        </w:tc>
        <w:tc>
          <w:tcPr>
            <w:tcW w:w="4833" w:type="dxa"/>
          </w:tcPr>
          <w:p w14:paraId="6C21A9F8" w14:textId="62A76062" w:rsidR="00C96A3B" w:rsidRPr="00C96A3B" w:rsidRDefault="00AC4BE5" w:rsidP="009D0A93">
            <w:pPr>
              <w:pStyle w:val="PlainText"/>
            </w:pPr>
            <w:hyperlink r:id="rId76" w:tooltip="Link to the German Institute of Medical Documentation and Information website "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//www.dimdi.de/static/en/index.html</w:t>
              </w:r>
            </w:hyperlink>
          </w:p>
        </w:tc>
      </w:tr>
      <w:tr w:rsidR="00C96A3B" w:rsidRPr="00C96A3B" w14:paraId="5212A975" w14:textId="77777777" w:rsidTr="009D0A93">
        <w:trPr>
          <w:gridAfter w:val="1"/>
          <w:wAfter w:w="34" w:type="dxa"/>
        </w:trPr>
        <w:tc>
          <w:tcPr>
            <w:tcW w:w="4347" w:type="dxa"/>
            <w:tcBorders>
              <w:bottom w:val="single" w:sz="4" w:space="0" w:color="auto"/>
            </w:tcBorders>
          </w:tcPr>
          <w:p w14:paraId="45476DCA" w14:textId="77777777" w:rsidR="00C96A3B" w:rsidRPr="00C96A3B" w:rsidRDefault="00C96A3B" w:rsidP="00C96A3B">
            <w:pPr>
              <w:spacing w:before="40" w:after="40" w:line="240" w:lineRule="auto"/>
              <w:jc w:val="both"/>
              <w:rPr>
                <w:rFonts w:ascii="Arial Narrow" w:hAnsi="Arial Narrow"/>
                <w:sz w:val="18"/>
              </w:rPr>
            </w:pPr>
            <w:r w:rsidRPr="00C96A3B">
              <w:rPr>
                <w:rFonts w:ascii="Arial Narrow" w:hAnsi="Arial Narrow"/>
                <w:sz w:val="20"/>
                <w:szCs w:val="20"/>
              </w:rPr>
              <w:t>Institute for Quality and Efficiency in Health Care (IQWiG)</w:t>
            </w:r>
          </w:p>
        </w:tc>
        <w:tc>
          <w:tcPr>
            <w:tcW w:w="4833" w:type="dxa"/>
            <w:tcBorders>
              <w:bottom w:val="single" w:sz="4" w:space="0" w:color="auto"/>
            </w:tcBorders>
          </w:tcPr>
          <w:p w14:paraId="604BAC02" w14:textId="35E0B622" w:rsidR="00C96A3B" w:rsidRPr="00C96A3B" w:rsidRDefault="00AC4BE5" w:rsidP="009D0A93">
            <w:pPr>
              <w:pStyle w:val="PlainText"/>
            </w:pPr>
            <w:hyperlink r:id="rId77" w:tooltip="Link to the German Institute for Quality and Efficiency in Health Care website " w:history="1">
              <w:r w:rsidR="00C96A3B" w:rsidRPr="00C96A3B">
                <w:rPr>
                  <w:rFonts w:ascii="Arial Narrow" w:hAnsi="Arial Narrow" w:cs="Times New Roman"/>
                  <w:bCs/>
                  <w:color w:val="0000FF"/>
                  <w:szCs w:val="20"/>
                  <w:u w:val="single"/>
                </w:rPr>
                <w:t>http</w:t>
              </w:r>
              <w:r w:rsidR="009D0A93" w:rsidRPr="009D0A93">
                <w:rPr>
                  <w:rFonts w:ascii="Arial Narrow" w:hAnsi="Arial Narrow" w:cs="Times New Roman"/>
                  <w:bCs/>
                  <w:color w:val="0000FF"/>
                  <w:szCs w:val="20"/>
                </w:rPr>
                <w:t>:</w:t>
              </w:r>
              <w:r w:rsidR="00C96A3B" w:rsidRPr="00C96A3B">
                <w:rPr>
                  <w:rFonts w:ascii="Arial Narrow" w:hAnsi="Arial Narrow" w:cs="Times New Roman"/>
                  <w:bCs/>
                  <w:color w:val="0000FF"/>
                  <w:szCs w:val="20"/>
                  <w:u w:val="single"/>
                </w:rPr>
                <w:t>//www.iqwig.de</w:t>
              </w:r>
            </w:hyperlink>
          </w:p>
        </w:tc>
      </w:tr>
      <w:tr w:rsidR="00C96A3B" w:rsidRPr="00C96A3B" w14:paraId="787B8315" w14:textId="77777777" w:rsidTr="009D0A93">
        <w:trPr>
          <w:gridAfter w:val="1"/>
          <w:wAfter w:w="34" w:type="dxa"/>
        </w:trPr>
        <w:tc>
          <w:tcPr>
            <w:tcW w:w="4347" w:type="dxa"/>
            <w:tcBorders>
              <w:right w:val="nil"/>
            </w:tcBorders>
          </w:tcPr>
          <w:p w14:paraId="30FBDA73"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THE NETHERLANDS</w:t>
            </w:r>
          </w:p>
        </w:tc>
        <w:tc>
          <w:tcPr>
            <w:tcW w:w="4833" w:type="dxa"/>
            <w:tcBorders>
              <w:left w:val="nil"/>
            </w:tcBorders>
          </w:tcPr>
          <w:p w14:paraId="48F84BAA"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p>
        </w:tc>
      </w:tr>
      <w:tr w:rsidR="00C96A3B" w:rsidRPr="00C96A3B" w14:paraId="1087A67D" w14:textId="77777777" w:rsidTr="00DA12F3">
        <w:trPr>
          <w:gridAfter w:val="1"/>
          <w:wAfter w:w="34" w:type="dxa"/>
        </w:trPr>
        <w:tc>
          <w:tcPr>
            <w:tcW w:w="4347" w:type="dxa"/>
          </w:tcPr>
          <w:p w14:paraId="3560C406"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Health Council of the Netherlands Gezondheidsraad</w:t>
            </w:r>
          </w:p>
        </w:tc>
        <w:tc>
          <w:tcPr>
            <w:tcW w:w="4833" w:type="dxa"/>
          </w:tcPr>
          <w:p w14:paraId="5C4CFCB6" w14:textId="1532DD6E" w:rsidR="00C96A3B" w:rsidRPr="00C96A3B" w:rsidRDefault="00AC4BE5" w:rsidP="009D0A93">
            <w:pPr>
              <w:pStyle w:val="PlainText"/>
            </w:pPr>
            <w:hyperlink r:id="rId78" w:tooltip="Link to the Health Council of the Netherlands Gezondheidsraad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//www.gezondheidsraad.nl/en/</w:t>
              </w:r>
            </w:hyperlink>
          </w:p>
        </w:tc>
      </w:tr>
      <w:tr w:rsidR="00C96A3B" w:rsidRPr="00C96A3B" w14:paraId="6D572095" w14:textId="77777777" w:rsidTr="00DA12F3">
        <w:tc>
          <w:tcPr>
            <w:tcW w:w="4347" w:type="dxa"/>
            <w:vAlign w:val="center"/>
          </w:tcPr>
          <w:p w14:paraId="3F0AD11E"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Institute for Medical Technology Assessment (Netherlands)</w:t>
            </w:r>
          </w:p>
        </w:tc>
        <w:tc>
          <w:tcPr>
            <w:tcW w:w="4867" w:type="dxa"/>
            <w:gridSpan w:val="2"/>
            <w:vAlign w:val="center"/>
          </w:tcPr>
          <w:p w14:paraId="1D053F39" w14:textId="5DEFBC30" w:rsidR="00C96A3B" w:rsidRPr="00C96A3B" w:rsidRDefault="00AC4BE5" w:rsidP="009D0A93">
            <w:pPr>
              <w:pStyle w:val="PlainText"/>
            </w:pPr>
            <w:hyperlink r:id="rId79" w:tooltip="Link to the Dutch institute for Medical Technology Assessment website "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//www.imta.nl/</w:t>
              </w:r>
            </w:hyperlink>
          </w:p>
        </w:tc>
      </w:tr>
      <w:tr w:rsidR="00C96A3B" w:rsidRPr="00C96A3B" w14:paraId="7E2DD7A2" w14:textId="77777777" w:rsidTr="009D0A93">
        <w:trPr>
          <w:gridAfter w:val="1"/>
          <w:wAfter w:w="34" w:type="dxa"/>
        </w:trPr>
        <w:tc>
          <w:tcPr>
            <w:tcW w:w="4347" w:type="dxa"/>
            <w:tcBorders>
              <w:right w:val="nil"/>
            </w:tcBorders>
          </w:tcPr>
          <w:p w14:paraId="4289DAC8"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NEW ZEALAND</w:t>
            </w:r>
          </w:p>
        </w:tc>
        <w:tc>
          <w:tcPr>
            <w:tcW w:w="4833" w:type="dxa"/>
            <w:tcBorders>
              <w:left w:val="nil"/>
            </w:tcBorders>
            <w:vAlign w:val="center"/>
          </w:tcPr>
          <w:p w14:paraId="3D9AFECD" w14:textId="37A5F4BA" w:rsidR="00C96A3B" w:rsidRPr="00C96A3B" w:rsidRDefault="00C96A3B" w:rsidP="00C96A3B">
            <w:pPr>
              <w:spacing w:before="40" w:after="40" w:line="240" w:lineRule="auto"/>
              <w:jc w:val="both"/>
              <w:rPr>
                <w:rFonts w:ascii="Arial Narrow" w:hAnsi="Arial Narrow"/>
                <w:sz w:val="20"/>
                <w:szCs w:val="20"/>
              </w:rPr>
            </w:pPr>
          </w:p>
        </w:tc>
      </w:tr>
      <w:tr w:rsidR="00C96A3B" w:rsidRPr="00C96A3B" w14:paraId="0A550336" w14:textId="77777777" w:rsidTr="009D0A93">
        <w:trPr>
          <w:gridAfter w:val="1"/>
          <w:wAfter w:w="34" w:type="dxa"/>
        </w:trPr>
        <w:tc>
          <w:tcPr>
            <w:tcW w:w="4347" w:type="dxa"/>
            <w:tcBorders>
              <w:bottom w:val="single" w:sz="4" w:space="0" w:color="auto"/>
            </w:tcBorders>
          </w:tcPr>
          <w:p w14:paraId="3FB667E6"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New Zealand Health Technology Assessment (NZHTA)</w:t>
            </w:r>
          </w:p>
        </w:tc>
        <w:tc>
          <w:tcPr>
            <w:tcW w:w="4833" w:type="dxa"/>
            <w:tcBorders>
              <w:bottom w:val="single" w:sz="4" w:space="0" w:color="auto"/>
            </w:tcBorders>
            <w:vAlign w:val="center"/>
          </w:tcPr>
          <w:p w14:paraId="53BCBABF" w14:textId="6EE84660" w:rsidR="00C96A3B" w:rsidRPr="00C96A3B" w:rsidRDefault="00AC4BE5" w:rsidP="009D0A93">
            <w:pPr>
              <w:pStyle w:val="PlainText"/>
            </w:pPr>
            <w:hyperlink r:id="rId80" w:tooltip="Link to the Otago University (New Zealand) website. " w:history="1">
              <w:r w:rsidR="00DA12F3" w:rsidRPr="00C96A3B">
                <w:rPr>
                  <w:rFonts w:ascii="Arial Narrow" w:hAnsi="Arial Narrow"/>
                  <w:color w:val="0000FF"/>
                  <w:szCs w:val="20"/>
                  <w:u w:val="single"/>
                </w:rPr>
                <w:t>http</w:t>
              </w:r>
              <w:r w:rsidR="009D0A93" w:rsidRPr="009D0A93">
                <w:rPr>
                  <w:rFonts w:ascii="Arial Narrow" w:hAnsi="Arial Narrow"/>
                  <w:color w:val="0000FF"/>
                  <w:szCs w:val="20"/>
                </w:rPr>
                <w:t>:</w:t>
              </w:r>
              <w:r w:rsidR="00DA12F3" w:rsidRPr="00C96A3B">
                <w:rPr>
                  <w:rFonts w:ascii="Arial Narrow" w:hAnsi="Arial Narrow"/>
                  <w:color w:val="0000FF"/>
                  <w:szCs w:val="20"/>
                  <w:u w:val="single"/>
                </w:rPr>
                <w:t>//www.otago.ac.nz/christchurch/research/nzhta/</w:t>
              </w:r>
            </w:hyperlink>
          </w:p>
        </w:tc>
      </w:tr>
      <w:tr w:rsidR="00C96A3B" w:rsidRPr="00C96A3B" w14:paraId="12843E31" w14:textId="77777777" w:rsidTr="009D0A93">
        <w:trPr>
          <w:gridAfter w:val="1"/>
          <w:wAfter w:w="34" w:type="dxa"/>
        </w:trPr>
        <w:tc>
          <w:tcPr>
            <w:tcW w:w="4347" w:type="dxa"/>
            <w:tcBorders>
              <w:right w:val="nil"/>
            </w:tcBorders>
          </w:tcPr>
          <w:p w14:paraId="7A68EF94"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NORWAY</w:t>
            </w:r>
          </w:p>
        </w:tc>
        <w:tc>
          <w:tcPr>
            <w:tcW w:w="4833" w:type="dxa"/>
            <w:tcBorders>
              <w:left w:val="nil"/>
            </w:tcBorders>
            <w:vAlign w:val="center"/>
          </w:tcPr>
          <w:p w14:paraId="26BBED1D" w14:textId="664513E2" w:rsidR="00C96A3B" w:rsidRPr="00C96A3B" w:rsidRDefault="00C96A3B" w:rsidP="00C96A3B">
            <w:pPr>
              <w:spacing w:before="40" w:after="40" w:line="240" w:lineRule="auto"/>
              <w:jc w:val="both"/>
              <w:rPr>
                <w:rFonts w:ascii="Arial Narrow" w:hAnsi="Arial Narrow"/>
                <w:sz w:val="20"/>
                <w:szCs w:val="20"/>
              </w:rPr>
            </w:pPr>
          </w:p>
        </w:tc>
      </w:tr>
      <w:tr w:rsidR="00C96A3B" w:rsidRPr="00C96A3B" w14:paraId="694E90DC" w14:textId="77777777" w:rsidTr="00DA12F3">
        <w:trPr>
          <w:gridAfter w:val="1"/>
          <w:wAfter w:w="34" w:type="dxa"/>
        </w:trPr>
        <w:tc>
          <w:tcPr>
            <w:tcW w:w="4347" w:type="dxa"/>
            <w:tcBorders>
              <w:bottom w:val="single" w:sz="4" w:space="0" w:color="auto"/>
            </w:tcBorders>
          </w:tcPr>
          <w:p w14:paraId="76528A4E"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Norwegian Knowledge Centre for the Health Services</w:t>
            </w:r>
          </w:p>
        </w:tc>
        <w:tc>
          <w:tcPr>
            <w:tcW w:w="4833" w:type="dxa"/>
            <w:tcBorders>
              <w:bottom w:val="single" w:sz="4" w:space="0" w:color="auto"/>
            </w:tcBorders>
          </w:tcPr>
          <w:p w14:paraId="5790CE7E" w14:textId="4C82D7E1" w:rsidR="00C96A3B" w:rsidRPr="00C96A3B" w:rsidRDefault="00AC4BE5" w:rsidP="009D0A93">
            <w:pPr>
              <w:pStyle w:val="PlainText"/>
            </w:pPr>
            <w:hyperlink r:id="rId81" w:tooltip="Link to the Norwegian Knowledge Centre for the Health Services website" w:history="1">
              <w:r w:rsidR="00DA12F3" w:rsidRPr="00C96A3B">
                <w:rPr>
                  <w:rFonts w:ascii="Arial Narrow" w:hAnsi="Arial Narrow"/>
                  <w:color w:val="0000FF"/>
                  <w:szCs w:val="20"/>
                  <w:u w:val="single"/>
                </w:rPr>
                <w:t>http</w:t>
              </w:r>
              <w:r w:rsidR="009D0A93" w:rsidRPr="009D0A93">
                <w:rPr>
                  <w:rFonts w:ascii="Arial Narrow" w:hAnsi="Arial Narrow"/>
                  <w:color w:val="0000FF"/>
                  <w:szCs w:val="20"/>
                </w:rPr>
                <w:t>:</w:t>
              </w:r>
              <w:r w:rsidR="00DA12F3" w:rsidRPr="00C96A3B">
                <w:rPr>
                  <w:rFonts w:ascii="Arial Narrow" w:hAnsi="Arial Narrow"/>
                  <w:color w:val="0000FF"/>
                  <w:szCs w:val="20"/>
                  <w:u w:val="single"/>
                </w:rPr>
                <w:t>//www.kunnskapssenteret.no</w:t>
              </w:r>
            </w:hyperlink>
          </w:p>
        </w:tc>
      </w:tr>
      <w:tr w:rsidR="00C96A3B" w:rsidRPr="00C96A3B" w14:paraId="05E499A5" w14:textId="77777777" w:rsidTr="00DA12F3">
        <w:trPr>
          <w:gridAfter w:val="1"/>
          <w:wAfter w:w="34" w:type="dxa"/>
        </w:trPr>
        <w:tc>
          <w:tcPr>
            <w:tcW w:w="4347" w:type="dxa"/>
            <w:tcBorders>
              <w:right w:val="nil"/>
            </w:tcBorders>
          </w:tcPr>
          <w:p w14:paraId="06184701"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SPAIN</w:t>
            </w:r>
          </w:p>
        </w:tc>
        <w:tc>
          <w:tcPr>
            <w:tcW w:w="4833" w:type="dxa"/>
            <w:tcBorders>
              <w:left w:val="nil"/>
            </w:tcBorders>
          </w:tcPr>
          <w:p w14:paraId="6C68A73C" w14:textId="77777777" w:rsidR="00C96A3B" w:rsidRPr="00C96A3B" w:rsidRDefault="00C96A3B" w:rsidP="00C96A3B">
            <w:pPr>
              <w:spacing w:before="40" w:after="40" w:line="240" w:lineRule="auto"/>
              <w:jc w:val="both"/>
              <w:rPr>
                <w:rFonts w:ascii="Arial Narrow" w:hAnsi="Arial Narrow"/>
                <w:sz w:val="20"/>
                <w:szCs w:val="20"/>
              </w:rPr>
            </w:pPr>
          </w:p>
        </w:tc>
      </w:tr>
      <w:tr w:rsidR="00C96A3B" w:rsidRPr="00C96A3B" w14:paraId="1B1D22D1" w14:textId="77777777" w:rsidTr="00DA12F3">
        <w:trPr>
          <w:gridAfter w:val="1"/>
          <w:wAfter w:w="34" w:type="dxa"/>
        </w:trPr>
        <w:tc>
          <w:tcPr>
            <w:tcW w:w="4347" w:type="dxa"/>
          </w:tcPr>
          <w:p w14:paraId="2DE6F156"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Agencia de Evaluación de Tecnologias Sanitarias, Instituto de Salud “Carlos III”I/Health Technology Assessment Agency (AETS)</w:t>
            </w:r>
          </w:p>
        </w:tc>
        <w:tc>
          <w:tcPr>
            <w:tcW w:w="4833" w:type="dxa"/>
          </w:tcPr>
          <w:p w14:paraId="0FC53208" w14:textId="770CB253" w:rsidR="00C96A3B" w:rsidRPr="00C96A3B" w:rsidRDefault="00AC4BE5" w:rsidP="009D0A93">
            <w:pPr>
              <w:pStyle w:val="PlainText"/>
            </w:pPr>
            <w:hyperlink r:id="rId82" w:tooltip="Link to the Spanish Agencia de Evaluación de Tecnologias Sanitarias, Instituto de Salud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//www.isciii.es/</w:t>
              </w:r>
            </w:hyperlink>
          </w:p>
        </w:tc>
      </w:tr>
      <w:tr w:rsidR="00C96A3B" w:rsidRPr="00C96A3B" w14:paraId="56A62F65" w14:textId="77777777" w:rsidTr="00DA12F3">
        <w:trPr>
          <w:gridAfter w:val="1"/>
          <w:wAfter w:w="34" w:type="dxa"/>
        </w:trPr>
        <w:tc>
          <w:tcPr>
            <w:tcW w:w="4347" w:type="dxa"/>
            <w:vAlign w:val="center"/>
          </w:tcPr>
          <w:p w14:paraId="47CD7176"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Andalusian Agency for Health Technology Assessment (Spain)</w:t>
            </w:r>
          </w:p>
        </w:tc>
        <w:tc>
          <w:tcPr>
            <w:tcW w:w="4833" w:type="dxa"/>
            <w:vAlign w:val="center"/>
          </w:tcPr>
          <w:p w14:paraId="2F8684EC" w14:textId="605CC699" w:rsidR="00C96A3B" w:rsidRPr="00C96A3B" w:rsidRDefault="00AC4BE5" w:rsidP="009D0A93">
            <w:pPr>
              <w:pStyle w:val="PlainText"/>
            </w:pPr>
            <w:hyperlink r:id="rId83" w:tooltip="Link to the Andalusian Agency for Health Technology Assessment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//www.juntadeandalucia.es/</w:t>
              </w:r>
            </w:hyperlink>
          </w:p>
        </w:tc>
      </w:tr>
      <w:tr w:rsidR="00C96A3B" w:rsidRPr="00C96A3B" w14:paraId="4FD3E7D0" w14:textId="77777777" w:rsidTr="00DA12F3">
        <w:trPr>
          <w:gridAfter w:val="1"/>
          <w:wAfter w:w="34" w:type="dxa"/>
        </w:trPr>
        <w:tc>
          <w:tcPr>
            <w:tcW w:w="4347" w:type="dxa"/>
            <w:tcBorders>
              <w:bottom w:val="single" w:sz="4" w:space="0" w:color="auto"/>
            </w:tcBorders>
          </w:tcPr>
          <w:p w14:paraId="4075117B"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Catalan Agency for Health Technology Assessment (CAHTA)</w:t>
            </w:r>
          </w:p>
        </w:tc>
        <w:tc>
          <w:tcPr>
            <w:tcW w:w="4833" w:type="dxa"/>
            <w:tcBorders>
              <w:bottom w:val="single" w:sz="4" w:space="0" w:color="auto"/>
            </w:tcBorders>
          </w:tcPr>
          <w:p w14:paraId="662C62B7" w14:textId="2CBC2795" w:rsidR="00C96A3B" w:rsidRPr="00C96A3B" w:rsidRDefault="00AC4BE5" w:rsidP="009D0A93">
            <w:pPr>
              <w:pStyle w:val="PlainText"/>
            </w:pPr>
            <w:hyperlink r:id="rId84" w:tooltip="Link to the Catalan Agency for Health Technology Assessment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//www.gencat.cat</w:t>
              </w:r>
            </w:hyperlink>
          </w:p>
        </w:tc>
      </w:tr>
      <w:tr w:rsidR="00C96A3B" w:rsidRPr="00C96A3B" w14:paraId="71F6017A" w14:textId="77777777" w:rsidTr="00DA12F3">
        <w:trPr>
          <w:gridAfter w:val="1"/>
          <w:wAfter w:w="34" w:type="dxa"/>
        </w:trPr>
        <w:tc>
          <w:tcPr>
            <w:tcW w:w="4347" w:type="dxa"/>
            <w:tcBorders>
              <w:right w:val="nil"/>
            </w:tcBorders>
          </w:tcPr>
          <w:p w14:paraId="0F70EE88"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SWEDEN</w:t>
            </w:r>
          </w:p>
        </w:tc>
        <w:tc>
          <w:tcPr>
            <w:tcW w:w="4833" w:type="dxa"/>
            <w:tcBorders>
              <w:left w:val="nil"/>
            </w:tcBorders>
          </w:tcPr>
          <w:p w14:paraId="7A7B9452" w14:textId="77777777" w:rsidR="00C96A3B" w:rsidRPr="00C96A3B" w:rsidRDefault="00C96A3B" w:rsidP="00C96A3B">
            <w:pPr>
              <w:spacing w:before="40" w:after="40" w:line="240" w:lineRule="auto"/>
              <w:jc w:val="both"/>
              <w:rPr>
                <w:rFonts w:ascii="Arial Narrow" w:hAnsi="Arial Narrow"/>
                <w:sz w:val="20"/>
                <w:szCs w:val="20"/>
              </w:rPr>
            </w:pPr>
          </w:p>
        </w:tc>
      </w:tr>
      <w:tr w:rsidR="00C96A3B" w:rsidRPr="00C96A3B" w14:paraId="147E7F93" w14:textId="77777777" w:rsidTr="00DA12F3">
        <w:trPr>
          <w:gridAfter w:val="1"/>
          <w:wAfter w:w="34" w:type="dxa"/>
        </w:trPr>
        <w:tc>
          <w:tcPr>
            <w:tcW w:w="4347" w:type="dxa"/>
          </w:tcPr>
          <w:p w14:paraId="05A3908C"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Center for Medical Technology Assessment, Linköping University</w:t>
            </w:r>
          </w:p>
        </w:tc>
        <w:tc>
          <w:tcPr>
            <w:tcW w:w="4833" w:type="dxa"/>
          </w:tcPr>
          <w:p w14:paraId="6EECFBA3" w14:textId="4E897228" w:rsidR="00C96A3B" w:rsidRPr="00C96A3B" w:rsidRDefault="00AC4BE5" w:rsidP="009D0A93">
            <w:pPr>
              <w:pStyle w:val="PlainText"/>
            </w:pPr>
            <w:hyperlink r:id="rId85" w:tooltip="Link to the Linkoping University 'Center for Medical Technology Assessment' webpag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//www.cmt.liu.se/?l=en&amp;sc=true</w:t>
              </w:r>
            </w:hyperlink>
          </w:p>
        </w:tc>
      </w:tr>
      <w:tr w:rsidR="00C96A3B" w:rsidRPr="00C96A3B" w14:paraId="7DD31767" w14:textId="77777777" w:rsidTr="00DA12F3">
        <w:trPr>
          <w:gridAfter w:val="1"/>
          <w:wAfter w:w="34" w:type="dxa"/>
        </w:trPr>
        <w:tc>
          <w:tcPr>
            <w:tcW w:w="4347" w:type="dxa"/>
            <w:tcBorders>
              <w:bottom w:val="single" w:sz="4" w:space="0" w:color="auto"/>
            </w:tcBorders>
          </w:tcPr>
          <w:p w14:paraId="53F0D87B"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Swedish Council on Technology Assessment in Health Care (SBU)</w:t>
            </w:r>
          </w:p>
        </w:tc>
        <w:tc>
          <w:tcPr>
            <w:tcW w:w="4833" w:type="dxa"/>
            <w:tcBorders>
              <w:bottom w:val="single" w:sz="4" w:space="0" w:color="auto"/>
            </w:tcBorders>
          </w:tcPr>
          <w:p w14:paraId="59ADDBB8" w14:textId="6F6E18CB" w:rsidR="00C96A3B" w:rsidRPr="00C96A3B" w:rsidRDefault="00AC4BE5" w:rsidP="009D0A93">
            <w:pPr>
              <w:pStyle w:val="PlainText"/>
            </w:pPr>
            <w:hyperlink r:id="rId86" w:tooltip="Link to the Swedish Council on Technology Assessment in Health Care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//www.sbu.se/en/</w:t>
              </w:r>
            </w:hyperlink>
          </w:p>
        </w:tc>
      </w:tr>
      <w:tr w:rsidR="00C96A3B" w:rsidRPr="00C96A3B" w14:paraId="0975C90C" w14:textId="77777777" w:rsidTr="00DA12F3">
        <w:trPr>
          <w:gridAfter w:val="1"/>
          <w:wAfter w:w="34" w:type="dxa"/>
        </w:trPr>
        <w:tc>
          <w:tcPr>
            <w:tcW w:w="4347" w:type="dxa"/>
            <w:tcBorders>
              <w:right w:val="nil"/>
            </w:tcBorders>
          </w:tcPr>
          <w:p w14:paraId="2635CA66"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SWITZERLAND</w:t>
            </w:r>
          </w:p>
        </w:tc>
        <w:tc>
          <w:tcPr>
            <w:tcW w:w="4833" w:type="dxa"/>
            <w:tcBorders>
              <w:left w:val="nil"/>
            </w:tcBorders>
          </w:tcPr>
          <w:p w14:paraId="78A267D2" w14:textId="77777777" w:rsidR="00C96A3B" w:rsidRPr="00C96A3B" w:rsidRDefault="00C96A3B" w:rsidP="00C96A3B">
            <w:pPr>
              <w:spacing w:before="40" w:after="40" w:line="240" w:lineRule="auto"/>
              <w:ind w:right="113"/>
              <w:jc w:val="both"/>
              <w:rPr>
                <w:rFonts w:ascii="Arial Narrow" w:hAnsi="Arial Narrow"/>
                <w:sz w:val="20"/>
                <w:szCs w:val="20"/>
              </w:rPr>
            </w:pPr>
          </w:p>
        </w:tc>
      </w:tr>
      <w:tr w:rsidR="00C96A3B" w:rsidRPr="00C96A3B" w14:paraId="58615944" w14:textId="77777777" w:rsidTr="00DA12F3">
        <w:trPr>
          <w:gridAfter w:val="1"/>
          <w:wAfter w:w="34" w:type="dxa"/>
        </w:trPr>
        <w:tc>
          <w:tcPr>
            <w:tcW w:w="4347" w:type="dxa"/>
          </w:tcPr>
          <w:p w14:paraId="06AE7840"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Swiss Network on Health Technology Assessment (SNHTA)</w:t>
            </w:r>
          </w:p>
        </w:tc>
        <w:tc>
          <w:tcPr>
            <w:tcW w:w="4833" w:type="dxa"/>
            <w:vAlign w:val="center"/>
          </w:tcPr>
          <w:p w14:paraId="6E47ED23" w14:textId="14700796" w:rsidR="00C96A3B" w:rsidRPr="00C96A3B" w:rsidRDefault="00AC4BE5" w:rsidP="009D0A93">
            <w:pPr>
              <w:pStyle w:val="PlainText"/>
            </w:pPr>
            <w:hyperlink r:id="rId87" w:tooltip="Link to the Swiss Network on Health Technology Assessment website" w:history="1">
              <w:r w:rsidR="00C96A3B" w:rsidRPr="00C96A3B">
                <w:rPr>
                  <w:rFonts w:ascii="Arial Narrow" w:hAnsi="Arial Narrow"/>
                  <w:color w:val="0000FF"/>
                  <w:sz w:val="18"/>
                  <w:u w:val="single"/>
                </w:rPr>
                <w:t>http</w:t>
              </w:r>
              <w:r w:rsidR="009D0A93" w:rsidRPr="009D0A93">
                <w:rPr>
                  <w:rFonts w:ascii="Arial Narrow" w:hAnsi="Arial Narrow"/>
                  <w:color w:val="0000FF"/>
                  <w:sz w:val="18"/>
                </w:rPr>
                <w:t>:</w:t>
              </w:r>
              <w:r w:rsidR="00C96A3B" w:rsidRPr="00C96A3B">
                <w:rPr>
                  <w:rFonts w:ascii="Arial Narrow" w:hAnsi="Arial Narrow"/>
                  <w:color w:val="0000FF"/>
                  <w:sz w:val="18"/>
                  <w:u w:val="single"/>
                </w:rPr>
                <w:t>//www.snhta.ch/</w:t>
              </w:r>
            </w:hyperlink>
          </w:p>
        </w:tc>
      </w:tr>
      <w:tr w:rsidR="00C96A3B" w:rsidRPr="00C96A3B" w14:paraId="411898BB" w14:textId="77777777" w:rsidTr="00DA12F3">
        <w:trPr>
          <w:gridAfter w:val="1"/>
          <w:wAfter w:w="34" w:type="dxa"/>
        </w:trPr>
        <w:tc>
          <w:tcPr>
            <w:tcW w:w="4347" w:type="dxa"/>
          </w:tcPr>
          <w:p w14:paraId="29AA61CB"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UNITED KINGDOM</w:t>
            </w:r>
          </w:p>
        </w:tc>
        <w:tc>
          <w:tcPr>
            <w:tcW w:w="4833" w:type="dxa"/>
          </w:tcPr>
          <w:p w14:paraId="0876654B"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color w:val="FFFFFF" w:themeColor="background1"/>
                <w:sz w:val="20"/>
                <w:szCs w:val="20"/>
                <w:lang w:eastAsia="en-US"/>
              </w:rPr>
            </w:pPr>
            <w:r w:rsidRPr="00C96A3B">
              <w:rPr>
                <w:rFonts w:ascii="Arial Narrow" w:hAnsi="Arial Narrow" w:cs="Times New Roman"/>
                <w:b/>
                <w:bCs/>
                <w:color w:val="FFFFFF" w:themeColor="background1"/>
                <w:sz w:val="20"/>
                <w:szCs w:val="20"/>
                <w:lang w:eastAsia="en-US"/>
              </w:rPr>
              <w:t>-</w:t>
            </w:r>
          </w:p>
        </w:tc>
      </w:tr>
      <w:tr w:rsidR="00C96A3B" w:rsidRPr="00C96A3B" w14:paraId="45B653E2" w14:textId="77777777" w:rsidTr="00DA12F3">
        <w:trPr>
          <w:gridAfter w:val="1"/>
          <w:wAfter w:w="34" w:type="dxa"/>
        </w:trPr>
        <w:tc>
          <w:tcPr>
            <w:tcW w:w="4347" w:type="dxa"/>
          </w:tcPr>
          <w:p w14:paraId="67A81765"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National institute for Health Research, Health Technology Assessment Programme</w:t>
            </w:r>
          </w:p>
        </w:tc>
        <w:tc>
          <w:tcPr>
            <w:tcW w:w="4833" w:type="dxa"/>
          </w:tcPr>
          <w:p w14:paraId="36967940" w14:textId="2DDE24B1" w:rsidR="00C96A3B" w:rsidRPr="00C96A3B" w:rsidRDefault="00AC4BE5" w:rsidP="009D0A93">
            <w:pPr>
              <w:pStyle w:val="PlainText"/>
            </w:pPr>
            <w:hyperlink r:id="rId88" w:tooltip="Link to the BritishNational institute for Health Research 'Health Technology Assessment Programme' webpag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//www.hta.ac.uk/</w:t>
              </w:r>
            </w:hyperlink>
          </w:p>
        </w:tc>
      </w:tr>
      <w:tr w:rsidR="00C96A3B" w:rsidRPr="00C96A3B" w14:paraId="4A0410ED" w14:textId="77777777" w:rsidTr="00DA12F3">
        <w:trPr>
          <w:gridAfter w:val="1"/>
          <w:wAfter w:w="34" w:type="dxa"/>
        </w:trPr>
        <w:tc>
          <w:tcPr>
            <w:tcW w:w="4347" w:type="dxa"/>
            <w:vAlign w:val="center"/>
          </w:tcPr>
          <w:p w14:paraId="7EBCD173"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NHS Quality Improvement Scotland</w:t>
            </w:r>
          </w:p>
        </w:tc>
        <w:tc>
          <w:tcPr>
            <w:tcW w:w="4833" w:type="dxa"/>
            <w:vAlign w:val="center"/>
          </w:tcPr>
          <w:p w14:paraId="2CBC2C81" w14:textId="2FF7A241" w:rsidR="00C96A3B" w:rsidRPr="00C96A3B" w:rsidRDefault="00AC4BE5" w:rsidP="009D0A93">
            <w:pPr>
              <w:pStyle w:val="PlainText"/>
            </w:pPr>
            <w:hyperlink r:id="rId89" w:tooltip="Link to the Healthcare Improvement Scotland website "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//www.nhshealthquality.org/</w:t>
              </w:r>
            </w:hyperlink>
          </w:p>
        </w:tc>
      </w:tr>
      <w:tr w:rsidR="00C96A3B" w:rsidRPr="00C96A3B" w14:paraId="3D6EEB5D" w14:textId="77777777" w:rsidTr="00DA12F3">
        <w:trPr>
          <w:gridAfter w:val="1"/>
          <w:wAfter w:w="34" w:type="dxa"/>
        </w:trPr>
        <w:tc>
          <w:tcPr>
            <w:tcW w:w="4347" w:type="dxa"/>
          </w:tcPr>
          <w:p w14:paraId="190A398E"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National Institute for Clinical Excellence (NICE)</w:t>
            </w:r>
          </w:p>
        </w:tc>
        <w:tc>
          <w:tcPr>
            <w:tcW w:w="4833" w:type="dxa"/>
          </w:tcPr>
          <w:p w14:paraId="384EADD1" w14:textId="2247748C" w:rsidR="00C96A3B" w:rsidRPr="00C96A3B" w:rsidRDefault="00AC4BE5" w:rsidP="009D0A93">
            <w:pPr>
              <w:pStyle w:val="PlainText"/>
            </w:pPr>
            <w:hyperlink r:id="rId90" w:tooltip="Link to the British National Institute for Clinical Excellence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//www.nice.org.uk/</w:t>
              </w:r>
            </w:hyperlink>
          </w:p>
        </w:tc>
      </w:tr>
      <w:tr w:rsidR="00C96A3B" w:rsidRPr="00C96A3B" w14:paraId="048F3EB2" w14:textId="77777777" w:rsidTr="00DA12F3">
        <w:trPr>
          <w:gridAfter w:val="1"/>
          <w:wAfter w:w="34" w:type="dxa"/>
        </w:trPr>
        <w:tc>
          <w:tcPr>
            <w:tcW w:w="4347" w:type="dxa"/>
            <w:vAlign w:val="center"/>
          </w:tcPr>
          <w:p w14:paraId="634830B7"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lastRenderedPageBreak/>
              <w:t>The European International Network on New and Changing Health Technologies</w:t>
            </w:r>
          </w:p>
        </w:tc>
        <w:tc>
          <w:tcPr>
            <w:tcW w:w="4833" w:type="dxa"/>
            <w:vAlign w:val="center"/>
          </w:tcPr>
          <w:p w14:paraId="6381C5D4" w14:textId="2CA8C1C3" w:rsidR="00C96A3B" w:rsidRPr="00C96A3B" w:rsidRDefault="00AC4BE5" w:rsidP="009D0A93">
            <w:pPr>
              <w:pStyle w:val="PlainText"/>
            </w:pPr>
            <w:hyperlink r:id="rId91" w:tooltip="Link to the The European International Network 'Recently Added Health Technologies' webpag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//www.euroscan.bham.ac.uk/</w:t>
              </w:r>
            </w:hyperlink>
          </w:p>
        </w:tc>
      </w:tr>
      <w:tr w:rsidR="00C96A3B" w:rsidRPr="00C96A3B" w14:paraId="0CE34B07" w14:textId="77777777" w:rsidTr="00DA12F3">
        <w:trPr>
          <w:gridAfter w:val="1"/>
          <w:wAfter w:w="34" w:type="dxa"/>
        </w:trPr>
        <w:tc>
          <w:tcPr>
            <w:tcW w:w="4347" w:type="dxa"/>
            <w:tcBorders>
              <w:bottom w:val="single" w:sz="4" w:space="0" w:color="auto"/>
            </w:tcBorders>
          </w:tcPr>
          <w:p w14:paraId="0664DCA1"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University of York NHS Centre for Reviews and Dissemination (NHS CRD)</w:t>
            </w:r>
          </w:p>
        </w:tc>
        <w:tc>
          <w:tcPr>
            <w:tcW w:w="4833" w:type="dxa"/>
            <w:tcBorders>
              <w:bottom w:val="single" w:sz="4" w:space="0" w:color="auto"/>
            </w:tcBorders>
          </w:tcPr>
          <w:p w14:paraId="6670B52C" w14:textId="5A5DA2D1" w:rsidR="00C96A3B" w:rsidRPr="00C96A3B" w:rsidRDefault="00AC4BE5" w:rsidP="009D0A93">
            <w:pPr>
              <w:pStyle w:val="PlainText"/>
            </w:pPr>
            <w:hyperlink r:id="rId92" w:tooltip="Link to the University of York 'NHS Centre for Reviews and Dissemination' webpage" w:history="1">
              <w:r w:rsidR="00C96A3B" w:rsidRPr="00C96A3B">
                <w:rPr>
                  <w:rFonts w:ascii="Arial Narrow" w:hAnsi="Arial Narrow"/>
                  <w:color w:val="0000FF"/>
                  <w:sz w:val="18"/>
                  <w:u w:val="single"/>
                </w:rPr>
                <w:t>http</w:t>
              </w:r>
              <w:r w:rsidR="009D0A93" w:rsidRPr="009D0A93">
                <w:rPr>
                  <w:rFonts w:ascii="Arial Narrow" w:hAnsi="Arial Narrow"/>
                  <w:color w:val="0000FF"/>
                  <w:sz w:val="18"/>
                </w:rPr>
                <w:t>:</w:t>
              </w:r>
              <w:r w:rsidR="00C96A3B" w:rsidRPr="00C96A3B">
                <w:rPr>
                  <w:rFonts w:ascii="Arial Narrow" w:hAnsi="Arial Narrow"/>
                  <w:color w:val="0000FF"/>
                  <w:sz w:val="18"/>
                  <w:u w:val="single"/>
                </w:rPr>
                <w:t>//www.york.ac.uk/inst/crd/</w:t>
              </w:r>
            </w:hyperlink>
          </w:p>
        </w:tc>
      </w:tr>
      <w:tr w:rsidR="00C96A3B" w:rsidRPr="00C96A3B" w14:paraId="07844338" w14:textId="77777777" w:rsidTr="00DA12F3">
        <w:trPr>
          <w:gridAfter w:val="1"/>
          <w:wAfter w:w="34" w:type="dxa"/>
        </w:trPr>
        <w:tc>
          <w:tcPr>
            <w:tcW w:w="4347" w:type="dxa"/>
            <w:tcBorders>
              <w:right w:val="nil"/>
            </w:tcBorders>
          </w:tcPr>
          <w:p w14:paraId="06C2108E"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r w:rsidRPr="00C96A3B">
              <w:rPr>
                <w:rFonts w:ascii="Arial Narrow" w:hAnsi="Arial Narrow" w:cs="Times New Roman"/>
                <w:b/>
                <w:bCs/>
                <w:sz w:val="20"/>
                <w:szCs w:val="20"/>
                <w:lang w:eastAsia="en-US"/>
              </w:rPr>
              <w:t>UNITED STATES</w:t>
            </w:r>
          </w:p>
        </w:tc>
        <w:tc>
          <w:tcPr>
            <w:tcW w:w="4833" w:type="dxa"/>
            <w:tcBorders>
              <w:left w:val="nil"/>
            </w:tcBorders>
          </w:tcPr>
          <w:p w14:paraId="5E01D639" w14:textId="77777777" w:rsidR="00C96A3B" w:rsidRPr="00C96A3B" w:rsidRDefault="00C96A3B" w:rsidP="00C96A3B">
            <w:pPr>
              <w:tabs>
                <w:tab w:val="left" w:pos="851"/>
              </w:tabs>
              <w:spacing w:before="40" w:after="40" w:line="240" w:lineRule="auto"/>
              <w:ind w:left="851" w:hanging="851"/>
              <w:jc w:val="both"/>
              <w:rPr>
                <w:rFonts w:ascii="Arial Narrow" w:hAnsi="Arial Narrow" w:cs="Times New Roman"/>
                <w:b/>
                <w:bCs/>
                <w:sz w:val="20"/>
                <w:szCs w:val="20"/>
                <w:lang w:eastAsia="en-US"/>
              </w:rPr>
            </w:pPr>
          </w:p>
        </w:tc>
      </w:tr>
      <w:tr w:rsidR="00C96A3B" w:rsidRPr="00C96A3B" w14:paraId="5E1BE0D0" w14:textId="77777777" w:rsidTr="00DA12F3">
        <w:trPr>
          <w:gridAfter w:val="1"/>
          <w:wAfter w:w="34" w:type="dxa"/>
        </w:trPr>
        <w:tc>
          <w:tcPr>
            <w:tcW w:w="4347" w:type="dxa"/>
          </w:tcPr>
          <w:p w14:paraId="78136E24" w14:textId="26317469"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Agency for Healthcare Research and Quality</w:t>
            </w:r>
          </w:p>
        </w:tc>
        <w:tc>
          <w:tcPr>
            <w:tcW w:w="4833" w:type="dxa"/>
          </w:tcPr>
          <w:p w14:paraId="1C756121" w14:textId="7E7616AD" w:rsidR="00C96A3B" w:rsidRPr="00C96A3B" w:rsidRDefault="00AC4BE5" w:rsidP="009D0A93">
            <w:pPr>
              <w:pStyle w:val="PlainText"/>
            </w:pPr>
            <w:hyperlink r:id="rId93" w:tooltip="Link to the American Agency for Healthcare Research and Quality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//www.ahrq.gov/clinic/techix.htm</w:t>
              </w:r>
            </w:hyperlink>
          </w:p>
        </w:tc>
      </w:tr>
      <w:tr w:rsidR="00C96A3B" w:rsidRPr="00C96A3B" w14:paraId="692BBB89" w14:textId="77777777" w:rsidTr="00DA12F3">
        <w:trPr>
          <w:gridAfter w:val="1"/>
          <w:wAfter w:w="34" w:type="dxa"/>
        </w:trPr>
        <w:tc>
          <w:tcPr>
            <w:tcW w:w="4347" w:type="dxa"/>
          </w:tcPr>
          <w:p w14:paraId="6E8C83BF"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Harvard School of Public Health</w:t>
            </w:r>
          </w:p>
        </w:tc>
        <w:tc>
          <w:tcPr>
            <w:tcW w:w="4833" w:type="dxa"/>
          </w:tcPr>
          <w:p w14:paraId="1FA71DB7" w14:textId="22F71C3B" w:rsidR="00C96A3B" w:rsidRPr="00C96A3B" w:rsidRDefault="00AC4BE5" w:rsidP="009D0A93">
            <w:pPr>
              <w:pStyle w:val="PlainText"/>
            </w:pPr>
            <w:hyperlink r:id="rId94" w:tooltip="Link to the Harvard University, School of Public Health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//www.hsph.harvard.edu/</w:t>
              </w:r>
            </w:hyperlink>
          </w:p>
        </w:tc>
      </w:tr>
      <w:tr w:rsidR="00C96A3B" w:rsidRPr="00C96A3B" w14:paraId="6FE3A2AB" w14:textId="77777777" w:rsidTr="00DA12F3">
        <w:trPr>
          <w:gridAfter w:val="1"/>
          <w:wAfter w:w="34" w:type="dxa"/>
        </w:trPr>
        <w:tc>
          <w:tcPr>
            <w:tcW w:w="4347" w:type="dxa"/>
            <w:vAlign w:val="center"/>
          </w:tcPr>
          <w:p w14:paraId="4DC6709A"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Institute for Clinical and Economic Review (ICER)</w:t>
            </w:r>
          </w:p>
        </w:tc>
        <w:tc>
          <w:tcPr>
            <w:tcW w:w="4833" w:type="dxa"/>
            <w:vAlign w:val="center"/>
          </w:tcPr>
          <w:p w14:paraId="50DAAB1F" w14:textId="6D12F019" w:rsidR="00C96A3B" w:rsidRPr="00C96A3B" w:rsidRDefault="00AC4BE5" w:rsidP="009D0A93">
            <w:pPr>
              <w:pStyle w:val="PlainText"/>
            </w:pPr>
            <w:hyperlink r:id="rId95" w:tooltip="Link to the American Institute for Clinical and Economic Review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//www.icer-review.org/</w:t>
              </w:r>
            </w:hyperlink>
          </w:p>
        </w:tc>
      </w:tr>
      <w:tr w:rsidR="00C96A3B" w:rsidRPr="00C96A3B" w14:paraId="29C39E59" w14:textId="77777777" w:rsidTr="00DA12F3">
        <w:trPr>
          <w:gridAfter w:val="1"/>
          <w:wAfter w:w="34" w:type="dxa"/>
        </w:trPr>
        <w:tc>
          <w:tcPr>
            <w:tcW w:w="4347" w:type="dxa"/>
            <w:vAlign w:val="center"/>
          </w:tcPr>
          <w:p w14:paraId="0AE4753B" w14:textId="5C594966"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Institute for Cli</w:t>
            </w:r>
            <w:r w:rsidR="00B023DE">
              <w:rPr>
                <w:rFonts w:ascii="Arial Narrow" w:hAnsi="Arial Narrow"/>
                <w:sz w:val="20"/>
                <w:szCs w:val="20"/>
              </w:rPr>
              <w:t>nical Systems Improvement</w:t>
            </w:r>
          </w:p>
        </w:tc>
        <w:tc>
          <w:tcPr>
            <w:tcW w:w="4833" w:type="dxa"/>
            <w:vAlign w:val="center"/>
          </w:tcPr>
          <w:p w14:paraId="79721CB1" w14:textId="18BB761E" w:rsidR="00C96A3B" w:rsidRPr="00C96A3B" w:rsidRDefault="00AC4BE5" w:rsidP="009D0A93">
            <w:pPr>
              <w:pStyle w:val="PlainText"/>
            </w:pPr>
            <w:hyperlink r:id="rId96" w:tooltip="Link to the American Clinical Systems Improvement website "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//www.icsi.org</w:t>
              </w:r>
            </w:hyperlink>
          </w:p>
        </w:tc>
      </w:tr>
      <w:tr w:rsidR="00C96A3B" w:rsidRPr="00C96A3B" w14:paraId="1C240D5C" w14:textId="77777777" w:rsidTr="00DA12F3">
        <w:trPr>
          <w:gridAfter w:val="1"/>
          <w:wAfter w:w="34" w:type="dxa"/>
        </w:trPr>
        <w:tc>
          <w:tcPr>
            <w:tcW w:w="4347" w:type="dxa"/>
          </w:tcPr>
          <w:p w14:paraId="509E9379"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Minnesota Department of Health (US)</w:t>
            </w:r>
          </w:p>
        </w:tc>
        <w:tc>
          <w:tcPr>
            <w:tcW w:w="4833" w:type="dxa"/>
          </w:tcPr>
          <w:p w14:paraId="6E8C6C4F" w14:textId="5BB1C66A" w:rsidR="00C96A3B" w:rsidRPr="00C96A3B" w:rsidRDefault="00AC4BE5" w:rsidP="009D0A93">
            <w:pPr>
              <w:pStyle w:val="PlainText"/>
            </w:pPr>
            <w:hyperlink r:id="rId97" w:tooltip="link to the Minnesota Department of Health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//www.health.state.mn.us/</w:t>
              </w:r>
            </w:hyperlink>
          </w:p>
        </w:tc>
      </w:tr>
      <w:tr w:rsidR="00C96A3B" w:rsidRPr="00C96A3B" w14:paraId="74424CFF" w14:textId="77777777" w:rsidTr="00DA12F3">
        <w:trPr>
          <w:gridAfter w:val="1"/>
          <w:wAfter w:w="34" w:type="dxa"/>
        </w:trPr>
        <w:tc>
          <w:tcPr>
            <w:tcW w:w="4347" w:type="dxa"/>
          </w:tcPr>
          <w:p w14:paraId="2E21433C"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National Information Centre of Health Services Research and Health Care Technology (US)</w:t>
            </w:r>
          </w:p>
        </w:tc>
        <w:tc>
          <w:tcPr>
            <w:tcW w:w="4833" w:type="dxa"/>
          </w:tcPr>
          <w:p w14:paraId="4D1D3335" w14:textId="2FF88CB9" w:rsidR="00C96A3B" w:rsidRPr="00C96A3B" w:rsidRDefault="00AC4BE5" w:rsidP="009D0A93">
            <w:pPr>
              <w:pStyle w:val="PlainText"/>
            </w:pPr>
            <w:hyperlink r:id="rId98" w:tooltip="link to the National Information Centre of Health Services Research and Health Care Technology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//www.nlm.nih.gov/nichsr/nichsr.html</w:t>
              </w:r>
            </w:hyperlink>
          </w:p>
        </w:tc>
      </w:tr>
      <w:tr w:rsidR="00C96A3B" w:rsidRPr="00C96A3B" w14:paraId="55240805" w14:textId="77777777" w:rsidTr="00DA12F3">
        <w:trPr>
          <w:gridAfter w:val="1"/>
          <w:wAfter w:w="34" w:type="dxa"/>
        </w:trPr>
        <w:tc>
          <w:tcPr>
            <w:tcW w:w="4347" w:type="dxa"/>
          </w:tcPr>
          <w:p w14:paraId="2E90BD30"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Oregon Health Resources Commission (US)</w:t>
            </w:r>
          </w:p>
        </w:tc>
        <w:tc>
          <w:tcPr>
            <w:tcW w:w="4833" w:type="dxa"/>
          </w:tcPr>
          <w:p w14:paraId="01B6994E" w14:textId="17C78315" w:rsidR="00C96A3B" w:rsidRPr="00C96A3B" w:rsidRDefault="00AC4BE5" w:rsidP="009D0A93">
            <w:pPr>
              <w:pStyle w:val="PlainText"/>
            </w:pPr>
            <w:hyperlink r:id="rId99" w:tooltip="Link to the  Oregon Health Resources Commission website "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//www.oregon.gov/oha/OHPR/HRC/Pages/index.aspx</w:t>
              </w:r>
            </w:hyperlink>
            <w:r w:rsidR="00C96A3B" w:rsidRPr="00C96A3B">
              <w:rPr>
                <w:rFonts w:ascii="Arial Narrow" w:hAnsi="Arial Narrow"/>
                <w:szCs w:val="20"/>
              </w:rPr>
              <w:t xml:space="preserve"> </w:t>
            </w:r>
          </w:p>
        </w:tc>
      </w:tr>
      <w:tr w:rsidR="00C96A3B" w:rsidRPr="00C96A3B" w14:paraId="0EA9A920" w14:textId="77777777" w:rsidTr="00DA12F3">
        <w:trPr>
          <w:gridAfter w:val="1"/>
          <w:wAfter w:w="34" w:type="dxa"/>
        </w:trPr>
        <w:tc>
          <w:tcPr>
            <w:tcW w:w="4347" w:type="dxa"/>
          </w:tcPr>
          <w:p w14:paraId="62549AFB"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Office of Health Technology Assessment Archive (US)</w:t>
            </w:r>
          </w:p>
        </w:tc>
        <w:tc>
          <w:tcPr>
            <w:tcW w:w="4833" w:type="dxa"/>
          </w:tcPr>
          <w:p w14:paraId="62CA86FE" w14:textId="01A1683D" w:rsidR="00C96A3B" w:rsidRPr="00C96A3B" w:rsidRDefault="00AC4BE5" w:rsidP="009D0A93">
            <w:pPr>
              <w:pStyle w:val="PlainText"/>
            </w:pPr>
            <w:hyperlink r:id="rId100" w:tooltip="link to the Office of Health Technology Assessment Archive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//ota.fas.org/</w:t>
              </w:r>
            </w:hyperlink>
            <w:r w:rsidR="00C96A3B" w:rsidRPr="00C96A3B">
              <w:rPr>
                <w:rFonts w:ascii="Arial Narrow" w:hAnsi="Arial Narrow"/>
                <w:szCs w:val="20"/>
              </w:rPr>
              <w:t xml:space="preserve"> </w:t>
            </w:r>
          </w:p>
        </w:tc>
      </w:tr>
      <w:tr w:rsidR="00C96A3B" w:rsidRPr="00C96A3B" w14:paraId="46E5FA32" w14:textId="77777777" w:rsidTr="00DA12F3">
        <w:trPr>
          <w:gridAfter w:val="1"/>
          <w:wAfter w:w="34" w:type="dxa"/>
        </w:trPr>
        <w:tc>
          <w:tcPr>
            <w:tcW w:w="4347" w:type="dxa"/>
          </w:tcPr>
          <w:p w14:paraId="1DC9E4DA"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U.S. Blue Cross/ Blue Shield Association Technology Evaluation Center (Tec)</w:t>
            </w:r>
          </w:p>
        </w:tc>
        <w:tc>
          <w:tcPr>
            <w:tcW w:w="4833" w:type="dxa"/>
          </w:tcPr>
          <w:p w14:paraId="655D49D2" w14:textId="39CBBE87" w:rsidR="00C96A3B" w:rsidRPr="00C96A3B" w:rsidRDefault="00AC4BE5" w:rsidP="009D0A93">
            <w:pPr>
              <w:pStyle w:val="PlainText"/>
            </w:pPr>
            <w:hyperlink r:id="rId101" w:tooltip="Link to American Blue Cross/ Blue Shield Association Technology Evaluation Center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//www.bcbs.com/blueresources/tec/</w:t>
              </w:r>
            </w:hyperlink>
          </w:p>
        </w:tc>
      </w:tr>
      <w:tr w:rsidR="00C96A3B" w:rsidRPr="00C96A3B" w14:paraId="2C71D637" w14:textId="77777777" w:rsidTr="00DA12F3">
        <w:trPr>
          <w:gridAfter w:val="1"/>
          <w:wAfter w:w="34" w:type="dxa"/>
        </w:trPr>
        <w:tc>
          <w:tcPr>
            <w:tcW w:w="4347" w:type="dxa"/>
          </w:tcPr>
          <w:p w14:paraId="7FBC2222" w14:textId="77777777" w:rsidR="00C96A3B" w:rsidRPr="00C96A3B" w:rsidRDefault="00C96A3B" w:rsidP="00C96A3B">
            <w:pPr>
              <w:spacing w:before="40" w:after="40" w:line="240" w:lineRule="auto"/>
              <w:jc w:val="both"/>
              <w:rPr>
                <w:rFonts w:ascii="Arial Narrow" w:hAnsi="Arial Narrow"/>
                <w:sz w:val="20"/>
                <w:szCs w:val="20"/>
              </w:rPr>
            </w:pPr>
            <w:r w:rsidRPr="00C96A3B">
              <w:rPr>
                <w:rFonts w:ascii="Arial Narrow" w:hAnsi="Arial Narrow"/>
                <w:sz w:val="20"/>
                <w:szCs w:val="20"/>
              </w:rPr>
              <w:t>Veteran’s Affairs Research and Development Technology Assessment Program (US)</w:t>
            </w:r>
          </w:p>
        </w:tc>
        <w:tc>
          <w:tcPr>
            <w:tcW w:w="4833" w:type="dxa"/>
          </w:tcPr>
          <w:p w14:paraId="6F76679D" w14:textId="6A82133D" w:rsidR="00C96A3B" w:rsidRPr="00C96A3B" w:rsidRDefault="00AC4BE5" w:rsidP="009D0A93">
            <w:pPr>
              <w:pStyle w:val="PlainText"/>
            </w:pPr>
            <w:hyperlink r:id="rId102" w:tooltip="Link to American Veteran’s Affairs Research and Development Technology Assessment Program website" w:history="1">
              <w:r w:rsidR="00C96A3B" w:rsidRPr="00C96A3B">
                <w:rPr>
                  <w:rFonts w:ascii="Arial Narrow" w:hAnsi="Arial Narrow"/>
                  <w:color w:val="0000FF"/>
                  <w:szCs w:val="20"/>
                  <w:u w:val="single"/>
                </w:rPr>
                <w:t>http</w:t>
              </w:r>
              <w:r w:rsidR="009D0A93" w:rsidRPr="009D0A93">
                <w:rPr>
                  <w:rFonts w:ascii="Arial Narrow" w:hAnsi="Arial Narrow"/>
                  <w:color w:val="0000FF"/>
                  <w:szCs w:val="20"/>
                </w:rPr>
                <w:t>:</w:t>
              </w:r>
              <w:r w:rsidR="00C96A3B" w:rsidRPr="00C96A3B">
                <w:rPr>
                  <w:rFonts w:ascii="Arial Narrow" w:hAnsi="Arial Narrow"/>
                  <w:color w:val="0000FF"/>
                  <w:szCs w:val="20"/>
                  <w:u w:val="single"/>
                </w:rPr>
                <w:t>//www.research.va.gov/default.cfm</w:t>
              </w:r>
            </w:hyperlink>
          </w:p>
        </w:tc>
      </w:tr>
    </w:tbl>
    <w:p w14:paraId="230C4BA9" w14:textId="4EC4CAB6" w:rsidR="00A81273" w:rsidRDefault="004446E6" w:rsidP="004D6709">
      <w:pPr>
        <w:pStyle w:val="Heading2"/>
      </w:pPr>
      <w:bookmarkStart w:id="496" w:name="_Toc502833002"/>
      <w:r>
        <w:t>Search t</w:t>
      </w:r>
      <w:r w:rsidR="00A81273">
        <w:t>erms</w:t>
      </w:r>
      <w:bookmarkEnd w:id="496"/>
    </w:p>
    <w:p w14:paraId="37D97E12" w14:textId="6D613465" w:rsidR="007711F9" w:rsidRDefault="007711F9" w:rsidP="007711F9">
      <w:r>
        <w:t>Search terms used in the literature searches are shown below (</w:t>
      </w:r>
      <w:r>
        <w:fldChar w:fldCharType="begin"/>
      </w:r>
      <w:r>
        <w:instrText xml:space="preserve"> REF _Ref497987352 \h </w:instrText>
      </w:r>
      <w:r>
        <w:fldChar w:fldCharType="separate"/>
      </w:r>
      <w:r w:rsidR="00AC4BE5" w:rsidRPr="00D86397">
        <w:t xml:space="preserve">Table </w:t>
      </w:r>
      <w:r w:rsidR="00AC4BE5">
        <w:rPr>
          <w:noProof/>
        </w:rPr>
        <w:t>80</w:t>
      </w:r>
      <w:r>
        <w:fldChar w:fldCharType="end"/>
      </w:r>
      <w:r>
        <w:t xml:space="preserve"> and </w:t>
      </w:r>
      <w:r>
        <w:fldChar w:fldCharType="begin"/>
      </w:r>
      <w:r>
        <w:instrText xml:space="preserve"> REF _Ref437507650 \h </w:instrText>
      </w:r>
      <w:r>
        <w:fldChar w:fldCharType="separate"/>
      </w:r>
      <w:r w:rsidR="00AC4BE5" w:rsidRPr="00D86397">
        <w:t xml:space="preserve">Table </w:t>
      </w:r>
      <w:r w:rsidR="00AC4BE5">
        <w:rPr>
          <w:noProof/>
        </w:rPr>
        <w:t>81</w:t>
      </w:r>
      <w:r>
        <w:fldChar w:fldCharType="end"/>
      </w:r>
      <w:r>
        <w:t>).</w:t>
      </w:r>
    </w:p>
    <w:p w14:paraId="6347B2FB" w14:textId="2F68D9CF" w:rsidR="00562D9A" w:rsidRPr="00D86397" w:rsidRDefault="00562D9A" w:rsidP="009D0A93">
      <w:pPr>
        <w:pStyle w:val="Caption"/>
        <w:keepNext/>
        <w:ind w:left="1134" w:hanging="1134"/>
        <w:jc w:val="both"/>
      </w:pPr>
      <w:bookmarkStart w:id="497" w:name="_Ref497987352"/>
      <w:bookmarkStart w:id="498" w:name="_Toc502833098"/>
      <w:r w:rsidRPr="00D86397">
        <w:t xml:space="preserve">Table </w:t>
      </w:r>
      <w:r w:rsidR="00AC4BE5">
        <w:fldChar w:fldCharType="begin"/>
      </w:r>
      <w:r w:rsidR="00AC4BE5">
        <w:instrText xml:space="preserve"> SEQ Table \* ARABIC </w:instrText>
      </w:r>
      <w:r w:rsidR="00AC4BE5">
        <w:fldChar w:fldCharType="separate"/>
      </w:r>
      <w:r w:rsidR="00AC4BE5">
        <w:rPr>
          <w:noProof/>
        </w:rPr>
        <w:t>80</w:t>
      </w:r>
      <w:r w:rsidR="00AC4BE5">
        <w:rPr>
          <w:noProof/>
        </w:rPr>
        <w:fldChar w:fldCharType="end"/>
      </w:r>
      <w:bookmarkEnd w:id="487"/>
      <w:bookmarkEnd w:id="497"/>
      <w:r w:rsidR="009D0A93">
        <w:tab/>
      </w:r>
      <w:r w:rsidRPr="00D86397">
        <w:t xml:space="preserve">Suggested search terms for </w:t>
      </w:r>
      <w:r w:rsidRPr="00012427">
        <w:t xml:space="preserve">AMH testing to measure ovarian reserve to determine the requirement for cryopreservation of ovarian tissue or oocytes </w:t>
      </w:r>
      <w:r>
        <w:t>prior to or following gonadotoxic treatment</w:t>
      </w:r>
      <w:r w:rsidR="009D0A93">
        <w:t xml:space="preserve">, </w:t>
      </w:r>
      <w:r w:rsidR="008F63C7">
        <w:t>PubM</w:t>
      </w:r>
      <w:r w:rsidRPr="00D86397">
        <w:t>ed</w:t>
      </w:r>
      <w:bookmarkEnd w:id="498"/>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867"/>
      </w:tblGrid>
      <w:tr w:rsidR="00562D9A" w:rsidRPr="00D86397" w14:paraId="6B4D2F83" w14:textId="77777777" w:rsidTr="0025301A">
        <w:trPr>
          <w:cantSplit/>
        </w:trPr>
        <w:tc>
          <w:tcPr>
            <w:tcW w:w="2234" w:type="dxa"/>
          </w:tcPr>
          <w:p w14:paraId="50AA30D5" w14:textId="77777777" w:rsidR="00562D9A" w:rsidRPr="00260996" w:rsidRDefault="00562D9A" w:rsidP="00260996">
            <w:pPr>
              <w:pStyle w:val="Tabletext1"/>
              <w:rPr>
                <w:b/>
              </w:rPr>
            </w:pPr>
            <w:r w:rsidRPr="00260996">
              <w:rPr>
                <w:b/>
              </w:rPr>
              <w:t>Element of clinical question</w:t>
            </w:r>
          </w:p>
        </w:tc>
        <w:tc>
          <w:tcPr>
            <w:tcW w:w="6867" w:type="dxa"/>
          </w:tcPr>
          <w:p w14:paraId="2C203991" w14:textId="0474B51E" w:rsidR="00562D9A" w:rsidRPr="00260996" w:rsidRDefault="008F63C7" w:rsidP="00260996">
            <w:pPr>
              <w:pStyle w:val="Tabletext1"/>
              <w:rPr>
                <w:b/>
              </w:rPr>
            </w:pPr>
            <w:r>
              <w:rPr>
                <w:b/>
              </w:rPr>
              <w:t>PubM</w:t>
            </w:r>
            <w:r w:rsidR="00562D9A" w:rsidRPr="00260996">
              <w:rPr>
                <w:b/>
              </w:rPr>
              <w:t>ed/Medline search terms</w:t>
            </w:r>
          </w:p>
        </w:tc>
      </w:tr>
      <w:tr w:rsidR="00562D9A" w:rsidRPr="00D86397" w14:paraId="524D93E0" w14:textId="77777777" w:rsidTr="0025301A">
        <w:trPr>
          <w:cantSplit/>
        </w:trPr>
        <w:tc>
          <w:tcPr>
            <w:tcW w:w="2234" w:type="dxa"/>
          </w:tcPr>
          <w:p w14:paraId="0B24AB81" w14:textId="77777777" w:rsidR="00562D9A" w:rsidRPr="00D86397" w:rsidRDefault="00562D9A" w:rsidP="00260996">
            <w:pPr>
              <w:pStyle w:val="Tabletext1"/>
            </w:pPr>
            <w:r w:rsidRPr="00D86397">
              <w:t>Population</w:t>
            </w:r>
          </w:p>
        </w:tc>
        <w:tc>
          <w:tcPr>
            <w:tcW w:w="6867" w:type="dxa"/>
          </w:tcPr>
          <w:p w14:paraId="18D43188" w14:textId="77777777" w:rsidR="00562D9A" w:rsidRDefault="00562D9A" w:rsidP="00260996">
            <w:pPr>
              <w:pStyle w:val="Tabletext1"/>
            </w:pPr>
            <w:r w:rsidRPr="00D86397">
              <w:t>“</w:t>
            </w:r>
            <w:r>
              <w:t>Neoplasms</w:t>
            </w:r>
            <w:r w:rsidRPr="00D86397">
              <w:t xml:space="preserve">” [MeSH] OR </w:t>
            </w:r>
            <w:r>
              <w:t xml:space="preserve">cancer </w:t>
            </w:r>
            <w:r w:rsidRPr="00D86397">
              <w:t>OR</w:t>
            </w:r>
            <w:r>
              <w:t xml:space="preserve"> tumour OR tumor OR neoplasm OR neoplastic OR</w:t>
            </w:r>
            <w:r w:rsidRPr="00D86397">
              <w:t xml:space="preserve"> “</w:t>
            </w:r>
            <w:r>
              <w:t>Inflammatory bowel disease</w:t>
            </w:r>
            <w:r w:rsidRPr="00D86397">
              <w:t xml:space="preserve">” OR </w:t>
            </w:r>
            <w:r>
              <w:t>“ulcerative colitis” OR “Crohn’s disease" OR “rheumatoid arthritis”</w:t>
            </w:r>
            <w:r w:rsidRPr="00D86397">
              <w:t xml:space="preserve"> OR </w:t>
            </w:r>
            <w:r>
              <w:t>“asplenic anemia” OR vasculitis OR lupus OR “metabolic disease” OR “endometriosis” OR “A</w:t>
            </w:r>
            <w:r w:rsidRPr="008747D2">
              <w:t>nti</w:t>
            </w:r>
            <w:r>
              <w:t>ne</w:t>
            </w:r>
            <w:r w:rsidRPr="008747D2">
              <w:t>o</w:t>
            </w:r>
            <w:r>
              <w:t>plas</w:t>
            </w:r>
            <w:r w:rsidRPr="008747D2">
              <w:t xml:space="preserve">tic </w:t>
            </w:r>
            <w:r>
              <w:t>Agents” [MeSH] OR “Radiotherapy”[MeSH] OR “</w:t>
            </w:r>
            <w:r w:rsidRPr="00920BC3">
              <w:t>anti-mitotic drugs</w:t>
            </w:r>
            <w:r>
              <w:t>” OR irradiation OR gonadotoxic*</w:t>
            </w:r>
          </w:p>
          <w:p w14:paraId="1F7CF4B1" w14:textId="77777777" w:rsidR="00562D9A" w:rsidRDefault="00562D9A" w:rsidP="00260996">
            <w:pPr>
              <w:pStyle w:val="Tabletext1"/>
            </w:pPr>
            <w:r>
              <w:t>AND</w:t>
            </w:r>
          </w:p>
          <w:p w14:paraId="17C3EC51" w14:textId="77777777" w:rsidR="00562D9A" w:rsidRPr="00D86397" w:rsidRDefault="00562D9A" w:rsidP="00260996">
            <w:pPr>
              <w:pStyle w:val="Tabletext1"/>
            </w:pPr>
            <w:r>
              <w:t>“</w:t>
            </w:r>
            <w:r w:rsidRPr="002E784C">
              <w:t>Ovarian Follicle</w:t>
            </w:r>
            <w:r>
              <w:t xml:space="preserve">” [MeSH] OR oocyte* OR oogonium OR ovarian OR follicle* OR gonadal OR egg* OR </w:t>
            </w:r>
            <w:r w:rsidRPr="00431186">
              <w:t>adolescent</w:t>
            </w:r>
            <w:r>
              <w:t>*</w:t>
            </w:r>
            <w:r w:rsidRPr="00431186">
              <w:t xml:space="preserve"> OR paediatric OR young</w:t>
            </w:r>
          </w:p>
        </w:tc>
      </w:tr>
      <w:tr w:rsidR="00562D9A" w:rsidRPr="00D86397" w14:paraId="3444DE84" w14:textId="77777777" w:rsidTr="0025301A">
        <w:tc>
          <w:tcPr>
            <w:tcW w:w="2234" w:type="dxa"/>
          </w:tcPr>
          <w:p w14:paraId="052ED7EA" w14:textId="77777777" w:rsidR="00562D9A" w:rsidRPr="00D86397" w:rsidRDefault="00562D9A" w:rsidP="00260996">
            <w:pPr>
              <w:pStyle w:val="Tabletext1"/>
            </w:pPr>
            <w:r w:rsidRPr="00D86397">
              <w:t>Intervention</w:t>
            </w:r>
          </w:p>
        </w:tc>
        <w:tc>
          <w:tcPr>
            <w:tcW w:w="6867" w:type="dxa"/>
          </w:tcPr>
          <w:p w14:paraId="711DCFD2" w14:textId="77777777" w:rsidR="00562D9A" w:rsidRDefault="00562D9A" w:rsidP="00260996">
            <w:pPr>
              <w:pStyle w:val="Tabletext1"/>
            </w:pPr>
            <w:r>
              <w:t>“Ovarian Reserve” [MeSH] OR “</w:t>
            </w:r>
            <w:r w:rsidRPr="00012427">
              <w:t>anti-Müllerian hormone</w:t>
            </w:r>
            <w:r>
              <w:t>” OR “antimullerian hormone” OR AMH</w:t>
            </w:r>
          </w:p>
          <w:p w14:paraId="1FBAA4C0" w14:textId="77777777" w:rsidR="00562D9A" w:rsidRDefault="00562D9A" w:rsidP="00260996">
            <w:pPr>
              <w:pStyle w:val="Tabletext1"/>
            </w:pPr>
            <w:r>
              <w:t>OR</w:t>
            </w:r>
          </w:p>
          <w:p w14:paraId="564F1E29" w14:textId="08A2257C" w:rsidR="00562D9A" w:rsidRPr="00D86397" w:rsidRDefault="00562D9A" w:rsidP="00260996">
            <w:pPr>
              <w:pStyle w:val="Tabletext1"/>
            </w:pPr>
            <w:r>
              <w:t>“</w:t>
            </w:r>
            <w:r w:rsidRPr="00431186">
              <w:t xml:space="preserve">Cryopreservation”[MeSH] OR “Fertility Preservation” [MeSH] OR </w:t>
            </w:r>
            <w:r w:rsidRPr="002E784C">
              <w:t>“</w:t>
            </w:r>
            <w:r>
              <w:t>Oocyte</w:t>
            </w:r>
            <w:r w:rsidRPr="002E784C">
              <w:t xml:space="preserve"> Retrieval” [MeSH]</w:t>
            </w:r>
            <w:r w:rsidRPr="00431186">
              <w:t xml:space="preserve"> </w:t>
            </w:r>
            <w:r>
              <w:t xml:space="preserve">OR </w:t>
            </w:r>
            <w:r w:rsidRPr="00431186">
              <w:t>cryopreserv* OR “fertility preservation” OR “fertility restoration” OR “vitrification” OR oncofertility</w:t>
            </w:r>
          </w:p>
        </w:tc>
      </w:tr>
      <w:tr w:rsidR="00562D9A" w:rsidRPr="00D86397" w14:paraId="736E9271" w14:textId="77777777" w:rsidTr="0025301A">
        <w:tc>
          <w:tcPr>
            <w:tcW w:w="2234" w:type="dxa"/>
          </w:tcPr>
          <w:p w14:paraId="51193CB4" w14:textId="77777777" w:rsidR="00562D9A" w:rsidRPr="00D86397" w:rsidRDefault="00562D9A" w:rsidP="00260996">
            <w:pPr>
              <w:pStyle w:val="Tabletext1"/>
            </w:pPr>
            <w:r w:rsidRPr="00D86397">
              <w:t>Comparator (if applicable)</w:t>
            </w:r>
          </w:p>
        </w:tc>
        <w:tc>
          <w:tcPr>
            <w:tcW w:w="6867" w:type="dxa"/>
          </w:tcPr>
          <w:p w14:paraId="503A9B8F" w14:textId="1853542D" w:rsidR="00562D9A" w:rsidRPr="00C02280" w:rsidRDefault="009D0A93" w:rsidP="00260996">
            <w:pPr>
              <w:pStyle w:val="Tabletext1"/>
              <w:rPr>
                <w:strike/>
              </w:rPr>
            </w:pPr>
            <w:r>
              <w:rPr>
                <w:strike/>
              </w:rPr>
              <w:t>-</w:t>
            </w:r>
          </w:p>
        </w:tc>
      </w:tr>
      <w:tr w:rsidR="00562D9A" w:rsidRPr="00D86397" w14:paraId="7E57D1DB" w14:textId="77777777" w:rsidTr="0025301A">
        <w:tc>
          <w:tcPr>
            <w:tcW w:w="2234" w:type="dxa"/>
          </w:tcPr>
          <w:p w14:paraId="73F4DC8D" w14:textId="77777777" w:rsidR="00562D9A" w:rsidRPr="00D86397" w:rsidRDefault="00562D9A" w:rsidP="00260996">
            <w:pPr>
              <w:pStyle w:val="Tabletext1"/>
            </w:pPr>
            <w:r w:rsidRPr="00D86397">
              <w:t>Outcomes (if applicable)</w:t>
            </w:r>
          </w:p>
        </w:tc>
        <w:tc>
          <w:tcPr>
            <w:tcW w:w="6867" w:type="dxa"/>
          </w:tcPr>
          <w:p w14:paraId="13BE15D2" w14:textId="77777777" w:rsidR="00562D9A" w:rsidRPr="00D86397" w:rsidRDefault="00562D9A" w:rsidP="00260996">
            <w:pPr>
              <w:pStyle w:val="Tabletext1"/>
            </w:pPr>
            <w:r w:rsidRPr="00D86397">
              <w:t>-</w:t>
            </w:r>
          </w:p>
        </w:tc>
      </w:tr>
      <w:tr w:rsidR="00562D9A" w:rsidRPr="00D86397" w14:paraId="3BB468F5" w14:textId="77777777" w:rsidTr="0025301A">
        <w:tc>
          <w:tcPr>
            <w:tcW w:w="2234" w:type="dxa"/>
          </w:tcPr>
          <w:p w14:paraId="0A1AC416" w14:textId="77777777" w:rsidR="00562D9A" w:rsidRPr="00D86397" w:rsidRDefault="00562D9A" w:rsidP="00260996">
            <w:pPr>
              <w:pStyle w:val="Tabletext1"/>
            </w:pPr>
            <w:r w:rsidRPr="00D86397">
              <w:t>Limits</w:t>
            </w:r>
          </w:p>
        </w:tc>
        <w:tc>
          <w:tcPr>
            <w:tcW w:w="6867" w:type="dxa"/>
          </w:tcPr>
          <w:p w14:paraId="3FE1277B" w14:textId="77777777" w:rsidR="00562D9A" w:rsidRPr="00D86397" w:rsidRDefault="00562D9A" w:rsidP="00260996">
            <w:pPr>
              <w:pStyle w:val="Tabletext1"/>
            </w:pPr>
            <w:r>
              <w:t>Humans</w:t>
            </w:r>
          </w:p>
        </w:tc>
      </w:tr>
    </w:tbl>
    <w:p w14:paraId="132B5F97" w14:textId="77777777" w:rsidR="00562D9A" w:rsidRPr="00260996" w:rsidRDefault="00562D9A" w:rsidP="00562D9A">
      <w:pPr>
        <w:pStyle w:val="TableNotes"/>
        <w:keepLines w:val="0"/>
        <w:spacing w:before="40" w:after="240"/>
        <w:ind w:left="0"/>
        <w:rPr>
          <w:sz w:val="18"/>
          <w:szCs w:val="18"/>
        </w:rPr>
      </w:pPr>
      <w:r w:rsidRPr="00260996">
        <w:rPr>
          <w:sz w:val="18"/>
          <w:szCs w:val="18"/>
        </w:rPr>
        <w:t>MeSH = Medical Subject Heading, based on a Medline/PubMed platform</w:t>
      </w:r>
    </w:p>
    <w:p w14:paraId="59A0C7AE" w14:textId="18261FCA" w:rsidR="00562D9A" w:rsidRPr="00D86397" w:rsidRDefault="00562D9A" w:rsidP="009D0A93">
      <w:pPr>
        <w:pStyle w:val="Caption"/>
        <w:keepNext/>
        <w:ind w:left="1134" w:hanging="1134"/>
      </w:pPr>
      <w:bookmarkStart w:id="499" w:name="_Ref437507650"/>
      <w:bookmarkStart w:id="500" w:name="_Toc491849023"/>
      <w:bookmarkStart w:id="501" w:name="_Toc502833099"/>
      <w:r w:rsidRPr="00D86397">
        <w:lastRenderedPageBreak/>
        <w:t xml:space="preserve">Table </w:t>
      </w:r>
      <w:r w:rsidR="00AC4BE5">
        <w:fldChar w:fldCharType="begin"/>
      </w:r>
      <w:r w:rsidR="00AC4BE5">
        <w:instrText xml:space="preserve"> SEQ Table \* ARABIC </w:instrText>
      </w:r>
      <w:r w:rsidR="00AC4BE5">
        <w:fldChar w:fldCharType="separate"/>
      </w:r>
      <w:r w:rsidR="00AC4BE5">
        <w:rPr>
          <w:noProof/>
        </w:rPr>
        <w:t>81</w:t>
      </w:r>
      <w:r w:rsidR="00AC4BE5">
        <w:rPr>
          <w:noProof/>
        </w:rPr>
        <w:fldChar w:fldCharType="end"/>
      </w:r>
      <w:bookmarkEnd w:id="499"/>
      <w:r w:rsidRPr="00D86397">
        <w:tab/>
        <w:t xml:space="preserve">Suggested search terms for </w:t>
      </w:r>
      <w:r>
        <w:t>AMH testing to measure ovarian reserve to determine the requirement for cryopreservation of ovarian tissue or oocytes prior to or following gonadotoxic treatment</w:t>
      </w:r>
      <w:r w:rsidR="009D0A93">
        <w:t xml:space="preserve">, </w:t>
      </w:r>
      <w:r w:rsidRPr="00D86397">
        <w:t>Embase</w:t>
      </w:r>
      <w:bookmarkEnd w:id="500"/>
      <w:bookmarkEnd w:id="501"/>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6859"/>
      </w:tblGrid>
      <w:tr w:rsidR="00562D9A" w:rsidRPr="00D86397" w14:paraId="05ACDFE0" w14:textId="77777777" w:rsidTr="0025301A">
        <w:tc>
          <w:tcPr>
            <w:tcW w:w="2242" w:type="dxa"/>
            <w:tcBorders>
              <w:top w:val="single" w:sz="4" w:space="0" w:color="auto"/>
              <w:left w:val="single" w:sz="4" w:space="0" w:color="auto"/>
              <w:bottom w:val="single" w:sz="4" w:space="0" w:color="auto"/>
              <w:right w:val="single" w:sz="4" w:space="0" w:color="auto"/>
            </w:tcBorders>
            <w:hideMark/>
          </w:tcPr>
          <w:p w14:paraId="08194B63" w14:textId="77777777" w:rsidR="00562D9A" w:rsidRPr="00260996" w:rsidRDefault="00562D9A" w:rsidP="00260996">
            <w:pPr>
              <w:pStyle w:val="Tabletext1"/>
              <w:rPr>
                <w:b/>
              </w:rPr>
            </w:pPr>
            <w:r w:rsidRPr="00260996">
              <w:rPr>
                <w:b/>
              </w:rPr>
              <w:t>Element of clinical question</w:t>
            </w:r>
          </w:p>
        </w:tc>
        <w:tc>
          <w:tcPr>
            <w:tcW w:w="6859" w:type="dxa"/>
            <w:tcBorders>
              <w:top w:val="single" w:sz="4" w:space="0" w:color="auto"/>
              <w:left w:val="single" w:sz="4" w:space="0" w:color="auto"/>
              <w:bottom w:val="single" w:sz="4" w:space="0" w:color="auto"/>
              <w:right w:val="single" w:sz="4" w:space="0" w:color="auto"/>
            </w:tcBorders>
            <w:hideMark/>
          </w:tcPr>
          <w:p w14:paraId="4D6DBB07" w14:textId="77777777" w:rsidR="00562D9A" w:rsidRPr="00260996" w:rsidRDefault="00562D9A" w:rsidP="00260996">
            <w:pPr>
              <w:pStyle w:val="Tabletext1"/>
              <w:rPr>
                <w:b/>
              </w:rPr>
            </w:pPr>
            <w:r w:rsidRPr="00260996">
              <w:rPr>
                <w:b/>
              </w:rPr>
              <w:t>Embase search terms</w:t>
            </w:r>
          </w:p>
        </w:tc>
      </w:tr>
      <w:tr w:rsidR="00562D9A" w:rsidRPr="00D86397" w14:paraId="6A569496" w14:textId="77777777" w:rsidTr="0025301A">
        <w:trPr>
          <w:cantSplit/>
        </w:trPr>
        <w:tc>
          <w:tcPr>
            <w:tcW w:w="2242" w:type="dxa"/>
            <w:tcBorders>
              <w:top w:val="single" w:sz="4" w:space="0" w:color="auto"/>
              <w:left w:val="single" w:sz="4" w:space="0" w:color="auto"/>
              <w:bottom w:val="single" w:sz="4" w:space="0" w:color="auto"/>
              <w:right w:val="single" w:sz="4" w:space="0" w:color="auto"/>
            </w:tcBorders>
            <w:hideMark/>
          </w:tcPr>
          <w:p w14:paraId="5415502B" w14:textId="77777777" w:rsidR="00562D9A" w:rsidRPr="00D86397" w:rsidRDefault="00562D9A" w:rsidP="00260996">
            <w:pPr>
              <w:pStyle w:val="Tabletext1"/>
            </w:pPr>
            <w:r w:rsidRPr="00D86397">
              <w:t>Population</w:t>
            </w:r>
          </w:p>
        </w:tc>
        <w:tc>
          <w:tcPr>
            <w:tcW w:w="6859" w:type="dxa"/>
            <w:tcBorders>
              <w:top w:val="single" w:sz="4" w:space="0" w:color="auto"/>
              <w:left w:val="single" w:sz="4" w:space="0" w:color="auto"/>
              <w:bottom w:val="single" w:sz="4" w:space="0" w:color="auto"/>
              <w:right w:val="single" w:sz="4" w:space="0" w:color="auto"/>
            </w:tcBorders>
            <w:hideMark/>
          </w:tcPr>
          <w:p w14:paraId="50B15983" w14:textId="77777777" w:rsidR="00562D9A" w:rsidRDefault="00562D9A" w:rsidP="00260996">
            <w:pPr>
              <w:pStyle w:val="Tabletext1"/>
            </w:pPr>
            <w:r>
              <w:t>n</w:t>
            </w:r>
            <w:r w:rsidRPr="00577F10">
              <w:t>eoplasm</w:t>
            </w:r>
            <w:r>
              <w:t>’/exp</w:t>
            </w:r>
            <w:r w:rsidRPr="00577F10">
              <w:t xml:space="preserve"> OR cancer OR tumour </w:t>
            </w:r>
            <w:r>
              <w:t xml:space="preserve">OR tumor </w:t>
            </w:r>
            <w:r w:rsidRPr="00577F10">
              <w:t>O</w:t>
            </w:r>
            <w:r>
              <w:t>R neoplastic OR ‘</w:t>
            </w:r>
            <w:r w:rsidRPr="00577F10">
              <w:t>Inflammatory bowel disease</w:t>
            </w:r>
            <w:r>
              <w:t>’ OR ‘</w:t>
            </w:r>
            <w:r w:rsidRPr="00577F10">
              <w:t>ulcerative colitis</w:t>
            </w:r>
            <w:r>
              <w:t>’</w:t>
            </w:r>
            <w:r w:rsidRPr="00577F10">
              <w:t xml:space="preserve"> OR </w:t>
            </w:r>
            <w:r>
              <w:t>‘</w:t>
            </w:r>
            <w:r w:rsidRPr="00577F10">
              <w:t>Crohn</w:t>
            </w:r>
            <w:r>
              <w:t>s</w:t>
            </w:r>
            <w:r w:rsidRPr="00577F10">
              <w:t xml:space="preserve"> disease</w:t>
            </w:r>
            <w:r>
              <w:t>’ OR ‘</w:t>
            </w:r>
            <w:r w:rsidRPr="00577F10">
              <w:t>rheumatoid arthritis</w:t>
            </w:r>
            <w:r>
              <w:t>’</w:t>
            </w:r>
            <w:r w:rsidRPr="00577F10">
              <w:t xml:space="preserve"> OR </w:t>
            </w:r>
            <w:r>
              <w:t>‘asplenic anemia’</w:t>
            </w:r>
            <w:r w:rsidRPr="00577F10">
              <w:t xml:space="preserve"> OR vasculitis OR lupus OR </w:t>
            </w:r>
            <w:r>
              <w:t>‘</w:t>
            </w:r>
            <w:r w:rsidRPr="00577F10">
              <w:t>metabolic disease</w:t>
            </w:r>
            <w:r>
              <w:t>’ OR ‘endometriosis’ OR ‘a</w:t>
            </w:r>
            <w:r w:rsidRPr="00577F10">
              <w:t xml:space="preserve">ntineoplastic </w:t>
            </w:r>
            <w:r>
              <w:t>a</w:t>
            </w:r>
            <w:r w:rsidRPr="00577F10">
              <w:t>gent</w:t>
            </w:r>
            <w:r>
              <w:t>’/exp</w:t>
            </w:r>
            <w:r w:rsidRPr="00577F10">
              <w:t xml:space="preserve"> </w:t>
            </w:r>
            <w:r>
              <w:t>OR ‘anti</w:t>
            </w:r>
            <w:r w:rsidRPr="00577F10">
              <w:t xml:space="preserve">mitotic </w:t>
            </w:r>
            <w:r>
              <w:t>agent’/exp</w:t>
            </w:r>
            <w:r w:rsidRPr="00577F10">
              <w:t xml:space="preserve"> </w:t>
            </w:r>
            <w:r>
              <w:t>OR</w:t>
            </w:r>
            <w:r w:rsidRPr="00577F10">
              <w:t xml:space="preserve"> </w:t>
            </w:r>
            <w:r>
              <w:t xml:space="preserve">‘radiotherapy’/exp OR </w:t>
            </w:r>
            <w:r w:rsidRPr="00577F10">
              <w:t>irradiation OR</w:t>
            </w:r>
            <w:r>
              <w:t xml:space="preserve"> ‘gonadotoxicity’/exp OR gonadotoxic</w:t>
            </w:r>
          </w:p>
          <w:p w14:paraId="3EC3D2E7" w14:textId="77777777" w:rsidR="00562D9A" w:rsidRDefault="00562D9A" w:rsidP="00260996">
            <w:pPr>
              <w:pStyle w:val="Tabletext1"/>
            </w:pPr>
            <w:r>
              <w:t>AND</w:t>
            </w:r>
          </w:p>
          <w:p w14:paraId="0D9A0FA3" w14:textId="0A4B7B9B" w:rsidR="00562D9A" w:rsidRPr="00D86397" w:rsidRDefault="00562D9A" w:rsidP="00260996">
            <w:pPr>
              <w:pStyle w:val="Tabletext1"/>
            </w:pPr>
            <w:r>
              <w:t>‘ovary follicle cell’/exp OR oocyte</w:t>
            </w:r>
            <w:r w:rsidRPr="009C1CD5">
              <w:t xml:space="preserve"> OR </w:t>
            </w:r>
            <w:r>
              <w:t>oogonium OR ovarian</w:t>
            </w:r>
            <w:r w:rsidRPr="009C1CD5">
              <w:t xml:space="preserve"> OR </w:t>
            </w:r>
            <w:r>
              <w:t xml:space="preserve">follicle* OR </w:t>
            </w:r>
            <w:r w:rsidRPr="009C1CD5">
              <w:t xml:space="preserve">gonadal OR </w:t>
            </w:r>
            <w:r w:rsidRPr="00FA44C7">
              <w:t>adolescent</w:t>
            </w:r>
            <w:r>
              <w:t>* OR egg OR eggs</w:t>
            </w:r>
            <w:r w:rsidRPr="00FA44C7">
              <w:t xml:space="preserve"> OR paediatric </w:t>
            </w:r>
            <w:r>
              <w:t xml:space="preserve">OR pediatric </w:t>
            </w:r>
            <w:r w:rsidRPr="00FA44C7">
              <w:t>OR young</w:t>
            </w:r>
          </w:p>
        </w:tc>
      </w:tr>
      <w:tr w:rsidR="00562D9A" w:rsidRPr="00D86397" w14:paraId="1C11CEBF" w14:textId="77777777" w:rsidTr="0025301A">
        <w:tc>
          <w:tcPr>
            <w:tcW w:w="2242" w:type="dxa"/>
            <w:tcBorders>
              <w:top w:val="single" w:sz="4" w:space="0" w:color="auto"/>
              <w:left w:val="single" w:sz="4" w:space="0" w:color="auto"/>
              <w:bottom w:val="single" w:sz="4" w:space="0" w:color="auto"/>
              <w:right w:val="single" w:sz="4" w:space="0" w:color="auto"/>
            </w:tcBorders>
            <w:hideMark/>
          </w:tcPr>
          <w:p w14:paraId="168F3D6C" w14:textId="77777777" w:rsidR="00562D9A" w:rsidRPr="00D86397" w:rsidRDefault="00562D9A" w:rsidP="00260996">
            <w:pPr>
              <w:pStyle w:val="Tabletext1"/>
            </w:pPr>
            <w:r w:rsidRPr="00D86397">
              <w:t>Intervention</w:t>
            </w:r>
          </w:p>
        </w:tc>
        <w:tc>
          <w:tcPr>
            <w:tcW w:w="6859" w:type="dxa"/>
            <w:tcBorders>
              <w:top w:val="single" w:sz="4" w:space="0" w:color="auto"/>
              <w:left w:val="single" w:sz="4" w:space="0" w:color="auto"/>
              <w:bottom w:val="single" w:sz="4" w:space="0" w:color="auto"/>
              <w:right w:val="single" w:sz="4" w:space="0" w:color="auto"/>
            </w:tcBorders>
          </w:tcPr>
          <w:p w14:paraId="1034268A" w14:textId="4F84A943" w:rsidR="00562D9A" w:rsidRDefault="00562D9A" w:rsidP="00260996">
            <w:pPr>
              <w:pStyle w:val="Tabletext1"/>
            </w:pPr>
            <w:r>
              <w:t>‘ovarian reserve’/exp OR ‘</w:t>
            </w:r>
            <w:r w:rsidRPr="00C5501C">
              <w:t>anti-Müllerian hormone</w:t>
            </w:r>
            <w:r>
              <w:t>’ OR ‘antimullerian hormone’ OR AMH</w:t>
            </w:r>
          </w:p>
          <w:p w14:paraId="3BB7287E" w14:textId="77777777" w:rsidR="00562D9A" w:rsidRDefault="00562D9A" w:rsidP="00260996">
            <w:pPr>
              <w:pStyle w:val="Tabletext1"/>
            </w:pPr>
            <w:r>
              <w:t>OR</w:t>
            </w:r>
          </w:p>
          <w:p w14:paraId="7C9931A0" w14:textId="77777777" w:rsidR="00562D9A" w:rsidRPr="00D86397" w:rsidRDefault="00562D9A" w:rsidP="00260996">
            <w:pPr>
              <w:pStyle w:val="Tabletext1"/>
            </w:pPr>
            <w:r w:rsidRPr="00463988">
              <w:t>‘</w:t>
            </w:r>
            <w:r>
              <w:t>f</w:t>
            </w:r>
            <w:r w:rsidRPr="00463988">
              <w:t xml:space="preserve">ertility </w:t>
            </w:r>
            <w:r>
              <w:t>p</w:t>
            </w:r>
            <w:r w:rsidRPr="00463988">
              <w:t xml:space="preserve">reservation’/exp OR </w:t>
            </w:r>
            <w:r w:rsidRPr="00C5501C">
              <w:t>‘oocyte retrieval’/exp</w:t>
            </w:r>
            <w:r w:rsidRPr="00463988">
              <w:t xml:space="preserve"> OR </w:t>
            </w:r>
            <w:r>
              <w:t>‘</w:t>
            </w:r>
            <w:r w:rsidRPr="00463988">
              <w:t>cryopreservation</w:t>
            </w:r>
            <w:r>
              <w:t xml:space="preserve">’/exp </w:t>
            </w:r>
            <w:r w:rsidRPr="009C1CD5">
              <w:t xml:space="preserve">OR </w:t>
            </w:r>
            <w:r>
              <w:t>‘</w:t>
            </w:r>
            <w:r w:rsidRPr="009C1CD5">
              <w:t>fertility restoration</w:t>
            </w:r>
            <w:r>
              <w:t>’</w:t>
            </w:r>
            <w:r w:rsidRPr="009C1CD5">
              <w:t xml:space="preserve"> OR </w:t>
            </w:r>
            <w:r>
              <w:t>‘</w:t>
            </w:r>
            <w:r w:rsidRPr="009C1CD5">
              <w:t>vitrification</w:t>
            </w:r>
            <w:r>
              <w:t>’ OR ‘</w:t>
            </w:r>
            <w:r w:rsidRPr="00C5501C">
              <w:t>follicular aspiration</w:t>
            </w:r>
            <w:r>
              <w:t>’</w:t>
            </w:r>
            <w:r w:rsidRPr="00C5501C">
              <w:t>/exp</w:t>
            </w:r>
            <w:r>
              <w:t xml:space="preserve"> </w:t>
            </w:r>
            <w:r w:rsidRPr="00FA44C7">
              <w:t>OR oncofertility</w:t>
            </w:r>
          </w:p>
        </w:tc>
      </w:tr>
      <w:tr w:rsidR="00562D9A" w:rsidRPr="00D86397" w14:paraId="238B983F" w14:textId="77777777" w:rsidTr="0025301A">
        <w:tc>
          <w:tcPr>
            <w:tcW w:w="2242" w:type="dxa"/>
            <w:tcBorders>
              <w:top w:val="single" w:sz="4" w:space="0" w:color="auto"/>
              <w:left w:val="single" w:sz="4" w:space="0" w:color="auto"/>
              <w:bottom w:val="single" w:sz="4" w:space="0" w:color="auto"/>
              <w:right w:val="single" w:sz="4" w:space="0" w:color="auto"/>
            </w:tcBorders>
            <w:hideMark/>
          </w:tcPr>
          <w:p w14:paraId="72354688" w14:textId="77777777" w:rsidR="00562D9A" w:rsidRPr="00D86397" w:rsidRDefault="00562D9A" w:rsidP="00260996">
            <w:pPr>
              <w:pStyle w:val="Tabletext1"/>
            </w:pPr>
            <w:r w:rsidRPr="00D86397">
              <w:t>Comparator (if applicable)</w:t>
            </w:r>
          </w:p>
        </w:tc>
        <w:tc>
          <w:tcPr>
            <w:tcW w:w="6859" w:type="dxa"/>
          </w:tcPr>
          <w:p w14:paraId="00DFC4C0" w14:textId="77777777" w:rsidR="00562D9A" w:rsidRPr="00D86397" w:rsidRDefault="00562D9A" w:rsidP="00260996">
            <w:pPr>
              <w:pStyle w:val="Tabletext1"/>
            </w:pPr>
            <w:r>
              <w:t>-</w:t>
            </w:r>
          </w:p>
        </w:tc>
      </w:tr>
      <w:tr w:rsidR="00562D9A" w:rsidRPr="00D86397" w14:paraId="0C4C7126" w14:textId="77777777" w:rsidTr="0025301A">
        <w:tc>
          <w:tcPr>
            <w:tcW w:w="2242" w:type="dxa"/>
            <w:tcBorders>
              <w:top w:val="single" w:sz="4" w:space="0" w:color="auto"/>
              <w:left w:val="single" w:sz="4" w:space="0" w:color="auto"/>
              <w:bottom w:val="single" w:sz="4" w:space="0" w:color="auto"/>
              <w:right w:val="single" w:sz="4" w:space="0" w:color="auto"/>
            </w:tcBorders>
            <w:hideMark/>
          </w:tcPr>
          <w:p w14:paraId="3D5C7FF4" w14:textId="77777777" w:rsidR="00562D9A" w:rsidRPr="00D86397" w:rsidRDefault="00562D9A" w:rsidP="00260996">
            <w:pPr>
              <w:pStyle w:val="Tabletext1"/>
            </w:pPr>
            <w:r w:rsidRPr="00D86397">
              <w:t>Outcomes (if applicable)</w:t>
            </w:r>
          </w:p>
        </w:tc>
        <w:tc>
          <w:tcPr>
            <w:tcW w:w="6859" w:type="dxa"/>
            <w:tcBorders>
              <w:top w:val="single" w:sz="4" w:space="0" w:color="auto"/>
              <w:left w:val="single" w:sz="4" w:space="0" w:color="auto"/>
              <w:bottom w:val="single" w:sz="4" w:space="0" w:color="auto"/>
              <w:right w:val="single" w:sz="4" w:space="0" w:color="auto"/>
            </w:tcBorders>
          </w:tcPr>
          <w:p w14:paraId="20A59B88" w14:textId="77777777" w:rsidR="00562D9A" w:rsidRPr="00D86397" w:rsidRDefault="00562D9A" w:rsidP="00260996">
            <w:pPr>
              <w:pStyle w:val="Tabletext1"/>
            </w:pPr>
            <w:r w:rsidRPr="00D86397">
              <w:t>-</w:t>
            </w:r>
          </w:p>
        </w:tc>
      </w:tr>
      <w:tr w:rsidR="00562D9A" w:rsidRPr="00D86397" w14:paraId="74BD330D" w14:textId="77777777" w:rsidTr="0025301A">
        <w:tc>
          <w:tcPr>
            <w:tcW w:w="2242" w:type="dxa"/>
            <w:tcBorders>
              <w:top w:val="single" w:sz="4" w:space="0" w:color="auto"/>
              <w:left w:val="single" w:sz="4" w:space="0" w:color="auto"/>
              <w:bottom w:val="single" w:sz="4" w:space="0" w:color="auto"/>
              <w:right w:val="single" w:sz="4" w:space="0" w:color="auto"/>
            </w:tcBorders>
            <w:hideMark/>
          </w:tcPr>
          <w:p w14:paraId="6B9D6FE1" w14:textId="77777777" w:rsidR="00562D9A" w:rsidRPr="00D86397" w:rsidRDefault="00562D9A" w:rsidP="00260996">
            <w:pPr>
              <w:pStyle w:val="Tabletext1"/>
            </w:pPr>
            <w:r w:rsidRPr="00D86397">
              <w:t>Limits</w:t>
            </w:r>
          </w:p>
        </w:tc>
        <w:tc>
          <w:tcPr>
            <w:tcW w:w="6859" w:type="dxa"/>
            <w:tcBorders>
              <w:top w:val="single" w:sz="4" w:space="0" w:color="auto"/>
              <w:left w:val="single" w:sz="4" w:space="0" w:color="auto"/>
              <w:bottom w:val="single" w:sz="4" w:space="0" w:color="auto"/>
              <w:right w:val="single" w:sz="4" w:space="0" w:color="auto"/>
            </w:tcBorders>
            <w:hideMark/>
          </w:tcPr>
          <w:p w14:paraId="11DA09F8" w14:textId="77777777" w:rsidR="00562D9A" w:rsidRPr="00D86397" w:rsidRDefault="00562D9A" w:rsidP="00260996">
            <w:pPr>
              <w:pStyle w:val="Tabletext1"/>
            </w:pPr>
            <w:r>
              <w:t>Humans, exp terms also as free text</w:t>
            </w:r>
          </w:p>
        </w:tc>
      </w:tr>
    </w:tbl>
    <w:p w14:paraId="3C062C29" w14:textId="77777777" w:rsidR="00214C6A" w:rsidRPr="00183E4D" w:rsidRDefault="00214C6A" w:rsidP="00DF343F">
      <w:pPr>
        <w:jc w:val="both"/>
      </w:pPr>
    </w:p>
    <w:p w14:paraId="53D9011A" w14:textId="77777777" w:rsidR="009A3655" w:rsidRPr="00183E4D" w:rsidRDefault="009A3655" w:rsidP="00DF343F">
      <w:pPr>
        <w:pStyle w:val="Heading1"/>
        <w:jc w:val="both"/>
        <w:sectPr w:rsidR="009A3655" w:rsidRPr="00183E4D" w:rsidSect="00822811">
          <w:pgSz w:w="11906" w:h="16838"/>
          <w:pgMar w:top="1440" w:right="1440" w:bottom="1440" w:left="1440" w:header="720" w:footer="720" w:gutter="0"/>
          <w:paperSrc w:first="7" w:other="7"/>
          <w:cols w:space="720"/>
        </w:sectPr>
      </w:pPr>
      <w:bookmarkStart w:id="502" w:name="_Ref170808567"/>
      <w:bookmarkStart w:id="503" w:name="_Toc460813781"/>
      <w:bookmarkStart w:id="504" w:name="_Ref170792604"/>
    </w:p>
    <w:p w14:paraId="0B4EC251" w14:textId="5D5C1DCA" w:rsidR="007518CF" w:rsidRDefault="00193B87" w:rsidP="00DF343F">
      <w:pPr>
        <w:pStyle w:val="Heading1"/>
        <w:jc w:val="both"/>
      </w:pPr>
      <w:bookmarkStart w:id="505" w:name="_Ref364237249"/>
      <w:bookmarkStart w:id="506" w:name="_Ref190841600"/>
      <w:bookmarkStart w:id="507" w:name="_Toc379118101"/>
      <w:bookmarkStart w:id="508" w:name="_Toc381796504"/>
      <w:bookmarkStart w:id="509" w:name="_Toc502833003"/>
      <w:bookmarkEnd w:id="502"/>
      <w:r w:rsidRPr="00183E4D">
        <w:lastRenderedPageBreak/>
        <w:t xml:space="preserve">Appendix </w:t>
      </w:r>
      <w:r w:rsidR="00AC4BE5">
        <w:fldChar w:fldCharType="begin"/>
      </w:r>
      <w:r w:rsidR="00AC4BE5">
        <w:instrText xml:space="preserve"> SEQ Appendix \* ALPHABETIC </w:instrText>
      </w:r>
      <w:r w:rsidR="00AC4BE5">
        <w:fldChar w:fldCharType="separate"/>
      </w:r>
      <w:r w:rsidR="00AC4BE5">
        <w:rPr>
          <w:noProof/>
        </w:rPr>
        <w:t>C</w:t>
      </w:r>
      <w:r w:rsidR="00AC4BE5">
        <w:rPr>
          <w:noProof/>
        </w:rPr>
        <w:fldChar w:fldCharType="end"/>
      </w:r>
      <w:bookmarkEnd w:id="505"/>
      <w:r w:rsidR="008F59A8" w:rsidRPr="00183E4D">
        <w:tab/>
        <w:t>S</w:t>
      </w:r>
      <w:r w:rsidR="004446E6">
        <w:t>tudies included in the systematic r</w:t>
      </w:r>
      <w:r w:rsidR="008F59A8" w:rsidRPr="00183E4D">
        <w:t>eview</w:t>
      </w:r>
      <w:bookmarkEnd w:id="503"/>
      <w:bookmarkEnd w:id="504"/>
      <w:bookmarkEnd w:id="506"/>
      <w:bookmarkEnd w:id="507"/>
      <w:bookmarkEnd w:id="508"/>
      <w:bookmarkEnd w:id="509"/>
    </w:p>
    <w:p w14:paraId="169F0295" w14:textId="22900CFB" w:rsidR="00A81273" w:rsidRPr="00BA56CC" w:rsidRDefault="00A81273" w:rsidP="00A81273">
      <w:pPr>
        <w:pStyle w:val="TableHeading"/>
      </w:pPr>
      <w:bookmarkStart w:id="510" w:name="_Toc502833100"/>
      <w:bookmarkStart w:id="511" w:name="_Ref192056948"/>
      <w:bookmarkStart w:id="512" w:name="_Ref169423889"/>
      <w:r w:rsidRPr="00BA56CC">
        <w:t xml:space="preserve">Table </w:t>
      </w:r>
      <w:r w:rsidR="00AC4BE5">
        <w:fldChar w:fldCharType="begin"/>
      </w:r>
      <w:r w:rsidR="00AC4BE5">
        <w:instrText xml:space="preserve"> SEQ Table \* ARABIC </w:instrText>
      </w:r>
      <w:r w:rsidR="00AC4BE5">
        <w:fldChar w:fldCharType="separate"/>
      </w:r>
      <w:r w:rsidR="00AC4BE5">
        <w:rPr>
          <w:noProof/>
        </w:rPr>
        <w:t>82</w:t>
      </w:r>
      <w:r w:rsidR="00AC4BE5">
        <w:rPr>
          <w:noProof/>
        </w:rPr>
        <w:fldChar w:fldCharType="end"/>
      </w:r>
      <w:r w:rsidRPr="00BA56CC">
        <w:tab/>
        <w:t xml:space="preserve">Profiles of studies on </w:t>
      </w:r>
      <w:r w:rsidR="005B3CFD">
        <w:t>analytical validity</w:t>
      </w:r>
      <w:r w:rsidRPr="00BA56CC">
        <w:t xml:space="preserve"> </w:t>
      </w:r>
      <w:r>
        <w:t xml:space="preserve">studies providing 2x2 or ROC data </w:t>
      </w:r>
      <w:r w:rsidRPr="00BA56CC">
        <w:t>included in the systematic literature review</w:t>
      </w:r>
      <w:bookmarkEnd w:id="510"/>
    </w:p>
    <w:tbl>
      <w:tblPr>
        <w:tblW w:w="15163" w:type="dxa"/>
        <w:tblLayout w:type="fixed"/>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100"/>
        <w:gridCol w:w="1435"/>
        <w:gridCol w:w="2563"/>
        <w:gridCol w:w="2552"/>
        <w:gridCol w:w="2977"/>
        <w:gridCol w:w="1984"/>
        <w:gridCol w:w="1134"/>
        <w:gridCol w:w="1418"/>
      </w:tblGrid>
      <w:tr w:rsidR="00A81273" w:rsidRPr="00A422C7" w14:paraId="59381859" w14:textId="77777777" w:rsidTr="00462566">
        <w:trPr>
          <w:trHeight w:val="902"/>
          <w:tblHeader/>
        </w:trPr>
        <w:tc>
          <w:tcPr>
            <w:tcW w:w="1100" w:type="dxa"/>
            <w:tcBorders>
              <w:top w:val="single" w:sz="4" w:space="0" w:color="auto"/>
              <w:left w:val="single" w:sz="4" w:space="0" w:color="auto"/>
              <w:bottom w:val="single" w:sz="4" w:space="0" w:color="auto"/>
              <w:right w:val="single" w:sz="4" w:space="0" w:color="auto"/>
            </w:tcBorders>
          </w:tcPr>
          <w:p w14:paraId="6D32C5CC" w14:textId="77777777" w:rsidR="00A81273" w:rsidRPr="00260996" w:rsidRDefault="00A81273" w:rsidP="00260996">
            <w:pPr>
              <w:pStyle w:val="TableText0"/>
              <w:rPr>
                <w:b/>
              </w:rPr>
            </w:pPr>
            <w:r w:rsidRPr="00260996">
              <w:rPr>
                <w:b/>
              </w:rPr>
              <w:t>Authors</w:t>
            </w:r>
          </w:p>
          <w:p w14:paraId="4FDB21BD" w14:textId="20564F2E" w:rsidR="00A81273" w:rsidRPr="00260996" w:rsidRDefault="00E74EB5" w:rsidP="00260996">
            <w:pPr>
              <w:pStyle w:val="TableText0"/>
              <w:rPr>
                <w:b/>
              </w:rPr>
            </w:pPr>
            <w:r w:rsidRPr="00260996">
              <w:rPr>
                <w:b/>
              </w:rPr>
              <w:t>Publication y</w:t>
            </w:r>
            <w:r w:rsidR="00A81273" w:rsidRPr="00260996">
              <w:rPr>
                <w:b/>
              </w:rPr>
              <w:t>ear</w:t>
            </w:r>
          </w:p>
          <w:p w14:paraId="24AA289A" w14:textId="77777777" w:rsidR="00A81273" w:rsidRPr="00260996" w:rsidRDefault="00A81273" w:rsidP="00260996">
            <w:pPr>
              <w:pStyle w:val="TableText0"/>
              <w:rPr>
                <w:b/>
              </w:rPr>
            </w:pPr>
            <w:r w:rsidRPr="00260996">
              <w:rPr>
                <w:b/>
              </w:rPr>
              <w:t>Location</w:t>
            </w:r>
          </w:p>
        </w:tc>
        <w:tc>
          <w:tcPr>
            <w:tcW w:w="1435" w:type="dxa"/>
            <w:tcBorders>
              <w:top w:val="single" w:sz="4" w:space="0" w:color="auto"/>
              <w:left w:val="single" w:sz="4" w:space="0" w:color="auto"/>
              <w:bottom w:val="single" w:sz="4" w:space="0" w:color="auto"/>
              <w:right w:val="single" w:sz="4" w:space="0" w:color="auto"/>
            </w:tcBorders>
          </w:tcPr>
          <w:p w14:paraId="18B3BB54" w14:textId="77777777" w:rsidR="00E74EB5" w:rsidRPr="00260996" w:rsidRDefault="00E74EB5" w:rsidP="00260996">
            <w:pPr>
              <w:pStyle w:val="TableText0"/>
              <w:rPr>
                <w:b/>
              </w:rPr>
            </w:pPr>
            <w:r w:rsidRPr="00260996">
              <w:rPr>
                <w:b/>
              </w:rPr>
              <w:t>Study design</w:t>
            </w:r>
          </w:p>
          <w:p w14:paraId="09949D99" w14:textId="77777777" w:rsidR="00E74EB5" w:rsidRPr="00260996" w:rsidRDefault="00E74EB5" w:rsidP="00260996">
            <w:pPr>
              <w:pStyle w:val="TableText0"/>
              <w:rPr>
                <w:b/>
              </w:rPr>
            </w:pPr>
            <w:r w:rsidRPr="00260996">
              <w:rPr>
                <w:b/>
              </w:rPr>
              <w:t>L</w:t>
            </w:r>
            <w:r w:rsidR="00A81273" w:rsidRPr="00260996">
              <w:rPr>
                <w:b/>
              </w:rPr>
              <w:t>evel of evidence</w:t>
            </w:r>
            <w:r w:rsidR="00A81273" w:rsidRPr="00260996">
              <w:rPr>
                <w:b/>
                <w:vertAlign w:val="superscript"/>
              </w:rPr>
              <w:t>a</w:t>
            </w:r>
          </w:p>
          <w:p w14:paraId="2EE466BA" w14:textId="63B540DD" w:rsidR="00A81273" w:rsidRPr="00260996" w:rsidRDefault="00E74EB5" w:rsidP="00260996">
            <w:pPr>
              <w:pStyle w:val="TableText0"/>
              <w:rPr>
                <w:b/>
              </w:rPr>
            </w:pPr>
            <w:r w:rsidRPr="00260996">
              <w:rPr>
                <w:b/>
              </w:rPr>
              <w:t>R</w:t>
            </w:r>
            <w:r w:rsidR="00A81273" w:rsidRPr="00260996">
              <w:rPr>
                <w:b/>
              </w:rPr>
              <w:t>isk of bias</w:t>
            </w:r>
            <w:r w:rsidR="00A81273" w:rsidRPr="00260996">
              <w:rPr>
                <w:b/>
                <w:vertAlign w:val="superscript"/>
              </w:rPr>
              <w:t>b</w:t>
            </w:r>
          </w:p>
        </w:tc>
        <w:tc>
          <w:tcPr>
            <w:tcW w:w="2563" w:type="dxa"/>
            <w:tcBorders>
              <w:top w:val="single" w:sz="4" w:space="0" w:color="auto"/>
              <w:left w:val="single" w:sz="4" w:space="0" w:color="auto"/>
              <w:bottom w:val="single" w:sz="4" w:space="0" w:color="auto"/>
              <w:right w:val="single" w:sz="4" w:space="0" w:color="auto"/>
            </w:tcBorders>
          </w:tcPr>
          <w:p w14:paraId="0B45ABB0" w14:textId="77777777" w:rsidR="00A81273" w:rsidRPr="00260996" w:rsidRDefault="00A81273" w:rsidP="00260996">
            <w:pPr>
              <w:pStyle w:val="TableText0"/>
              <w:rPr>
                <w:b/>
              </w:rPr>
            </w:pPr>
            <w:r w:rsidRPr="00260996">
              <w:rPr>
                <w:b/>
              </w:rPr>
              <w:t>Study population characteristics</w:t>
            </w:r>
          </w:p>
        </w:tc>
        <w:tc>
          <w:tcPr>
            <w:tcW w:w="2552" w:type="dxa"/>
            <w:tcBorders>
              <w:top w:val="single" w:sz="4" w:space="0" w:color="auto"/>
              <w:left w:val="single" w:sz="4" w:space="0" w:color="auto"/>
              <w:bottom w:val="single" w:sz="4" w:space="0" w:color="auto"/>
              <w:right w:val="single" w:sz="4" w:space="0" w:color="auto"/>
            </w:tcBorders>
          </w:tcPr>
          <w:p w14:paraId="0AD848AC" w14:textId="77777777" w:rsidR="00A81273" w:rsidRPr="00260996" w:rsidRDefault="00A81273" w:rsidP="00260996">
            <w:pPr>
              <w:pStyle w:val="TableText0"/>
              <w:rPr>
                <w:b/>
              </w:rPr>
            </w:pPr>
            <w:r w:rsidRPr="00260996">
              <w:rPr>
                <w:b/>
              </w:rPr>
              <w:t>Intervention</w:t>
            </w:r>
          </w:p>
        </w:tc>
        <w:tc>
          <w:tcPr>
            <w:tcW w:w="2977" w:type="dxa"/>
            <w:tcBorders>
              <w:top w:val="single" w:sz="4" w:space="0" w:color="auto"/>
              <w:left w:val="single" w:sz="4" w:space="0" w:color="auto"/>
              <w:bottom w:val="single" w:sz="4" w:space="0" w:color="auto"/>
              <w:right w:val="single" w:sz="4" w:space="0" w:color="auto"/>
            </w:tcBorders>
          </w:tcPr>
          <w:p w14:paraId="266897C6" w14:textId="77777777" w:rsidR="00A81273" w:rsidRPr="00260996" w:rsidRDefault="00A81273" w:rsidP="00260996">
            <w:pPr>
              <w:pStyle w:val="TableText0"/>
              <w:rPr>
                <w:b/>
              </w:rPr>
            </w:pPr>
            <w:r w:rsidRPr="00260996">
              <w:rPr>
                <w:b/>
              </w:rPr>
              <w:t>Comparator</w:t>
            </w:r>
          </w:p>
        </w:tc>
        <w:tc>
          <w:tcPr>
            <w:tcW w:w="1984" w:type="dxa"/>
            <w:tcBorders>
              <w:top w:val="single" w:sz="4" w:space="0" w:color="auto"/>
              <w:left w:val="single" w:sz="4" w:space="0" w:color="auto"/>
              <w:bottom w:val="single" w:sz="4" w:space="0" w:color="auto"/>
              <w:right w:val="single" w:sz="4" w:space="0" w:color="auto"/>
            </w:tcBorders>
          </w:tcPr>
          <w:p w14:paraId="15933DA1" w14:textId="77777777" w:rsidR="00A81273" w:rsidRPr="00260996" w:rsidRDefault="00A81273" w:rsidP="00260996">
            <w:pPr>
              <w:pStyle w:val="TableText0"/>
              <w:rPr>
                <w:b/>
              </w:rPr>
            </w:pPr>
            <w:r w:rsidRPr="00260996">
              <w:rPr>
                <w:b/>
              </w:rPr>
              <w:t>Reference standard</w:t>
            </w:r>
          </w:p>
        </w:tc>
        <w:tc>
          <w:tcPr>
            <w:tcW w:w="1134" w:type="dxa"/>
            <w:tcBorders>
              <w:top w:val="single" w:sz="4" w:space="0" w:color="auto"/>
              <w:left w:val="single" w:sz="4" w:space="0" w:color="auto"/>
              <w:bottom w:val="single" w:sz="4" w:space="0" w:color="auto"/>
              <w:right w:val="single" w:sz="4" w:space="0" w:color="auto"/>
            </w:tcBorders>
          </w:tcPr>
          <w:p w14:paraId="4CB013E4" w14:textId="77777777" w:rsidR="00A81273" w:rsidRPr="00260996" w:rsidRDefault="00A81273" w:rsidP="00260996">
            <w:pPr>
              <w:pStyle w:val="TableText0"/>
              <w:rPr>
                <w:b/>
              </w:rPr>
            </w:pPr>
            <w:r w:rsidRPr="00260996">
              <w:rPr>
                <w:b/>
              </w:rPr>
              <w:t>Relevant outcomes assessed</w:t>
            </w:r>
          </w:p>
        </w:tc>
        <w:tc>
          <w:tcPr>
            <w:tcW w:w="1418" w:type="dxa"/>
            <w:tcBorders>
              <w:top w:val="single" w:sz="4" w:space="0" w:color="auto"/>
              <w:left w:val="single" w:sz="4" w:space="0" w:color="auto"/>
              <w:bottom w:val="single" w:sz="4" w:space="0" w:color="auto"/>
              <w:right w:val="single" w:sz="4" w:space="0" w:color="auto"/>
            </w:tcBorders>
          </w:tcPr>
          <w:p w14:paraId="19F7F9D5" w14:textId="77777777" w:rsidR="00A81273" w:rsidRPr="00260996" w:rsidRDefault="00A81273" w:rsidP="00260996">
            <w:pPr>
              <w:pStyle w:val="TableText0"/>
              <w:rPr>
                <w:b/>
              </w:rPr>
            </w:pPr>
            <w:r w:rsidRPr="00260996">
              <w:rPr>
                <w:b/>
              </w:rPr>
              <w:t>Measurement of outcomes and methods of analysis</w:t>
            </w:r>
          </w:p>
        </w:tc>
      </w:tr>
      <w:tr w:rsidR="00A81273" w:rsidRPr="00A422C7" w14:paraId="06EF8EE8" w14:textId="77777777" w:rsidTr="00462566">
        <w:trPr>
          <w:trHeight w:val="319"/>
        </w:trPr>
        <w:tc>
          <w:tcPr>
            <w:tcW w:w="1100" w:type="dxa"/>
            <w:tcBorders>
              <w:top w:val="single" w:sz="4" w:space="0" w:color="auto"/>
              <w:left w:val="single" w:sz="4" w:space="0" w:color="auto"/>
              <w:bottom w:val="single" w:sz="4" w:space="0" w:color="auto"/>
              <w:right w:val="single" w:sz="4" w:space="0" w:color="auto"/>
            </w:tcBorders>
          </w:tcPr>
          <w:p w14:paraId="017F5046" w14:textId="516C1C0A" w:rsidR="00835BA6" w:rsidRPr="00BA56CC" w:rsidRDefault="00835BA6" w:rsidP="00835BA6">
            <w:pPr>
              <w:pStyle w:val="Tabletext1"/>
            </w:pPr>
            <w:r w:rsidRPr="00BA56CC">
              <w:t xml:space="preserve">Decanter et al. </w:t>
            </w:r>
            <w:r>
              <w:fldChar w:fldCharType="begin"/>
            </w:r>
            <w:r>
              <w:instrText xml:space="preserve"> ADDIN EN.CITE &lt;EndNote&gt;&lt;Cite ExcludeAuth="1"&gt;&lt;Author&gt;Decanter&lt;/Author&gt;&lt;Year&gt;2014&lt;/Year&gt;&lt;RecNum&gt;114&lt;/RecNum&gt;&lt;IDText&gt;483-7&lt;/IDText&gt;&lt;DisplayText&gt;(2014)&lt;/DisplayText&gt;&lt;record&gt;&lt;rec-number&gt;114&lt;/rec-number&gt;&lt;foreign-keys&gt;&lt;key app="EN" db-id="s2dftfxw1fvsr1efx58vfvxtvfwzxea0td02" timestamp="1511748069"&gt;114&lt;/key&gt;&lt;/foreign-keys&gt;&lt;ref-type name="Journal Article"&gt;17&lt;/ref-type&gt;&lt;contributors&gt;&lt;authors&gt;&lt;author&gt;Decanter, C.&lt;/author&gt;&lt;author&gt;Peigne, M.&lt;/author&gt;&lt;author&gt;Mailliez, A.&lt;/author&gt;&lt;author&gt;Morschhauser, F.&lt;/author&gt;&lt;author&gt;Dassonneville, A.&lt;/author&gt;&lt;author&gt;Dewailly, D.&lt;/author&gt;&lt;author&gt;Pigny, P.&lt;/author&gt;&lt;/authors&gt;&lt;/contributors&gt;&lt;titles&gt;&lt;title&gt;Toward a better follow-up of ovarian recovery in young women after chemotherapy with a hypersensitive antimullerian hormone assay&lt;/title&gt;&lt;secondary-title&gt;Fertil Steril&lt;/secondary-title&gt;&lt;/titles&gt;&lt;periodical&gt;&lt;full-title&gt;Fertil Steril&lt;/full-title&gt;&lt;/periodical&gt;&lt;pages&gt;483-7&lt;/pages&gt;&lt;volume&gt;102&lt;/volume&gt;&lt;number&gt;2&lt;/number&gt;&lt;keywords&gt;&lt;keyword&gt;Hematologic Neoplasms&lt;/keyword&gt;&lt;keyword&gt;Breast Neoplasms&lt;/keyword&gt;&lt;keyword&gt;Enzyme-Linked Immunosorbent Assay&lt;/keyword&gt;&lt;keyword&gt;Retrospective Studies&lt;/keyword&gt;&lt;keyword&gt;Humanism&lt;/keyword&gt;&lt;keyword&gt;Humanities&lt;/keyword&gt;&lt;keyword&gt;Humans&lt;/keyword&gt;&lt;/keywords&gt;&lt;dates&gt;&lt;year&gt;2014&lt;/year&gt;&lt;pub-dates&gt;&lt;date&gt;2014-1-1&lt;/date&gt;&lt;/pub-dates&gt;&lt;/dates&gt;&lt;isbn&gt;0015-0282&lt;/isbn&gt;&lt;accession-num&gt;rayyan-6673589&lt;/accession-num&gt;&lt;urls&gt;&lt;/urls&gt;&lt;custom1&gt;RAYYAN-INCLUSION: {&amp;quot;Sharon&amp;quot;=&amp;gt;true, &amp;quot;Joanne&amp;quot;=&amp;gt;true}&lt;/custom1&gt;&lt;language&gt;eng&lt;/language&gt;&lt;/record&gt;&lt;/Cite&gt;&lt;/EndNote&gt;</w:instrText>
            </w:r>
            <w:r>
              <w:fldChar w:fldCharType="separate"/>
            </w:r>
            <w:r>
              <w:rPr>
                <w:noProof/>
              </w:rPr>
              <w:t>(</w:t>
            </w:r>
            <w:hyperlink w:anchor="_ENREF_18" w:tooltip="Decanter, 2014 #114" w:history="1">
              <w:r>
                <w:rPr>
                  <w:noProof/>
                </w:rPr>
                <w:t>2014</w:t>
              </w:r>
            </w:hyperlink>
            <w:r>
              <w:rPr>
                <w:noProof/>
              </w:rPr>
              <w:t>)</w:t>
            </w:r>
            <w:r>
              <w:fldChar w:fldCharType="end"/>
            </w:r>
          </w:p>
          <w:p w14:paraId="3752BFCD" w14:textId="0C37493A" w:rsidR="00A81273" w:rsidRPr="00A422C7" w:rsidRDefault="00835BA6" w:rsidP="00835BA6">
            <w:pPr>
              <w:pStyle w:val="Tabletext1"/>
              <w:spacing w:beforeLines="40" w:before="96" w:afterLines="40" w:after="96"/>
            </w:pPr>
            <w:r w:rsidRPr="00BA56CC">
              <w:t>France</w:t>
            </w:r>
          </w:p>
        </w:tc>
        <w:tc>
          <w:tcPr>
            <w:tcW w:w="1435" w:type="dxa"/>
            <w:tcBorders>
              <w:top w:val="single" w:sz="4" w:space="0" w:color="auto"/>
              <w:left w:val="single" w:sz="4" w:space="0" w:color="auto"/>
              <w:bottom w:val="single" w:sz="4" w:space="0" w:color="auto"/>
              <w:right w:val="single" w:sz="4" w:space="0" w:color="auto"/>
            </w:tcBorders>
          </w:tcPr>
          <w:p w14:paraId="7C94E533" w14:textId="77777777" w:rsidR="00A81273" w:rsidRPr="00A422C7" w:rsidRDefault="00A81273" w:rsidP="00A422C7">
            <w:pPr>
              <w:pStyle w:val="Tabletext1"/>
              <w:spacing w:beforeLines="40" w:before="96" w:afterLines="40" w:after="96"/>
            </w:pPr>
            <w:r w:rsidRPr="00A422C7">
              <w:t>Prospective case series</w:t>
            </w:r>
          </w:p>
          <w:p w14:paraId="7729CB89" w14:textId="77777777" w:rsidR="00A81273" w:rsidRPr="00A422C7" w:rsidRDefault="00A81273" w:rsidP="00A422C7">
            <w:pPr>
              <w:pStyle w:val="Tabletext1"/>
              <w:spacing w:beforeLines="40" w:before="96" w:afterLines="40" w:after="96"/>
            </w:pPr>
            <w:r w:rsidRPr="00A422C7">
              <w:t>Level III-2 diagnostic accuracy evidence</w:t>
            </w:r>
          </w:p>
          <w:p w14:paraId="19724A45" w14:textId="77777777" w:rsidR="00A81273" w:rsidRPr="00A422C7" w:rsidRDefault="00A81273" w:rsidP="00A422C7">
            <w:pPr>
              <w:spacing w:beforeLines="40" w:before="96" w:afterLines="40" w:after="96" w:line="240" w:lineRule="auto"/>
              <w:ind w:right="-57"/>
              <w:rPr>
                <w:rFonts w:ascii="Arial Narrow" w:hAnsi="Arial Narrow"/>
                <w:sz w:val="20"/>
              </w:rPr>
            </w:pPr>
            <w:r w:rsidRPr="00A422C7">
              <w:rPr>
                <w:rFonts w:ascii="Arial Narrow" w:hAnsi="Arial Narrow"/>
                <w:sz w:val="20"/>
              </w:rPr>
              <w:t>Quality: Low risk of bias</w:t>
            </w:r>
          </w:p>
        </w:tc>
        <w:tc>
          <w:tcPr>
            <w:tcW w:w="2563" w:type="dxa"/>
            <w:tcBorders>
              <w:top w:val="single" w:sz="4" w:space="0" w:color="auto"/>
              <w:left w:val="single" w:sz="4" w:space="0" w:color="auto"/>
              <w:bottom w:val="single" w:sz="4" w:space="0" w:color="auto"/>
              <w:right w:val="single" w:sz="4" w:space="0" w:color="auto"/>
            </w:tcBorders>
          </w:tcPr>
          <w:p w14:paraId="50980A83" w14:textId="748BF987" w:rsidR="00A81273" w:rsidRPr="00A422C7" w:rsidRDefault="00A81273" w:rsidP="00A422C7">
            <w:pPr>
              <w:pStyle w:val="Tabletext1"/>
              <w:spacing w:beforeLines="40" w:before="96" w:afterLines="40" w:after="96"/>
            </w:pPr>
            <w:r w:rsidRPr="00A422C7">
              <w:t>N=58 se</w:t>
            </w:r>
            <w:r w:rsidR="00574FA2" w:rsidRPr="00A422C7">
              <w:t>lected serum samples stored at -</w:t>
            </w:r>
            <w:r w:rsidRPr="00A422C7">
              <w:t>80°C collected from 3 to 24 months after the end of chemotherapy in 30 women regardless of their menstrual status.</w:t>
            </w:r>
          </w:p>
          <w:p w14:paraId="73D82E6F" w14:textId="77777777" w:rsidR="00A81273" w:rsidRPr="00A422C7" w:rsidRDefault="00A81273" w:rsidP="00A422C7">
            <w:pPr>
              <w:pStyle w:val="Tabletext1"/>
              <w:spacing w:beforeLines="40" w:before="96" w:afterLines="40" w:after="96"/>
            </w:pPr>
            <w:r w:rsidRPr="00A422C7">
              <w:t>n=17 lymphoma</w:t>
            </w:r>
            <w:r w:rsidRPr="00A422C7">
              <w:br/>
              <w:t>n=13 early breast cancer</w:t>
            </w:r>
          </w:p>
          <w:p w14:paraId="477A5947" w14:textId="77777777" w:rsidR="00A81273" w:rsidRPr="00A422C7" w:rsidRDefault="00A81273" w:rsidP="00A422C7">
            <w:pPr>
              <w:pStyle w:val="Tabletext1"/>
              <w:spacing w:beforeLines="40" w:before="96" w:afterLines="40" w:after="96"/>
            </w:pPr>
            <w:r w:rsidRPr="00A422C7">
              <w:t>The distribution of the samples was as follows: 3 months: 9; 6 months: 13; 9 months: 11; 12 months: 18; 18 months: 2; and 24 months after the end of chemotherapy: 5</w:t>
            </w:r>
          </w:p>
        </w:tc>
        <w:tc>
          <w:tcPr>
            <w:tcW w:w="2552" w:type="dxa"/>
            <w:tcBorders>
              <w:top w:val="single" w:sz="4" w:space="0" w:color="auto"/>
              <w:left w:val="single" w:sz="4" w:space="0" w:color="auto"/>
              <w:bottom w:val="single" w:sz="4" w:space="0" w:color="auto"/>
              <w:right w:val="single" w:sz="4" w:space="0" w:color="auto"/>
            </w:tcBorders>
          </w:tcPr>
          <w:p w14:paraId="3BBFC37F" w14:textId="77777777" w:rsidR="00A81273" w:rsidRPr="00A422C7" w:rsidRDefault="00A81273" w:rsidP="00A422C7">
            <w:pPr>
              <w:pStyle w:val="Tabletext1"/>
              <w:spacing w:beforeLines="40" w:before="96" w:afterLines="40" w:after="96"/>
              <w:ind w:left="34"/>
              <w:rPr>
                <w:u w:val="single"/>
              </w:rPr>
            </w:pPr>
            <w:r w:rsidRPr="00A422C7">
              <w:rPr>
                <w:u w:val="single"/>
              </w:rPr>
              <w:t>EIA AMH/MIS assay</w:t>
            </w:r>
          </w:p>
          <w:p w14:paraId="46BBBCA6" w14:textId="77777777" w:rsidR="00A81273" w:rsidRPr="00A422C7" w:rsidRDefault="00A81273" w:rsidP="00A422C7">
            <w:pPr>
              <w:pStyle w:val="Tabletext1"/>
              <w:spacing w:beforeLines="40" w:before="96" w:afterLines="40" w:after="96"/>
              <w:ind w:left="34"/>
            </w:pPr>
            <w:r w:rsidRPr="00A422C7">
              <w:t>The dynamic range of the standard curve was 3–150 pmol/L.</w:t>
            </w:r>
          </w:p>
          <w:p w14:paraId="2B40FA28" w14:textId="2599474B" w:rsidR="00A81273" w:rsidRPr="00A422C7" w:rsidRDefault="00A1679C" w:rsidP="00A422C7">
            <w:pPr>
              <w:pStyle w:val="Tabletext1"/>
              <w:spacing w:beforeLines="40" w:before="96" w:afterLines="40" w:after="96"/>
              <w:ind w:left="34"/>
            </w:pPr>
            <w:r>
              <w:t xml:space="preserve">Between-run reproducibility </w:t>
            </w:r>
            <w:r w:rsidR="00A81273" w:rsidRPr="00A422C7">
              <w:t>determined by measuring three quality control samples (mean concentrations, 9.8, 18.6, and 37.1 pmol/L) in duplicate.</w:t>
            </w:r>
          </w:p>
          <w:p w14:paraId="76C99FCD" w14:textId="5EDE5B23" w:rsidR="00A81273" w:rsidRPr="00A422C7" w:rsidRDefault="00A81273" w:rsidP="00A422C7">
            <w:pPr>
              <w:pStyle w:val="Tabletext1"/>
              <w:spacing w:beforeLines="40" w:before="96" w:afterLines="40" w:after="96"/>
              <w:ind w:left="34"/>
            </w:pPr>
            <w:r w:rsidRPr="00A422C7">
              <w:t xml:space="preserve">The </w:t>
            </w:r>
            <w:r w:rsidR="00776418">
              <w:t>CoV</w:t>
            </w:r>
            <w:r w:rsidRPr="00A422C7">
              <w:t>s were 14%, 13%, and 12.6% for the three levels assessed.</w:t>
            </w:r>
          </w:p>
          <w:p w14:paraId="3004826B" w14:textId="5992E151" w:rsidR="00A81273" w:rsidRPr="00A422C7" w:rsidRDefault="00A81273" w:rsidP="00A422C7">
            <w:pPr>
              <w:pStyle w:val="Tabletext1"/>
              <w:spacing w:beforeLines="40" w:before="96" w:afterLines="40" w:after="96"/>
              <w:ind w:left="34"/>
            </w:pPr>
            <w:r w:rsidRPr="00A422C7">
              <w:t xml:space="preserve">LoQ </w:t>
            </w:r>
            <w:r w:rsidR="006A169D">
              <w:t>corresponding</w:t>
            </w:r>
            <w:r w:rsidRPr="00A422C7">
              <w:t xml:space="preserve"> to lowest concentration </w:t>
            </w:r>
            <w:r w:rsidR="006A169D">
              <w:t xml:space="preserve">measurable </w:t>
            </w:r>
            <w:r w:rsidRPr="00A422C7">
              <w:t>with acceptable performance was determined from the precision profile curve = 2.5 pmol/L.</w:t>
            </w:r>
          </w:p>
          <w:p w14:paraId="380C21F5" w14:textId="71050D0A" w:rsidR="00A81273" w:rsidRPr="00A422C7" w:rsidRDefault="006A169D" w:rsidP="006A169D">
            <w:pPr>
              <w:pStyle w:val="Tabletext1"/>
              <w:spacing w:beforeLines="40" w:before="96" w:afterLines="40" w:after="96"/>
              <w:ind w:left="34"/>
            </w:pPr>
            <w:r>
              <w:t>R</w:t>
            </w:r>
            <w:r w:rsidR="00A81273" w:rsidRPr="00A422C7">
              <w:t>esults under the first calibrator value (i.e., 3.0 pmol/L) expressed as undetectable.</w:t>
            </w:r>
          </w:p>
        </w:tc>
        <w:tc>
          <w:tcPr>
            <w:tcW w:w="2977" w:type="dxa"/>
            <w:tcBorders>
              <w:top w:val="single" w:sz="4" w:space="0" w:color="auto"/>
              <w:left w:val="single" w:sz="4" w:space="0" w:color="auto"/>
              <w:bottom w:val="single" w:sz="4" w:space="0" w:color="auto"/>
              <w:right w:val="single" w:sz="4" w:space="0" w:color="auto"/>
            </w:tcBorders>
          </w:tcPr>
          <w:p w14:paraId="447F7ABC" w14:textId="77777777" w:rsidR="00A81273" w:rsidRPr="00A422C7" w:rsidRDefault="00A81273" w:rsidP="00A422C7">
            <w:pPr>
              <w:pStyle w:val="Tabletext1"/>
              <w:spacing w:beforeLines="40" w:before="96" w:afterLines="40" w:after="96"/>
              <w:ind w:left="34"/>
              <w:rPr>
                <w:u w:val="single"/>
              </w:rPr>
            </w:pPr>
            <w:r w:rsidRPr="00A422C7">
              <w:rPr>
                <w:u w:val="single"/>
              </w:rPr>
              <w:t>Pico-AMH ELISA</w:t>
            </w:r>
          </w:p>
          <w:p w14:paraId="69946A1E" w14:textId="1DD83C37" w:rsidR="00A81273" w:rsidRPr="00A422C7" w:rsidRDefault="006A169D" w:rsidP="00A422C7">
            <w:pPr>
              <w:pStyle w:val="Tabletext1"/>
              <w:spacing w:beforeLines="40" w:before="96" w:afterLines="40" w:after="96"/>
              <w:ind w:left="34"/>
            </w:pPr>
            <w:r>
              <w:t>H</w:t>
            </w:r>
            <w:r w:rsidR="00A81273" w:rsidRPr="00A422C7">
              <w:t>ypersensitive ELISA assay standardised against recombinant human AMH.</w:t>
            </w:r>
          </w:p>
          <w:p w14:paraId="7DB7E958" w14:textId="699229A0" w:rsidR="00A81273" w:rsidRPr="00A422C7" w:rsidRDefault="006A169D" w:rsidP="00A422C7">
            <w:pPr>
              <w:pStyle w:val="Tabletext1"/>
              <w:spacing w:beforeLines="40" w:before="96" w:afterLines="40" w:after="96"/>
              <w:ind w:left="34"/>
            </w:pPr>
            <w:r>
              <w:t>D</w:t>
            </w:r>
            <w:r w:rsidR="00A81273" w:rsidRPr="00A422C7">
              <w:t>ynamic range of the standard curve was 0.07–6.5 pmol/L.</w:t>
            </w:r>
          </w:p>
          <w:p w14:paraId="137FDD1E" w14:textId="14065675" w:rsidR="00A81273" w:rsidRPr="00A422C7" w:rsidRDefault="00A81273" w:rsidP="00A422C7">
            <w:pPr>
              <w:pStyle w:val="Tabletext1"/>
              <w:spacing w:beforeLines="40" w:before="96" w:afterLines="40" w:after="96"/>
              <w:ind w:left="34"/>
            </w:pPr>
            <w:r w:rsidRPr="00A422C7">
              <w:t xml:space="preserve">The between-run reproducibility was determined by </w:t>
            </w:r>
            <w:r w:rsidR="006A169D">
              <w:t xml:space="preserve">duplicate </w:t>
            </w:r>
            <w:r w:rsidRPr="00A422C7">
              <w:t>measuring two quality control samples (mean concentrations, 0.69 and 2.0 pmol/L).</w:t>
            </w:r>
          </w:p>
          <w:p w14:paraId="2B527D06" w14:textId="2E00221E" w:rsidR="00A81273" w:rsidRPr="00A422C7" w:rsidRDefault="00A81273" w:rsidP="00A422C7">
            <w:pPr>
              <w:pStyle w:val="Tabletext1"/>
              <w:spacing w:beforeLines="40" w:before="96" w:afterLines="40" w:after="96"/>
              <w:ind w:left="34"/>
            </w:pPr>
            <w:r w:rsidRPr="00A422C7">
              <w:t xml:space="preserve">The </w:t>
            </w:r>
            <w:r w:rsidR="00776418">
              <w:t>CoV</w:t>
            </w:r>
            <w:r w:rsidRPr="00A422C7">
              <w:t>s were 1.38% and 3.84% for the two levels assessed.</w:t>
            </w:r>
          </w:p>
          <w:p w14:paraId="169320B4" w14:textId="77777777" w:rsidR="00A81273" w:rsidRPr="00A422C7" w:rsidRDefault="00A81273" w:rsidP="00A422C7">
            <w:pPr>
              <w:pStyle w:val="Tabletext1"/>
              <w:spacing w:beforeLines="40" w:before="96" w:afterLines="40" w:after="96"/>
              <w:ind w:left="34"/>
            </w:pPr>
            <w:r w:rsidRPr="00A422C7">
              <w:t>The LoQ that corresponds to the lowest concentration that can be measured with an acceptable performance was determined from the precision profile curve = 0.034 pmol/L.</w:t>
            </w:r>
          </w:p>
          <w:p w14:paraId="255A64D8" w14:textId="028939EE" w:rsidR="00A81273" w:rsidRPr="00A422C7" w:rsidRDefault="006A169D" w:rsidP="006A169D">
            <w:pPr>
              <w:pStyle w:val="Tabletext1"/>
              <w:spacing w:beforeLines="40" w:before="96" w:afterLines="40" w:after="96"/>
              <w:ind w:left="34"/>
            </w:pPr>
            <w:r>
              <w:t>R</w:t>
            </w:r>
            <w:r w:rsidR="00A81273" w:rsidRPr="00A422C7">
              <w:t>esults under t</w:t>
            </w:r>
            <w:r w:rsidR="00574FA2" w:rsidRPr="00A422C7">
              <w:t>he first calibrator value (i.e.</w:t>
            </w:r>
            <w:r w:rsidR="00A81273" w:rsidRPr="00A422C7">
              <w:t xml:space="preserve"> &lt;0.07) expressed as undetectable.</w:t>
            </w:r>
          </w:p>
        </w:tc>
        <w:tc>
          <w:tcPr>
            <w:tcW w:w="1984" w:type="dxa"/>
            <w:tcBorders>
              <w:top w:val="single" w:sz="4" w:space="0" w:color="auto"/>
              <w:left w:val="single" w:sz="4" w:space="0" w:color="auto"/>
              <w:bottom w:val="single" w:sz="4" w:space="0" w:color="auto"/>
              <w:right w:val="single" w:sz="4" w:space="0" w:color="auto"/>
            </w:tcBorders>
          </w:tcPr>
          <w:p w14:paraId="17DB88F0" w14:textId="77777777" w:rsidR="00A81273" w:rsidRPr="00A422C7" w:rsidRDefault="00A81273" w:rsidP="00A422C7">
            <w:pPr>
              <w:pStyle w:val="Tabletext1"/>
              <w:spacing w:beforeLines="40" w:before="96" w:afterLines="40" w:after="96"/>
            </w:pPr>
            <w:r w:rsidRPr="00A422C7">
              <w:t>Normal menstruation: Samples were selected to constitute two equally sized groups, according to the menstrual status of the patients at the time of sampling:</w:t>
            </w:r>
          </w:p>
          <w:p w14:paraId="5C212A30" w14:textId="77777777" w:rsidR="00A81273" w:rsidRPr="00A422C7" w:rsidRDefault="00A81273" w:rsidP="00A422C7">
            <w:pPr>
              <w:pStyle w:val="Tabletext1"/>
              <w:spacing w:beforeLines="40" w:before="96" w:afterLines="40" w:after="96"/>
            </w:pPr>
            <w:r w:rsidRPr="00A422C7">
              <w:t>n=30 amenorrhea</w:t>
            </w:r>
          </w:p>
          <w:p w14:paraId="7F5C6CD1" w14:textId="77777777" w:rsidR="00A81273" w:rsidRPr="00A422C7" w:rsidRDefault="00A81273" w:rsidP="00A422C7">
            <w:pPr>
              <w:pStyle w:val="Tabletext1"/>
              <w:spacing w:beforeLines="40" w:before="96" w:afterLines="40" w:after="96"/>
              <w:ind w:left="-8"/>
            </w:pPr>
            <w:r w:rsidRPr="00A422C7">
              <w:t>n=28 spontaneous resumption of menses</w:t>
            </w:r>
          </w:p>
        </w:tc>
        <w:tc>
          <w:tcPr>
            <w:tcW w:w="1134" w:type="dxa"/>
            <w:tcBorders>
              <w:top w:val="single" w:sz="4" w:space="0" w:color="auto"/>
              <w:left w:val="single" w:sz="4" w:space="0" w:color="auto"/>
              <w:bottom w:val="single" w:sz="4" w:space="0" w:color="auto"/>
              <w:right w:val="single" w:sz="4" w:space="0" w:color="auto"/>
            </w:tcBorders>
          </w:tcPr>
          <w:p w14:paraId="17C79805" w14:textId="6E332021" w:rsidR="00A81273" w:rsidRPr="00A422C7" w:rsidRDefault="00A81273" w:rsidP="00776418">
            <w:pPr>
              <w:pStyle w:val="Tabletext1"/>
              <w:spacing w:beforeLines="40" w:before="96" w:afterLines="40" w:after="96"/>
              <w:ind w:left="34"/>
            </w:pPr>
            <w:r w:rsidRPr="00A422C7">
              <w:t>Sensitivity</w:t>
            </w:r>
            <w:r w:rsidRPr="00A422C7">
              <w:br/>
              <w:t>specificity</w:t>
            </w:r>
            <w:r w:rsidRPr="00A422C7">
              <w:br/>
            </w:r>
            <w:r w:rsidR="00776418">
              <w:t>LR+</w:t>
            </w:r>
            <w:r w:rsidR="00574FA2" w:rsidRPr="00A422C7">
              <w:br/>
            </w:r>
            <w:r w:rsidR="00776418">
              <w:t>LR-</w:t>
            </w:r>
          </w:p>
        </w:tc>
        <w:tc>
          <w:tcPr>
            <w:tcW w:w="1418" w:type="dxa"/>
            <w:tcBorders>
              <w:top w:val="single" w:sz="4" w:space="0" w:color="auto"/>
              <w:left w:val="single" w:sz="4" w:space="0" w:color="auto"/>
              <w:bottom w:val="single" w:sz="4" w:space="0" w:color="auto"/>
              <w:right w:val="single" w:sz="4" w:space="0" w:color="auto"/>
            </w:tcBorders>
          </w:tcPr>
          <w:p w14:paraId="5F1FC8AA" w14:textId="77777777" w:rsidR="00A81273" w:rsidRPr="00A422C7" w:rsidRDefault="00A81273" w:rsidP="00A422C7">
            <w:pPr>
              <w:pStyle w:val="Tabletext1"/>
              <w:spacing w:beforeLines="40" w:before="96" w:afterLines="40" w:after="96"/>
              <w:ind w:left="34"/>
            </w:pPr>
            <w:r w:rsidRPr="00A422C7">
              <w:t>AMH levels</w:t>
            </w:r>
          </w:p>
          <w:p w14:paraId="6161FB38" w14:textId="5CCDF2C3" w:rsidR="00A81273" w:rsidRPr="00A422C7" w:rsidRDefault="00A81273" w:rsidP="00A422C7">
            <w:pPr>
              <w:pStyle w:val="Tabletext1"/>
              <w:spacing w:beforeLines="40" w:before="96" w:afterLines="40" w:after="96"/>
              <w:ind w:left="34"/>
            </w:pPr>
            <w:r w:rsidRPr="00A422C7">
              <w:t>2</w:t>
            </w:r>
            <w:r w:rsidR="00574FA2" w:rsidRPr="00A422C7">
              <w:t> × </w:t>
            </w:r>
            <w:r w:rsidRPr="00A422C7">
              <w:t>2 data for AMH detectable/not detectable vs amenorrhea/normal cycle</w:t>
            </w:r>
          </w:p>
        </w:tc>
      </w:tr>
      <w:tr w:rsidR="00A81273" w:rsidRPr="00A422C7" w14:paraId="2BAFD80F" w14:textId="77777777" w:rsidTr="00462566">
        <w:trPr>
          <w:trHeight w:val="319"/>
        </w:trPr>
        <w:tc>
          <w:tcPr>
            <w:tcW w:w="1100" w:type="dxa"/>
            <w:tcBorders>
              <w:top w:val="single" w:sz="4" w:space="0" w:color="auto"/>
              <w:left w:val="single" w:sz="4" w:space="0" w:color="auto"/>
              <w:bottom w:val="single" w:sz="4" w:space="0" w:color="auto"/>
              <w:right w:val="single" w:sz="4" w:space="0" w:color="auto"/>
            </w:tcBorders>
          </w:tcPr>
          <w:p w14:paraId="2D591053" w14:textId="795C88A0" w:rsidR="00835BA6" w:rsidRPr="00BA56CC" w:rsidRDefault="00835BA6" w:rsidP="00835BA6">
            <w:pPr>
              <w:pStyle w:val="Tabletext1"/>
            </w:pPr>
            <w:r w:rsidRPr="00BA56CC">
              <w:t xml:space="preserve">Miyoshi et al. </w:t>
            </w:r>
            <w:r>
              <w:fldChar w:fldCharType="begin"/>
            </w:r>
            <w:r>
              <w:instrText xml:space="preserve"> ADDIN EN.CITE &lt;EndNote&gt;&lt;Cite ExcludeAuth="1"&gt;&lt;Author&gt;Miyoshi&lt;/Author&gt;&lt;Year&gt;2013&lt;/Year&gt;&lt;RecNum&gt;251&lt;/RecNum&gt;&lt;IDText&gt;17-21&lt;/IDText&gt;&lt;DisplayText&gt;(2013)&lt;/DisplayText&gt;&lt;record&gt;&lt;rec-number&gt;251&lt;/rec-number&gt;&lt;foreign-keys&gt;&lt;key app="EN" db-id="s2dftfxw1fvsr1efx58vfvxtvfwzxea0td02" timestamp="1511748087"&gt;251&lt;/key&gt;&lt;/foreign-keys&gt;&lt;ref-type name="Journal Article"&gt;17&lt;/ref-type&gt;&lt;contributors&gt;&lt;authors&gt;&lt;author&gt;Miyoshi, Y.&lt;/author&gt;&lt;author&gt;Ohta, H.&lt;/author&gt;&lt;author&gt;Namba, N.&lt;/author&gt;&lt;author&gt;Tachibana, M.&lt;/author&gt;&lt;author&gt;Miyamura, T.&lt;/author&gt;&lt;author&gt;Miyashita, E.&lt;/author&gt;&lt;author&gt;Hashii, Y.&lt;/author&gt;&lt;author&gt;Oue, T.&lt;/author&gt;&lt;author&gt;Isobe, A.&lt;/author&gt;&lt;author&gt;Tsutsui, T.&lt;/author&gt;&lt;author&gt;Kimura, T.&lt;/author&gt;&lt;author&gt;Ozono, K.&lt;/author&gt;&lt;/authors&gt;&lt;/contributors&gt;&lt;titles&gt;&lt;title&gt;Low serum concentrations of anti-müllerian hormone are common in 53 female childhood cancer survivors&lt;/title&gt;&lt;secondary-title&gt;Hormone Research in Paediatrics&lt;/secondary-title&gt;&lt;/titles&gt;&lt;periodical&gt;&lt;full-title&gt;Hormone Research in Paediatrics&lt;/full-title&gt;&lt;/periodical&gt;&lt;pages&gt;17-21&lt;/pages&gt;&lt;volume&gt;79&lt;/volume&gt;&lt;number&gt;1&lt;/number&gt;&lt;keywords&gt;&lt;keyword&gt;Follicle Stimulating Hormone&lt;/keyword&gt;&lt;keyword&gt;Cross-Sectional Studies&lt;/keyword&gt;&lt;keyword&gt;Gonads&lt;/keyword&gt;&lt;/keywords&gt;&lt;dates&gt;&lt;year&gt;2013&lt;/year&gt;&lt;pub-dates&gt;&lt;date&gt;2013-1-1&lt;/date&gt;&lt;/pub-dates&gt;&lt;/dates&gt;&lt;isbn&gt;1663-2818&lt;/isbn&gt;&lt;accession-num&gt;rayyan-6676735&lt;/accession-num&gt;&lt;urls&gt;&lt;related-urls&gt;&lt;url&gt;http://www.embase.com/search/results?subaction=viewrecord&amp;amp;from=export&amp;amp;id=L52382713 http://dx.doi.org/10.1159/000346139&lt;/url&gt;&lt;/related-urls&gt;&lt;/urls&gt;&lt;custom1&gt;RAYYAN-INCLUSION: {&amp;quot;Sharon&amp;quot;=&amp;gt;true, &amp;quot;Joanne&amp;quot;=&amp;gt;true}&lt;/custom1&gt;&lt;/record&gt;&lt;/Cite&gt;&lt;/EndNote&gt;</w:instrText>
            </w:r>
            <w:r>
              <w:fldChar w:fldCharType="separate"/>
            </w:r>
            <w:r>
              <w:rPr>
                <w:noProof/>
              </w:rPr>
              <w:t>(</w:t>
            </w:r>
            <w:hyperlink w:anchor="_ENREF_43" w:tooltip="Miyoshi, 2013 #251" w:history="1">
              <w:r>
                <w:rPr>
                  <w:noProof/>
                </w:rPr>
                <w:t>2013</w:t>
              </w:r>
            </w:hyperlink>
            <w:r>
              <w:rPr>
                <w:noProof/>
              </w:rPr>
              <w:t>)</w:t>
            </w:r>
            <w:r>
              <w:fldChar w:fldCharType="end"/>
            </w:r>
          </w:p>
          <w:p w14:paraId="44441C93" w14:textId="4CD3FEDE" w:rsidR="00A81273" w:rsidRPr="00A422C7" w:rsidRDefault="00835BA6" w:rsidP="00835BA6">
            <w:pPr>
              <w:pStyle w:val="Tabletext1"/>
              <w:spacing w:beforeLines="40" w:before="96" w:afterLines="40" w:after="96"/>
            </w:pPr>
            <w:r w:rsidRPr="00BA56CC">
              <w:t>Japan</w:t>
            </w:r>
          </w:p>
        </w:tc>
        <w:tc>
          <w:tcPr>
            <w:tcW w:w="1435" w:type="dxa"/>
            <w:tcBorders>
              <w:top w:val="single" w:sz="4" w:space="0" w:color="auto"/>
              <w:left w:val="single" w:sz="4" w:space="0" w:color="auto"/>
              <w:bottom w:val="single" w:sz="4" w:space="0" w:color="auto"/>
              <w:right w:val="single" w:sz="4" w:space="0" w:color="auto"/>
            </w:tcBorders>
          </w:tcPr>
          <w:p w14:paraId="040910C4" w14:textId="77777777" w:rsidR="00A81273" w:rsidRPr="00A422C7" w:rsidRDefault="00A81273" w:rsidP="00A422C7">
            <w:pPr>
              <w:pStyle w:val="Tabletext1"/>
              <w:spacing w:beforeLines="40" w:before="96" w:afterLines="40" w:after="96"/>
              <w:ind w:left="-2"/>
            </w:pPr>
            <w:r w:rsidRPr="00A422C7">
              <w:t>Case series</w:t>
            </w:r>
          </w:p>
          <w:p w14:paraId="68A76CF7" w14:textId="77777777" w:rsidR="007518CF" w:rsidRPr="00A422C7" w:rsidRDefault="00A81273" w:rsidP="00A422C7">
            <w:pPr>
              <w:pStyle w:val="Tabletext1"/>
              <w:spacing w:beforeLines="40" w:before="96" w:afterLines="40" w:after="96"/>
            </w:pPr>
            <w:r w:rsidRPr="00A422C7">
              <w:t xml:space="preserve">Level III-2 diagnostic </w:t>
            </w:r>
            <w:r w:rsidRPr="00A422C7">
              <w:lastRenderedPageBreak/>
              <w:t>accuracy evidence</w:t>
            </w:r>
          </w:p>
          <w:p w14:paraId="05E6296B" w14:textId="67815BB0" w:rsidR="00A81273" w:rsidRPr="00A422C7" w:rsidRDefault="00A81273" w:rsidP="00A422C7">
            <w:pPr>
              <w:pStyle w:val="Tabletext1"/>
              <w:spacing w:beforeLines="40" w:before="96" w:afterLines="40" w:after="96"/>
              <w:ind w:left="-2"/>
            </w:pPr>
            <w:r w:rsidRPr="00A422C7">
              <w:t>Quality: Low risk of bias</w:t>
            </w:r>
          </w:p>
        </w:tc>
        <w:tc>
          <w:tcPr>
            <w:tcW w:w="2563" w:type="dxa"/>
            <w:tcBorders>
              <w:top w:val="single" w:sz="4" w:space="0" w:color="auto"/>
              <w:left w:val="single" w:sz="4" w:space="0" w:color="auto"/>
              <w:bottom w:val="single" w:sz="4" w:space="0" w:color="auto"/>
              <w:right w:val="single" w:sz="4" w:space="0" w:color="auto"/>
            </w:tcBorders>
          </w:tcPr>
          <w:p w14:paraId="69CFA757" w14:textId="6F20C8D3" w:rsidR="00A81273" w:rsidRPr="00A422C7" w:rsidRDefault="00A81273" w:rsidP="00A422C7">
            <w:pPr>
              <w:pStyle w:val="Tabletext1"/>
              <w:spacing w:beforeLines="40" w:before="96" w:afterLines="40" w:after="96"/>
              <w:ind w:left="-2"/>
            </w:pPr>
            <w:r w:rsidRPr="00A422C7">
              <w:lastRenderedPageBreak/>
              <w:t xml:space="preserve">N=53 female patients who had survived &gt;2 years after childhood cancer treatment </w:t>
            </w:r>
            <w:r w:rsidRPr="00A422C7">
              <w:lastRenderedPageBreak/>
              <w:t>reviewed retrospectively</w:t>
            </w:r>
          </w:p>
          <w:p w14:paraId="5E539AA8" w14:textId="77777777" w:rsidR="00A81273" w:rsidRPr="00A422C7" w:rsidRDefault="00A81273" w:rsidP="00A422C7">
            <w:pPr>
              <w:pStyle w:val="Tabletext1"/>
              <w:spacing w:beforeLines="40" w:before="96" w:afterLines="40" w:after="96"/>
              <w:ind w:left="-2"/>
            </w:pPr>
            <w:r w:rsidRPr="00A422C7">
              <w:t>n=21 solid tumours</w:t>
            </w:r>
            <w:r w:rsidRPr="00A422C7">
              <w:br/>
              <w:t>n=19 haematological</w:t>
            </w:r>
            <w:r w:rsidRPr="00A422C7">
              <w:br/>
              <w:t>n=13 brain tumour</w:t>
            </w:r>
          </w:p>
          <w:p w14:paraId="48610801" w14:textId="77777777" w:rsidR="00A81273" w:rsidRPr="00A422C7" w:rsidRDefault="00A81273" w:rsidP="00A422C7">
            <w:pPr>
              <w:pStyle w:val="Tabletext1"/>
              <w:spacing w:beforeLines="40" w:before="96" w:afterLines="40" w:after="96"/>
              <w:ind w:left="-2"/>
            </w:pPr>
            <w:r w:rsidRPr="00A422C7">
              <w:t>Median age at evaluation = 17.4 years (range 4.0–29.6)</w:t>
            </w:r>
          </w:p>
          <w:p w14:paraId="4D7CFA8F" w14:textId="10905531" w:rsidR="00A81273" w:rsidRPr="00A422C7" w:rsidRDefault="00A81273" w:rsidP="00A422C7">
            <w:pPr>
              <w:pStyle w:val="Tabletext1"/>
              <w:spacing w:beforeLines="40" w:before="96" w:afterLines="40" w:after="96"/>
              <w:ind w:left="-2"/>
            </w:pPr>
            <w:r w:rsidRPr="00A422C7">
              <w:t>Median age at diagnosis of underlying disease = 6.3 years (range 0–12.9)</w:t>
            </w:r>
          </w:p>
          <w:p w14:paraId="4EA524E1" w14:textId="4FDA3C7C" w:rsidR="00A81273" w:rsidRPr="00A422C7" w:rsidRDefault="00A81273" w:rsidP="00A422C7">
            <w:pPr>
              <w:pStyle w:val="Tabletext1"/>
              <w:spacing w:beforeLines="40" w:before="96" w:afterLines="40" w:after="96"/>
              <w:ind w:left="-2"/>
            </w:pPr>
            <w:r w:rsidRPr="00A422C7">
              <w:t>Median follow-up duration from completion of therapy to hormonal evaluati</w:t>
            </w:r>
            <w:r w:rsidR="00A1679C">
              <w:t>on = 8.8 years (range 2.3–26.1).</w:t>
            </w:r>
          </w:p>
        </w:tc>
        <w:tc>
          <w:tcPr>
            <w:tcW w:w="2552" w:type="dxa"/>
            <w:tcBorders>
              <w:top w:val="single" w:sz="4" w:space="0" w:color="auto"/>
              <w:left w:val="single" w:sz="4" w:space="0" w:color="auto"/>
              <w:bottom w:val="single" w:sz="4" w:space="0" w:color="auto"/>
              <w:right w:val="single" w:sz="4" w:space="0" w:color="auto"/>
            </w:tcBorders>
          </w:tcPr>
          <w:p w14:paraId="308498EA" w14:textId="77777777" w:rsidR="00A81273" w:rsidRPr="00A422C7" w:rsidRDefault="00A81273" w:rsidP="00A422C7">
            <w:pPr>
              <w:pStyle w:val="Tabletext1"/>
              <w:spacing w:beforeLines="40" w:before="96" w:afterLines="40" w:after="96"/>
              <w:ind w:left="-2"/>
            </w:pPr>
            <w:r w:rsidRPr="00A422C7">
              <w:rPr>
                <w:u w:val="single"/>
              </w:rPr>
              <w:lastRenderedPageBreak/>
              <w:t>EIA AMH/MIS ELISA</w:t>
            </w:r>
          </w:p>
          <w:p w14:paraId="69EB264B" w14:textId="77777777" w:rsidR="00A81273" w:rsidRPr="00A422C7" w:rsidRDefault="00A81273" w:rsidP="00A422C7">
            <w:pPr>
              <w:pStyle w:val="Tabletext1"/>
              <w:spacing w:beforeLines="40" w:before="96" w:afterLines="40" w:after="96"/>
              <w:ind w:left="-2"/>
            </w:pPr>
            <w:r w:rsidRPr="00A422C7">
              <w:t xml:space="preserve">The lower and upper limits of detection for AMH were 1 and </w:t>
            </w:r>
            <w:r w:rsidRPr="00A422C7">
              <w:lastRenderedPageBreak/>
              <w:t>150 pmol/l, respectively. Concentrations were compared to normal values in healthy paediatric females, with a cut-off value below the 2.5th percentile being defined as low AMH. Undetectably low AMH levels (&lt;1 pmol/l) were recorded as 1 pmol/l.</w:t>
            </w:r>
          </w:p>
        </w:tc>
        <w:tc>
          <w:tcPr>
            <w:tcW w:w="2977" w:type="dxa"/>
            <w:tcBorders>
              <w:top w:val="single" w:sz="4" w:space="0" w:color="auto"/>
              <w:left w:val="single" w:sz="4" w:space="0" w:color="auto"/>
              <w:bottom w:val="single" w:sz="4" w:space="0" w:color="auto"/>
              <w:right w:val="single" w:sz="4" w:space="0" w:color="auto"/>
            </w:tcBorders>
          </w:tcPr>
          <w:p w14:paraId="7D28EA8D" w14:textId="77777777" w:rsidR="00A81273" w:rsidRPr="00A422C7" w:rsidRDefault="00A81273" w:rsidP="00A422C7">
            <w:pPr>
              <w:pStyle w:val="Tabletext1"/>
              <w:spacing w:beforeLines="40" w:before="96" w:afterLines="40" w:after="96"/>
              <w:ind w:left="-2"/>
            </w:pPr>
            <w:r w:rsidRPr="00A422C7">
              <w:rPr>
                <w:u w:val="single"/>
              </w:rPr>
              <w:lastRenderedPageBreak/>
              <w:t>Access FSH</w:t>
            </w:r>
            <w:r w:rsidRPr="00A422C7">
              <w:t>, a chemiluminescent enzyme immunoassay</w:t>
            </w:r>
          </w:p>
          <w:p w14:paraId="25BB253A" w14:textId="27747C89" w:rsidR="00A81273" w:rsidRPr="00A422C7" w:rsidRDefault="00A81273" w:rsidP="00A422C7">
            <w:pPr>
              <w:pStyle w:val="Tabletext1"/>
              <w:spacing w:beforeLines="40" w:before="96" w:afterLines="40" w:after="96"/>
              <w:ind w:left="-2"/>
            </w:pPr>
            <w:r w:rsidRPr="00A422C7">
              <w:t>Sensitivity of 0.2 mIU/</w:t>
            </w:r>
            <w:r w:rsidR="00023800" w:rsidRPr="00A422C7">
              <w:t>mL</w:t>
            </w:r>
            <w:r w:rsidRPr="00A422C7">
              <w:t xml:space="preserve">. The </w:t>
            </w:r>
            <w:r w:rsidRPr="00A422C7">
              <w:lastRenderedPageBreak/>
              <w:t>reference values of FSH for were as follows: 4.5–11.0 mIU/</w:t>
            </w:r>
            <w:r w:rsidR="00023800" w:rsidRPr="00A422C7">
              <w:t>mL</w:t>
            </w:r>
            <w:r w:rsidRPr="00A422C7">
              <w:t xml:space="preserve"> during the follicular phase, 3.6–20.6 mIU/</w:t>
            </w:r>
            <w:r w:rsidR="00023800" w:rsidRPr="00A422C7">
              <w:t>mL</w:t>
            </w:r>
            <w:r w:rsidRPr="00A422C7">
              <w:t xml:space="preserve"> during the ovulatory phase, 1.5–10.8 mIU/</w:t>
            </w:r>
            <w:r w:rsidR="00023800" w:rsidRPr="00A422C7">
              <w:t>mL</w:t>
            </w:r>
            <w:r w:rsidRPr="00A422C7">
              <w:t xml:space="preserve"> during the luteal phase, 2.0–21.9 mIU/</w:t>
            </w:r>
            <w:r w:rsidR="00023800" w:rsidRPr="00A422C7">
              <w:t>mL</w:t>
            </w:r>
            <w:r w:rsidRPr="00A422C7">
              <w:t xml:space="preserve"> during perimenopause, and 21.5–159.0 mIU/</w:t>
            </w:r>
            <w:r w:rsidR="00023800" w:rsidRPr="00A422C7">
              <w:t>mL</w:t>
            </w:r>
            <w:r w:rsidRPr="00A422C7">
              <w:t xml:space="preserve"> during menopause.</w:t>
            </w:r>
          </w:p>
          <w:p w14:paraId="178FDB3E" w14:textId="49FDB0F9" w:rsidR="00A81273" w:rsidRPr="00A422C7" w:rsidRDefault="00A81273" w:rsidP="00A422C7">
            <w:pPr>
              <w:pStyle w:val="Tabletext1"/>
              <w:spacing w:beforeLines="40" w:before="96" w:afterLines="40" w:after="96"/>
              <w:ind w:left="-2"/>
            </w:pPr>
            <w:r w:rsidRPr="00A422C7">
              <w:t>High FSH was defined as &gt;10 mIU/</w:t>
            </w:r>
            <w:r w:rsidR="00023800" w:rsidRPr="00A422C7">
              <w:t>mL</w:t>
            </w:r>
            <w:r w:rsidRPr="00A422C7">
              <w:t xml:space="preserve"> prior to menarche and &gt;20 mIU/</w:t>
            </w:r>
            <w:r w:rsidR="00023800" w:rsidRPr="00A422C7">
              <w:t>mL</w:t>
            </w:r>
            <w:r w:rsidRPr="00A422C7">
              <w:t xml:space="preserve"> for females under estrogen replacement therapy in this study.</w:t>
            </w:r>
          </w:p>
        </w:tc>
        <w:tc>
          <w:tcPr>
            <w:tcW w:w="1984" w:type="dxa"/>
            <w:tcBorders>
              <w:top w:val="single" w:sz="4" w:space="0" w:color="auto"/>
              <w:left w:val="single" w:sz="4" w:space="0" w:color="auto"/>
              <w:bottom w:val="single" w:sz="4" w:space="0" w:color="auto"/>
              <w:right w:val="single" w:sz="4" w:space="0" w:color="auto"/>
            </w:tcBorders>
          </w:tcPr>
          <w:p w14:paraId="04DAA3B5" w14:textId="77777777" w:rsidR="00A81273" w:rsidRPr="00A422C7" w:rsidRDefault="00A81273" w:rsidP="00A422C7">
            <w:pPr>
              <w:pStyle w:val="Tabletext1"/>
              <w:spacing w:beforeLines="40" w:before="96" w:afterLines="40" w:after="96"/>
              <w:ind w:left="-2"/>
            </w:pPr>
            <w:r w:rsidRPr="00A422C7">
              <w:lastRenderedPageBreak/>
              <w:t>NA</w:t>
            </w:r>
          </w:p>
        </w:tc>
        <w:tc>
          <w:tcPr>
            <w:tcW w:w="1134" w:type="dxa"/>
            <w:tcBorders>
              <w:top w:val="single" w:sz="4" w:space="0" w:color="auto"/>
              <w:left w:val="single" w:sz="4" w:space="0" w:color="auto"/>
              <w:bottom w:val="single" w:sz="4" w:space="0" w:color="auto"/>
              <w:right w:val="single" w:sz="4" w:space="0" w:color="auto"/>
            </w:tcBorders>
          </w:tcPr>
          <w:p w14:paraId="52C7037C" w14:textId="77777777" w:rsidR="00A81273" w:rsidRPr="00A422C7" w:rsidRDefault="00A81273" w:rsidP="00A422C7">
            <w:pPr>
              <w:pStyle w:val="Tabletext1"/>
              <w:spacing w:beforeLines="40" w:before="96" w:afterLines="40" w:after="96"/>
              <w:ind w:left="34"/>
            </w:pPr>
            <w:r w:rsidRPr="00A422C7">
              <w:t>Sensitivity</w:t>
            </w:r>
          </w:p>
          <w:p w14:paraId="37DD96BF" w14:textId="77777777" w:rsidR="00A81273" w:rsidRPr="00A422C7" w:rsidRDefault="00A81273" w:rsidP="00A422C7">
            <w:pPr>
              <w:pStyle w:val="Tabletext1"/>
              <w:spacing w:beforeLines="40" w:before="96" w:afterLines="40" w:after="96"/>
              <w:ind w:left="34"/>
            </w:pPr>
            <w:r w:rsidRPr="00A422C7">
              <w:t>specificity</w:t>
            </w:r>
          </w:p>
          <w:p w14:paraId="7DDB5480" w14:textId="3139E73C" w:rsidR="00A81273" w:rsidRPr="00A422C7" w:rsidRDefault="00776418" w:rsidP="00A422C7">
            <w:pPr>
              <w:pStyle w:val="Tabletext1"/>
              <w:spacing w:beforeLines="40" w:before="96" w:afterLines="40" w:after="96"/>
              <w:ind w:left="34"/>
            </w:pPr>
            <w:r>
              <w:lastRenderedPageBreak/>
              <w:t>LR+</w:t>
            </w:r>
            <w:r w:rsidRPr="00A422C7">
              <w:br/>
            </w:r>
            <w:r>
              <w:t>LR-</w:t>
            </w:r>
          </w:p>
        </w:tc>
        <w:tc>
          <w:tcPr>
            <w:tcW w:w="1418" w:type="dxa"/>
            <w:tcBorders>
              <w:top w:val="single" w:sz="4" w:space="0" w:color="auto"/>
              <w:left w:val="single" w:sz="4" w:space="0" w:color="auto"/>
              <w:bottom w:val="single" w:sz="4" w:space="0" w:color="auto"/>
              <w:right w:val="single" w:sz="4" w:space="0" w:color="auto"/>
            </w:tcBorders>
          </w:tcPr>
          <w:p w14:paraId="6245AEA8" w14:textId="77777777" w:rsidR="00A81273" w:rsidRPr="00A422C7" w:rsidRDefault="00A81273" w:rsidP="00A422C7">
            <w:pPr>
              <w:pStyle w:val="Tabletext1"/>
              <w:spacing w:beforeLines="40" w:before="96" w:afterLines="40" w:after="96"/>
              <w:ind w:left="34"/>
            </w:pPr>
            <w:r w:rsidRPr="00A422C7">
              <w:lastRenderedPageBreak/>
              <w:t>AMH levels</w:t>
            </w:r>
          </w:p>
          <w:p w14:paraId="264A3C1F" w14:textId="77777777" w:rsidR="00A81273" w:rsidRPr="00A422C7" w:rsidRDefault="00A81273" w:rsidP="00A422C7">
            <w:pPr>
              <w:pStyle w:val="Tabletext1"/>
              <w:spacing w:beforeLines="40" w:before="96" w:afterLines="40" w:after="96"/>
              <w:ind w:left="34"/>
            </w:pPr>
            <w:r w:rsidRPr="00A422C7">
              <w:t>FSH levels</w:t>
            </w:r>
          </w:p>
          <w:p w14:paraId="08F149FB" w14:textId="335B0423" w:rsidR="00A81273" w:rsidRPr="00A422C7" w:rsidRDefault="00A81273" w:rsidP="00A422C7">
            <w:pPr>
              <w:pStyle w:val="Tabletext1"/>
              <w:spacing w:beforeLines="40" w:before="96" w:afterLines="40" w:after="96"/>
              <w:ind w:left="34"/>
            </w:pPr>
            <w:r w:rsidRPr="00A422C7">
              <w:lastRenderedPageBreak/>
              <w:t>2</w:t>
            </w:r>
            <w:r w:rsidR="00574FA2" w:rsidRPr="00A422C7">
              <w:t> × </w:t>
            </w:r>
            <w:r w:rsidRPr="00A422C7">
              <w:t>2 data for low AMH vs low FSH</w:t>
            </w:r>
          </w:p>
        </w:tc>
      </w:tr>
      <w:tr w:rsidR="00A81273" w:rsidRPr="00A422C7" w14:paraId="6C89AE7B" w14:textId="77777777" w:rsidTr="00462566">
        <w:trPr>
          <w:trHeight w:val="319"/>
        </w:trPr>
        <w:tc>
          <w:tcPr>
            <w:tcW w:w="1100" w:type="dxa"/>
            <w:tcBorders>
              <w:top w:val="single" w:sz="4" w:space="0" w:color="auto"/>
              <w:left w:val="single" w:sz="4" w:space="0" w:color="auto"/>
              <w:bottom w:val="single" w:sz="4" w:space="0" w:color="auto"/>
              <w:right w:val="single" w:sz="4" w:space="0" w:color="auto"/>
            </w:tcBorders>
          </w:tcPr>
          <w:p w14:paraId="771E5AE9" w14:textId="2EF016F1" w:rsidR="00835BA6" w:rsidRDefault="00835BA6" w:rsidP="00835BA6">
            <w:pPr>
              <w:pStyle w:val="Tabletext1"/>
              <w:rPr>
                <w:snapToGrid w:val="0"/>
              </w:rPr>
            </w:pPr>
            <w:r w:rsidRPr="008B7B9E">
              <w:rPr>
                <w:snapToGrid w:val="0"/>
              </w:rPr>
              <w:lastRenderedPageBreak/>
              <w:t xml:space="preserve">Su et al. </w:t>
            </w:r>
            <w:r>
              <w:rPr>
                <w:snapToGrid w:val="0"/>
              </w:rPr>
              <w:fldChar w:fldCharType="begin"/>
            </w:r>
            <w:r>
              <w:rPr>
                <w:snapToGrid w:val="0"/>
              </w:rPr>
              <w:instrText xml:space="preserve"> ADDIN EN.CITE &lt;EndNote&gt;&lt;Cite ExcludeAuth="1"&gt;&lt;Author&gt;Su&lt;/Author&gt;&lt;Year&gt;2011&lt;/Year&gt;&lt;RecNum&gt;335&lt;/RecNum&gt;&lt;IDText&gt;1857-9&lt;/IDText&gt;&lt;DisplayText&gt;(2011)&lt;/DisplayText&gt;&lt;record&gt;&lt;rec-number&gt;335&lt;/rec-number&gt;&lt;foreign-keys&gt;&lt;key app="EN" db-id="s2dftfxw1fvsr1efx58vfvxtvfwzxea0td02" timestamp="1511748097"&gt;335&lt;/key&gt;&lt;/foreign-keys&gt;&lt;ref-type name="Journal Article"&gt;17&lt;/ref-type&gt;&lt;contributors&gt;&lt;authors&gt;&lt;author&gt;Su, H. I.&lt;/author&gt;&lt;author&gt;Chung, K.&lt;/author&gt;&lt;author&gt;Sammel, M. D.&lt;/author&gt;&lt;author&gt;Gracia, C. R.&lt;/author&gt;&lt;author&gt;DeMichele, A.&lt;/author&gt;&lt;/authors&gt;&lt;/contributors&gt;&lt;titles&gt;&lt;title&gt;Antral follicle count provides additive information to hormone measures for determining ovarian function in breast cancer survivors&lt;/title&gt;&lt;secondary-title&gt;Fertil Steril&lt;/secondary-title&gt;&lt;/titles&gt;&lt;periodical&gt;&lt;full-title&gt;Fertil Steril&lt;/full-title&gt;&lt;/periodical&gt;&lt;pages&gt;1857-9&lt;/pages&gt;&lt;volume&gt;95&lt;/volume&gt;&lt;number&gt;5&lt;/number&gt;&lt;keywords&gt;&lt;keyword&gt;Survivors&lt;/keyword&gt;&lt;keyword&gt;Breast Neoplasms&lt;/keyword&gt;&lt;/keywords&gt;&lt;dates&gt;&lt;year&gt;2011&lt;/year&gt;&lt;pub-dates&gt;&lt;date&gt;2011-1-1&lt;/date&gt;&lt;/pub-dates&gt;&lt;/dates&gt;&lt;isbn&gt;0015-0282&lt;/isbn&gt;&lt;accession-num&gt;rayyan-6678839&lt;/accession-num&gt;&lt;urls&gt;&lt;related-urls&gt;&lt;url&gt;https://www.ncbi.nlm.nih.gov/pmc/articles/PMC3062716/pdf/nihms258233.pdf&lt;/url&gt;&lt;/related-urls&gt;&lt;/urls&gt;&lt;custom1&gt;RAYYAN-INCLUSION: {&amp;quot;Sharon&amp;quot;=&amp;gt;false, &amp;quot;Joanne&amp;quot;=&amp;gt;true}&lt;/custom1&gt;&lt;language&gt;eng&lt;/language&gt;&lt;/record&gt;&lt;/Cite&gt;&lt;/EndNote&gt;</w:instrText>
            </w:r>
            <w:r>
              <w:rPr>
                <w:snapToGrid w:val="0"/>
              </w:rPr>
              <w:fldChar w:fldCharType="separate"/>
            </w:r>
            <w:r>
              <w:rPr>
                <w:noProof/>
                <w:snapToGrid w:val="0"/>
              </w:rPr>
              <w:t>(</w:t>
            </w:r>
            <w:hyperlink w:anchor="_ENREF_65" w:tooltip="Su, 2011 #335" w:history="1">
              <w:r>
                <w:rPr>
                  <w:noProof/>
                  <w:snapToGrid w:val="0"/>
                </w:rPr>
                <w:t>2011</w:t>
              </w:r>
            </w:hyperlink>
            <w:r>
              <w:rPr>
                <w:noProof/>
                <w:snapToGrid w:val="0"/>
              </w:rPr>
              <w:t>)</w:t>
            </w:r>
            <w:r>
              <w:rPr>
                <w:snapToGrid w:val="0"/>
              </w:rPr>
              <w:fldChar w:fldCharType="end"/>
            </w:r>
          </w:p>
          <w:p w14:paraId="72855010" w14:textId="62928A56" w:rsidR="00A81273" w:rsidRPr="00A422C7" w:rsidRDefault="00835BA6" w:rsidP="00835BA6">
            <w:pPr>
              <w:pStyle w:val="Tabletext1"/>
              <w:spacing w:beforeLines="40" w:before="96" w:afterLines="40" w:after="96"/>
            </w:pPr>
            <w:r>
              <w:rPr>
                <w:snapToGrid w:val="0"/>
              </w:rPr>
              <w:t>USA</w:t>
            </w:r>
          </w:p>
        </w:tc>
        <w:tc>
          <w:tcPr>
            <w:tcW w:w="1435" w:type="dxa"/>
            <w:tcBorders>
              <w:top w:val="single" w:sz="4" w:space="0" w:color="auto"/>
              <w:left w:val="single" w:sz="4" w:space="0" w:color="auto"/>
              <w:bottom w:val="single" w:sz="4" w:space="0" w:color="auto"/>
              <w:right w:val="single" w:sz="4" w:space="0" w:color="auto"/>
            </w:tcBorders>
          </w:tcPr>
          <w:p w14:paraId="7F5D7663" w14:textId="77777777" w:rsidR="00A81273" w:rsidRPr="00A422C7" w:rsidRDefault="00A81273" w:rsidP="00A422C7">
            <w:pPr>
              <w:pStyle w:val="Tabletext1"/>
              <w:spacing w:beforeLines="40" w:before="96" w:afterLines="40" w:after="96"/>
              <w:ind w:left="-2"/>
            </w:pPr>
            <w:r w:rsidRPr="00A422C7">
              <w:t>Case series</w:t>
            </w:r>
          </w:p>
          <w:p w14:paraId="403A654F" w14:textId="77777777" w:rsidR="007518CF" w:rsidRPr="00A422C7" w:rsidRDefault="00A81273" w:rsidP="00A422C7">
            <w:pPr>
              <w:pStyle w:val="Tabletext1"/>
              <w:spacing w:beforeLines="40" w:before="96" w:afterLines="40" w:after="96"/>
            </w:pPr>
            <w:r w:rsidRPr="00A422C7">
              <w:t>Level III-2 diagnostic accuracy evidence</w:t>
            </w:r>
          </w:p>
          <w:p w14:paraId="1EB33B8C" w14:textId="7A0C2D7F" w:rsidR="00A81273" w:rsidRPr="00A422C7" w:rsidRDefault="00A81273" w:rsidP="00A422C7">
            <w:pPr>
              <w:pStyle w:val="Tabletext1"/>
              <w:spacing w:beforeLines="40" w:before="96" w:afterLines="40" w:after="96"/>
              <w:ind w:left="-2"/>
            </w:pPr>
            <w:r w:rsidRPr="00A422C7">
              <w:t>Quality: Low risk of bias</w:t>
            </w:r>
          </w:p>
        </w:tc>
        <w:tc>
          <w:tcPr>
            <w:tcW w:w="2563" w:type="dxa"/>
            <w:tcBorders>
              <w:top w:val="single" w:sz="4" w:space="0" w:color="auto"/>
              <w:left w:val="single" w:sz="4" w:space="0" w:color="auto"/>
              <w:bottom w:val="single" w:sz="4" w:space="0" w:color="auto"/>
              <w:right w:val="single" w:sz="4" w:space="0" w:color="auto"/>
            </w:tcBorders>
          </w:tcPr>
          <w:p w14:paraId="5D001A90" w14:textId="77777777" w:rsidR="00A81273" w:rsidRPr="00A422C7" w:rsidRDefault="00A81273" w:rsidP="00A422C7">
            <w:pPr>
              <w:pStyle w:val="Tabletext1"/>
              <w:spacing w:beforeLines="40" w:before="96" w:afterLines="40" w:after="96"/>
              <w:ind w:left="-2"/>
            </w:pPr>
            <w:r w:rsidRPr="00A422C7">
              <w:t>N=56 female post-chemotherapy breast cancer survivors</w:t>
            </w:r>
          </w:p>
          <w:p w14:paraId="6807E2B2" w14:textId="77777777" w:rsidR="00A81273" w:rsidRPr="00A422C7" w:rsidRDefault="00A81273" w:rsidP="00A422C7">
            <w:pPr>
              <w:pStyle w:val="Tabletext1"/>
              <w:spacing w:beforeLines="40" w:before="96" w:afterLines="40" w:after="96"/>
              <w:ind w:left="-2"/>
            </w:pPr>
            <w:r w:rsidRPr="00A422C7">
              <w:t>All subjects underwent cyclophosphamide-based chemotherapy regimens</w:t>
            </w:r>
          </w:p>
          <w:p w14:paraId="1FA68128" w14:textId="77777777" w:rsidR="00574FA2" w:rsidRPr="00A422C7" w:rsidRDefault="00A81273" w:rsidP="00A422C7">
            <w:pPr>
              <w:pStyle w:val="Tabletext1"/>
              <w:spacing w:beforeLines="40" w:before="96" w:afterLines="40" w:after="96"/>
              <w:ind w:left="-2"/>
            </w:pPr>
            <w:r w:rsidRPr="00A422C7">
              <w:t>Median age at chemother</w:t>
            </w:r>
            <w:r w:rsidR="00574FA2" w:rsidRPr="00A422C7">
              <w:t>apy = 43.6 years (range 30–56).</w:t>
            </w:r>
          </w:p>
          <w:p w14:paraId="1190C572" w14:textId="45BA85A9" w:rsidR="00A81273" w:rsidRPr="00A422C7" w:rsidRDefault="00A81273" w:rsidP="00A422C7">
            <w:pPr>
              <w:pStyle w:val="Tabletext1"/>
              <w:spacing w:beforeLines="40" w:before="96" w:afterLines="40" w:after="96"/>
              <w:ind w:left="-2"/>
            </w:pPr>
            <w:r w:rsidRPr="00A422C7">
              <w:t>Median age at study assessment = 48 years (range 35–62)</w:t>
            </w:r>
          </w:p>
        </w:tc>
        <w:tc>
          <w:tcPr>
            <w:tcW w:w="2552" w:type="dxa"/>
            <w:tcBorders>
              <w:top w:val="single" w:sz="4" w:space="0" w:color="auto"/>
              <w:left w:val="single" w:sz="4" w:space="0" w:color="auto"/>
              <w:bottom w:val="single" w:sz="4" w:space="0" w:color="auto"/>
              <w:right w:val="single" w:sz="4" w:space="0" w:color="auto"/>
            </w:tcBorders>
          </w:tcPr>
          <w:p w14:paraId="79F366C6" w14:textId="2596C0A2" w:rsidR="00A81273" w:rsidRPr="00A422C7" w:rsidRDefault="00A81273" w:rsidP="00A422C7">
            <w:pPr>
              <w:pStyle w:val="Tabletext1"/>
              <w:spacing w:beforeLines="40" w:before="96" w:afterLines="40" w:after="96"/>
              <w:ind w:left="-2"/>
            </w:pPr>
            <w:r w:rsidRPr="00A422C7">
              <w:rPr>
                <w:u w:val="single"/>
              </w:rPr>
              <w:t>DSL ACTIVE® AMH/MIS ELISA</w:t>
            </w:r>
          </w:p>
          <w:p w14:paraId="05052164" w14:textId="1698A6E8" w:rsidR="007518CF" w:rsidRPr="00A422C7" w:rsidRDefault="00A81273" w:rsidP="00A422C7">
            <w:pPr>
              <w:pStyle w:val="Tabletext1"/>
              <w:spacing w:beforeLines="40" w:before="96" w:afterLines="40" w:after="96"/>
              <w:ind w:left="-2"/>
            </w:pPr>
            <w:r w:rsidRPr="00A422C7">
              <w:t xml:space="preserve">The lower limit of detection for AMH was 25 pg/mL, and the intra-assay </w:t>
            </w:r>
            <w:r w:rsidR="00776418">
              <w:t>CoV</w:t>
            </w:r>
            <w:r w:rsidRPr="00A422C7">
              <w:t xml:space="preserve"> was 2%.</w:t>
            </w:r>
          </w:p>
          <w:p w14:paraId="5BAE9A3B" w14:textId="1B4D716D" w:rsidR="00A81273" w:rsidRPr="00A422C7" w:rsidRDefault="00A81273" w:rsidP="00A422C7">
            <w:pPr>
              <w:pStyle w:val="Tabletext1"/>
              <w:spacing w:beforeLines="40" w:before="96" w:afterLines="40" w:after="96"/>
              <w:ind w:left="-2"/>
            </w:pPr>
          </w:p>
          <w:p w14:paraId="545FBFAB" w14:textId="0CE5D490" w:rsidR="00A81273" w:rsidRPr="00A422C7" w:rsidRDefault="00A81273" w:rsidP="00A422C7">
            <w:pPr>
              <w:pStyle w:val="Tabletext1"/>
              <w:spacing w:beforeLines="40" w:before="96" w:afterLines="40" w:after="96"/>
              <w:ind w:left="-2"/>
            </w:pPr>
            <w:r w:rsidRPr="00A422C7">
              <w:t>For each measure of ovarian reserve, a cut-point was selected to optimize the positive predictive value for CRA</w:t>
            </w:r>
            <w:r w:rsidR="0064098D">
              <w:t>.</w:t>
            </w:r>
          </w:p>
        </w:tc>
        <w:tc>
          <w:tcPr>
            <w:tcW w:w="2977" w:type="dxa"/>
            <w:tcBorders>
              <w:top w:val="single" w:sz="4" w:space="0" w:color="auto"/>
              <w:left w:val="single" w:sz="4" w:space="0" w:color="auto"/>
              <w:bottom w:val="single" w:sz="4" w:space="0" w:color="auto"/>
              <w:right w:val="single" w:sz="4" w:space="0" w:color="auto"/>
            </w:tcBorders>
          </w:tcPr>
          <w:p w14:paraId="7848F515" w14:textId="1C5E2862" w:rsidR="00A81273" w:rsidRPr="00A422C7" w:rsidRDefault="009D0A93" w:rsidP="00A422C7">
            <w:pPr>
              <w:pStyle w:val="Tabletext1"/>
              <w:spacing w:beforeLines="40" w:before="96" w:afterLines="40" w:after="96"/>
              <w:ind w:left="-2"/>
              <w:rPr>
                <w:u w:val="single"/>
              </w:rPr>
            </w:pPr>
            <w:r w:rsidRPr="00A422C7">
              <w:rPr>
                <w:u w:val="single"/>
              </w:rPr>
              <w:t xml:space="preserve">DSL </w:t>
            </w:r>
            <w:r w:rsidR="003C2616" w:rsidRPr="00A422C7">
              <w:rPr>
                <w:u w:val="single"/>
              </w:rPr>
              <w:t>inhibin B</w:t>
            </w:r>
            <w:r w:rsidRPr="00A422C7">
              <w:rPr>
                <w:u w:val="single"/>
              </w:rPr>
              <w:t xml:space="preserve"> ELISA</w:t>
            </w:r>
          </w:p>
          <w:p w14:paraId="21EF3166" w14:textId="53C4DAC4" w:rsidR="00A81273" w:rsidRPr="00A422C7" w:rsidRDefault="00A81273" w:rsidP="00A422C7">
            <w:pPr>
              <w:pStyle w:val="Tabletext1"/>
              <w:spacing w:beforeLines="40" w:before="96" w:afterLines="40" w:after="96"/>
              <w:ind w:left="-2"/>
            </w:pPr>
            <w:r w:rsidRPr="00A422C7">
              <w:t xml:space="preserve">The intra- and inter-assay </w:t>
            </w:r>
            <w:r w:rsidR="00776418">
              <w:t>CoV</w:t>
            </w:r>
            <w:r w:rsidRPr="00A422C7">
              <w:t xml:space="preserve"> were 7.9% and 8.4%, respectively. The lower limit of detection was 5 pg/mL.</w:t>
            </w:r>
          </w:p>
          <w:p w14:paraId="7046D8D0" w14:textId="77777777" w:rsidR="00A81273" w:rsidRPr="00A422C7" w:rsidRDefault="00A81273" w:rsidP="00A422C7">
            <w:pPr>
              <w:pStyle w:val="Tabletext1"/>
              <w:spacing w:beforeLines="40" w:before="96" w:afterLines="40" w:after="96"/>
              <w:ind w:left="-2"/>
            </w:pPr>
            <w:r w:rsidRPr="00A422C7">
              <w:t>E2 and FSH were measured by radioimmunoassay using Coat-A-Count commercial kits.</w:t>
            </w:r>
          </w:p>
          <w:p w14:paraId="68F89DB2" w14:textId="7ECF517E" w:rsidR="00A81273" w:rsidRPr="00A422C7" w:rsidRDefault="00A81273" w:rsidP="00A422C7">
            <w:pPr>
              <w:pStyle w:val="Tabletext1"/>
              <w:spacing w:beforeLines="40" w:before="96" w:afterLines="40" w:after="96"/>
              <w:ind w:left="-2"/>
            </w:pPr>
            <w:r w:rsidRPr="00A422C7">
              <w:t xml:space="preserve">The intra- and inter-assay </w:t>
            </w:r>
            <w:r w:rsidR="00776418">
              <w:t>CoV</w:t>
            </w:r>
            <w:r w:rsidRPr="00A422C7">
              <w:t xml:space="preserve"> were less than 5%. Values below detection thresholds were given half of the threshold value in analyses</w:t>
            </w:r>
            <w:r w:rsidR="00574FA2" w:rsidRPr="00A422C7">
              <w:t>.</w:t>
            </w:r>
          </w:p>
        </w:tc>
        <w:tc>
          <w:tcPr>
            <w:tcW w:w="1984" w:type="dxa"/>
            <w:tcBorders>
              <w:top w:val="single" w:sz="4" w:space="0" w:color="auto"/>
              <w:left w:val="single" w:sz="4" w:space="0" w:color="auto"/>
              <w:bottom w:val="single" w:sz="4" w:space="0" w:color="auto"/>
              <w:right w:val="single" w:sz="4" w:space="0" w:color="auto"/>
            </w:tcBorders>
          </w:tcPr>
          <w:p w14:paraId="24C69281" w14:textId="77777777" w:rsidR="00A81273" w:rsidRPr="00A422C7" w:rsidRDefault="00A81273" w:rsidP="00A422C7">
            <w:pPr>
              <w:pStyle w:val="Tabletext1"/>
              <w:spacing w:beforeLines="40" w:before="96" w:afterLines="40" w:after="96"/>
              <w:ind w:left="-2"/>
            </w:pPr>
            <w:r w:rsidRPr="00A422C7">
              <w:t>CRA</w:t>
            </w:r>
          </w:p>
          <w:p w14:paraId="70EF145C" w14:textId="77777777" w:rsidR="00A81273" w:rsidRPr="00A422C7" w:rsidRDefault="00A81273" w:rsidP="00A422C7">
            <w:pPr>
              <w:pStyle w:val="Tabletext1"/>
              <w:spacing w:beforeLines="40" w:before="96" w:afterLines="40" w:after="96"/>
              <w:ind w:left="-2"/>
            </w:pPr>
            <w:r w:rsidRPr="00A422C7">
              <w:t>Self-reported menstrual pattern and pelvic ultrasound</w:t>
            </w:r>
          </w:p>
        </w:tc>
        <w:tc>
          <w:tcPr>
            <w:tcW w:w="1134" w:type="dxa"/>
            <w:tcBorders>
              <w:top w:val="single" w:sz="4" w:space="0" w:color="auto"/>
              <w:left w:val="single" w:sz="4" w:space="0" w:color="auto"/>
              <w:bottom w:val="single" w:sz="4" w:space="0" w:color="auto"/>
              <w:right w:val="single" w:sz="4" w:space="0" w:color="auto"/>
            </w:tcBorders>
          </w:tcPr>
          <w:p w14:paraId="1EED01CA" w14:textId="77777777" w:rsidR="00A81273" w:rsidRPr="00A422C7" w:rsidRDefault="00A81273" w:rsidP="00A422C7">
            <w:pPr>
              <w:pStyle w:val="Tabletext1"/>
              <w:spacing w:beforeLines="40" w:before="96" w:afterLines="40" w:after="96"/>
              <w:ind w:left="34"/>
            </w:pPr>
            <w:r w:rsidRPr="00A422C7">
              <w:t>Sensitivity</w:t>
            </w:r>
          </w:p>
          <w:p w14:paraId="056A594F" w14:textId="77777777" w:rsidR="00A81273" w:rsidRPr="00A422C7" w:rsidRDefault="00A81273" w:rsidP="00A422C7">
            <w:pPr>
              <w:pStyle w:val="Tabletext1"/>
              <w:spacing w:beforeLines="40" w:before="96" w:afterLines="40" w:after="96"/>
              <w:ind w:left="34"/>
            </w:pPr>
            <w:r w:rsidRPr="00A422C7">
              <w:t>specificity</w:t>
            </w:r>
          </w:p>
          <w:p w14:paraId="5BF0E4A5" w14:textId="77777777" w:rsidR="00A81273" w:rsidRPr="00A422C7" w:rsidRDefault="00A81273" w:rsidP="00A422C7">
            <w:pPr>
              <w:pStyle w:val="Tabletext1"/>
              <w:spacing w:beforeLines="40" w:before="96" w:afterLines="40" w:after="96"/>
              <w:ind w:left="34"/>
            </w:pPr>
            <w:r w:rsidRPr="00A422C7">
              <w:t>PPV</w:t>
            </w:r>
          </w:p>
          <w:p w14:paraId="43806994" w14:textId="77777777" w:rsidR="00A81273" w:rsidRPr="00A422C7" w:rsidRDefault="00A81273" w:rsidP="00A422C7">
            <w:pPr>
              <w:pStyle w:val="Tabletext1"/>
              <w:spacing w:beforeLines="40" w:before="96" w:afterLines="40" w:after="96"/>
              <w:ind w:left="34"/>
            </w:pPr>
            <w:r w:rsidRPr="00A422C7">
              <w:t>NPV</w:t>
            </w:r>
          </w:p>
        </w:tc>
        <w:tc>
          <w:tcPr>
            <w:tcW w:w="1418" w:type="dxa"/>
            <w:tcBorders>
              <w:top w:val="single" w:sz="4" w:space="0" w:color="auto"/>
              <w:left w:val="single" w:sz="4" w:space="0" w:color="auto"/>
              <w:bottom w:val="single" w:sz="4" w:space="0" w:color="auto"/>
              <w:right w:val="single" w:sz="4" w:space="0" w:color="auto"/>
            </w:tcBorders>
          </w:tcPr>
          <w:p w14:paraId="305F323A" w14:textId="77777777" w:rsidR="00A81273" w:rsidRPr="00A422C7" w:rsidRDefault="00A81273" w:rsidP="00A422C7">
            <w:pPr>
              <w:pStyle w:val="Tabletext1"/>
              <w:spacing w:beforeLines="40" w:before="96" w:afterLines="40" w:after="96"/>
              <w:ind w:left="34"/>
            </w:pPr>
            <w:r w:rsidRPr="00A422C7">
              <w:t>AMH levels</w:t>
            </w:r>
          </w:p>
          <w:p w14:paraId="4F169E48" w14:textId="77777777" w:rsidR="00A81273" w:rsidRPr="00A422C7" w:rsidRDefault="00A81273" w:rsidP="00A422C7">
            <w:pPr>
              <w:pStyle w:val="Tabletext1"/>
              <w:spacing w:beforeLines="40" w:before="96" w:afterLines="40" w:after="96"/>
              <w:ind w:left="34"/>
            </w:pPr>
            <w:r w:rsidRPr="00A422C7">
              <w:t>FSH levels</w:t>
            </w:r>
          </w:p>
          <w:p w14:paraId="31C30760" w14:textId="77777777" w:rsidR="00A81273" w:rsidRPr="00A422C7" w:rsidRDefault="00A81273" w:rsidP="00A422C7">
            <w:pPr>
              <w:pStyle w:val="Tabletext1"/>
              <w:spacing w:beforeLines="40" w:before="96" w:afterLines="40" w:after="96"/>
              <w:ind w:left="34"/>
            </w:pPr>
            <w:r w:rsidRPr="00A422C7">
              <w:t>Inhibin B levels</w:t>
            </w:r>
          </w:p>
          <w:p w14:paraId="21FEB1D6" w14:textId="77777777" w:rsidR="00A81273" w:rsidRPr="00A422C7" w:rsidRDefault="00A81273" w:rsidP="00A422C7">
            <w:pPr>
              <w:pStyle w:val="Tabletext1"/>
              <w:spacing w:beforeLines="40" w:before="96" w:afterLines="40" w:after="96"/>
              <w:ind w:left="34"/>
            </w:pPr>
            <w:r w:rsidRPr="00A422C7">
              <w:t>E2 levels</w:t>
            </w:r>
          </w:p>
          <w:p w14:paraId="42F92EEA" w14:textId="77777777" w:rsidR="00A81273" w:rsidRPr="00A422C7" w:rsidRDefault="00A81273" w:rsidP="00A422C7">
            <w:pPr>
              <w:pStyle w:val="Tabletext1"/>
              <w:spacing w:beforeLines="40" w:before="96" w:afterLines="40" w:after="96"/>
              <w:ind w:left="34"/>
            </w:pPr>
            <w:r w:rsidRPr="00A422C7">
              <w:t>AUC data</w:t>
            </w:r>
          </w:p>
        </w:tc>
      </w:tr>
    </w:tbl>
    <w:p w14:paraId="78F79EF7" w14:textId="48B0466E" w:rsidR="00A81273" w:rsidRPr="00A422C7" w:rsidRDefault="00A81273" w:rsidP="009D0A93">
      <w:pPr>
        <w:pStyle w:val="Tablenotes0"/>
        <w:spacing w:after="0"/>
      </w:pPr>
      <w:r w:rsidRPr="00A422C7">
        <w:t xml:space="preserve">AFC = antral follicle count; AMH = anti-Müllerian hormone; AUC = area under the curve; CRA = chemotherapy-related ovarian failure; </w:t>
      </w:r>
      <w:r w:rsidR="00776418">
        <w:t>CoV</w:t>
      </w:r>
      <w:r w:rsidRPr="00A422C7">
        <w:t xml:space="preserve"> = coefficient</w:t>
      </w:r>
      <w:r w:rsidR="00205BD5">
        <w:t>(s)</w:t>
      </w:r>
      <w:r w:rsidRPr="00A422C7">
        <w:t xml:space="preserve"> of variation; E2 = </w:t>
      </w:r>
      <w:r w:rsidR="00A70795" w:rsidRPr="00A422C7">
        <w:t>estradiol</w:t>
      </w:r>
      <w:r w:rsidRPr="00A422C7">
        <w:t xml:space="preserve">; EIA = enzyme Immunoassay; ELISA = enzyme-linked immunosorbent assay; FSH = follicle-stimulating hormone; </w:t>
      </w:r>
      <w:r w:rsidR="00776418">
        <w:t>LR</w:t>
      </w:r>
      <w:r w:rsidRPr="00A422C7">
        <w:t xml:space="preserve"> = likelihood ratio; LoQ = limit of quantification</w:t>
      </w:r>
      <w:r w:rsidR="00751F07">
        <w:t>;</w:t>
      </w:r>
      <w:r w:rsidRPr="00A422C7">
        <w:t xml:space="preserve"> MII oocytes = mature, metaphase II oocytes; MIS = Mü</w:t>
      </w:r>
      <w:r w:rsidR="005070FC" w:rsidRPr="00A422C7">
        <w:t>llerian-inhibiting</w:t>
      </w:r>
      <w:r w:rsidRPr="00A422C7">
        <w:t xml:space="preserve"> substance; NPV = negative predictive value; PPV = positive predictive value; ROC = r</w:t>
      </w:r>
      <w:r w:rsidR="009D0A93" w:rsidRPr="00A422C7">
        <w:t>eceiver operator characteristic</w:t>
      </w:r>
    </w:p>
    <w:p w14:paraId="18E31867" w14:textId="2AD20273" w:rsidR="009D0A93" w:rsidRPr="0025301A" w:rsidRDefault="00A81273" w:rsidP="009D0A93">
      <w:pPr>
        <w:pStyle w:val="Tablenotes0"/>
        <w:spacing w:after="0"/>
        <w:rPr>
          <w:rStyle w:val="Hyperlink"/>
          <w:color w:val="auto"/>
          <w:u w:val="none"/>
        </w:rPr>
      </w:pPr>
      <w:r w:rsidRPr="00A422C7">
        <w:rPr>
          <w:vertAlign w:val="superscript"/>
        </w:rPr>
        <w:t>a</w:t>
      </w:r>
      <w:r w:rsidR="009D0A93" w:rsidRPr="00A422C7">
        <w:t xml:space="preserve"> S</w:t>
      </w:r>
      <w:r w:rsidRPr="00A422C7">
        <w:t xml:space="preserve">ource: </w:t>
      </w:r>
      <w:r w:rsidR="009D0A93" w:rsidRPr="00A422C7">
        <w:t xml:space="preserve">See </w:t>
      </w:r>
      <w:hyperlink r:id="rId103" w:history="1">
        <w:r w:rsidRPr="0025301A">
          <w:rPr>
            <w:rStyle w:val="Hyperlink"/>
            <w:color w:val="auto"/>
            <w:u w:val="none"/>
          </w:rPr>
          <w:t>NHMRC hierarchy of evidence</w:t>
        </w:r>
      </w:hyperlink>
    </w:p>
    <w:p w14:paraId="6AD45E48" w14:textId="089740A2" w:rsidR="007518CF" w:rsidRPr="00A422C7" w:rsidRDefault="00A81273" w:rsidP="000F1B86">
      <w:pPr>
        <w:pStyle w:val="Tablenotes0"/>
        <w:spacing w:after="240"/>
      </w:pPr>
      <w:r w:rsidRPr="00A422C7">
        <w:rPr>
          <w:vertAlign w:val="superscript"/>
        </w:rPr>
        <w:t>b</w:t>
      </w:r>
      <w:r w:rsidR="009D0A93" w:rsidRPr="00A422C7">
        <w:t xml:space="preserve"> R</w:t>
      </w:r>
      <w:r w:rsidRPr="00A422C7">
        <w:t>isk of bias as it relates to primary outcomes of the systematic review</w:t>
      </w:r>
    </w:p>
    <w:p w14:paraId="11A2ECD2" w14:textId="30DEB50C" w:rsidR="00A81273" w:rsidRPr="00A422C7" w:rsidRDefault="00A81273" w:rsidP="00A81273">
      <w:pPr>
        <w:pStyle w:val="TableHeading"/>
      </w:pPr>
      <w:bookmarkStart w:id="513" w:name="_Toc502833101"/>
      <w:r w:rsidRPr="00A422C7">
        <w:lastRenderedPageBreak/>
        <w:t xml:space="preserve">Table </w:t>
      </w:r>
      <w:r w:rsidR="00AC4BE5">
        <w:fldChar w:fldCharType="begin"/>
      </w:r>
      <w:r w:rsidR="00AC4BE5">
        <w:instrText xml:space="preserve"> SEQ Table \* ARABIC </w:instrText>
      </w:r>
      <w:r w:rsidR="00AC4BE5">
        <w:fldChar w:fldCharType="separate"/>
      </w:r>
      <w:r w:rsidR="00AC4BE5">
        <w:rPr>
          <w:noProof/>
        </w:rPr>
        <w:t>83</w:t>
      </w:r>
      <w:r w:rsidR="00AC4BE5">
        <w:rPr>
          <w:noProof/>
        </w:rPr>
        <w:fldChar w:fldCharType="end"/>
      </w:r>
      <w:r w:rsidRPr="00A422C7">
        <w:tab/>
        <w:t>Profiles of studies on diagnostic concordance between different AMH tests included in the systematic literature review</w:t>
      </w:r>
      <w:bookmarkEnd w:id="513"/>
    </w:p>
    <w:tbl>
      <w:tblPr>
        <w:tblW w:w="15163" w:type="dxa"/>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202"/>
        <w:gridCol w:w="1440"/>
        <w:gridCol w:w="2814"/>
        <w:gridCol w:w="8431"/>
        <w:gridCol w:w="1276"/>
      </w:tblGrid>
      <w:tr w:rsidR="00A81273" w:rsidRPr="00A422C7" w14:paraId="3705D341" w14:textId="77777777" w:rsidTr="00462566">
        <w:trPr>
          <w:trHeight w:val="688"/>
          <w:tblHeader/>
        </w:trPr>
        <w:tc>
          <w:tcPr>
            <w:tcW w:w="0" w:type="auto"/>
            <w:tcBorders>
              <w:top w:val="single" w:sz="4" w:space="0" w:color="auto"/>
              <w:left w:val="single" w:sz="4" w:space="0" w:color="auto"/>
              <w:bottom w:val="single" w:sz="4" w:space="0" w:color="auto"/>
              <w:right w:val="single" w:sz="4" w:space="0" w:color="auto"/>
            </w:tcBorders>
          </w:tcPr>
          <w:p w14:paraId="3263EBE3" w14:textId="35080C7D" w:rsidR="00A81273" w:rsidRPr="00260996" w:rsidRDefault="00A81273" w:rsidP="00260996">
            <w:pPr>
              <w:pStyle w:val="TableText0"/>
              <w:rPr>
                <w:b/>
              </w:rPr>
            </w:pPr>
            <w:r w:rsidRPr="00260996">
              <w:rPr>
                <w:b/>
              </w:rPr>
              <w:t>Authors</w:t>
            </w:r>
          </w:p>
          <w:p w14:paraId="7A80AA09" w14:textId="77777777" w:rsidR="00814320" w:rsidRPr="00260996" w:rsidRDefault="00814320" w:rsidP="00260996">
            <w:pPr>
              <w:pStyle w:val="TableText0"/>
              <w:rPr>
                <w:b/>
              </w:rPr>
            </w:pPr>
            <w:r w:rsidRPr="00260996">
              <w:rPr>
                <w:b/>
              </w:rPr>
              <w:t>Publication</w:t>
            </w:r>
          </w:p>
          <w:p w14:paraId="3E5D34C3" w14:textId="58E169C6" w:rsidR="00A81273" w:rsidRPr="00260996" w:rsidRDefault="00A81273" w:rsidP="00260996">
            <w:pPr>
              <w:pStyle w:val="TableText0"/>
              <w:rPr>
                <w:b/>
              </w:rPr>
            </w:pPr>
            <w:r w:rsidRPr="00260996">
              <w:rPr>
                <w:b/>
              </w:rPr>
              <w:t>Year</w:t>
            </w:r>
          </w:p>
          <w:p w14:paraId="18BDF9C1" w14:textId="77777777" w:rsidR="00A81273" w:rsidRPr="00260996" w:rsidRDefault="00A81273" w:rsidP="00260996">
            <w:pPr>
              <w:pStyle w:val="TableText0"/>
              <w:rPr>
                <w:b/>
              </w:rPr>
            </w:pPr>
            <w:r w:rsidRPr="00260996">
              <w:rPr>
                <w:b/>
              </w:rPr>
              <w:t>Location</w:t>
            </w:r>
          </w:p>
        </w:tc>
        <w:tc>
          <w:tcPr>
            <w:tcW w:w="1440" w:type="dxa"/>
            <w:tcBorders>
              <w:top w:val="single" w:sz="4" w:space="0" w:color="auto"/>
              <w:left w:val="single" w:sz="4" w:space="0" w:color="auto"/>
              <w:bottom w:val="single" w:sz="4" w:space="0" w:color="auto"/>
              <w:right w:val="single" w:sz="4" w:space="0" w:color="auto"/>
            </w:tcBorders>
          </w:tcPr>
          <w:p w14:paraId="251C2C7E" w14:textId="03261AC4" w:rsidR="00E74EB5" w:rsidRPr="00260996" w:rsidRDefault="00E74EB5" w:rsidP="00260996">
            <w:pPr>
              <w:pStyle w:val="TableText0"/>
              <w:rPr>
                <w:b/>
              </w:rPr>
            </w:pPr>
            <w:r w:rsidRPr="00260996">
              <w:rPr>
                <w:b/>
              </w:rPr>
              <w:t>Study design</w:t>
            </w:r>
            <w:r w:rsidR="00A81273" w:rsidRPr="00260996">
              <w:rPr>
                <w:b/>
              </w:rPr>
              <w:t xml:space="preserve"> </w:t>
            </w:r>
            <w:r w:rsidRPr="00260996">
              <w:rPr>
                <w:b/>
              </w:rPr>
              <w:t>L</w:t>
            </w:r>
            <w:r w:rsidR="00A81273" w:rsidRPr="00260996">
              <w:rPr>
                <w:b/>
              </w:rPr>
              <w:t>evel of evidence</w:t>
            </w:r>
            <w:r w:rsidR="00A81273" w:rsidRPr="00260996">
              <w:rPr>
                <w:b/>
                <w:vertAlign w:val="superscript"/>
              </w:rPr>
              <w:t>a</w:t>
            </w:r>
          </w:p>
          <w:p w14:paraId="4B231D94" w14:textId="1D421F5B" w:rsidR="00A81273" w:rsidRPr="00260996" w:rsidRDefault="00E74EB5" w:rsidP="00260996">
            <w:pPr>
              <w:pStyle w:val="TableText0"/>
              <w:rPr>
                <w:b/>
              </w:rPr>
            </w:pPr>
            <w:r w:rsidRPr="00260996">
              <w:rPr>
                <w:b/>
              </w:rPr>
              <w:t>R</w:t>
            </w:r>
            <w:r w:rsidR="00A81273" w:rsidRPr="00260996">
              <w:rPr>
                <w:b/>
              </w:rPr>
              <w:t>isk of bias</w:t>
            </w:r>
            <w:r w:rsidR="00A81273" w:rsidRPr="00260996">
              <w:rPr>
                <w:b/>
                <w:vertAlign w:val="superscript"/>
              </w:rPr>
              <w:t>b</w:t>
            </w:r>
          </w:p>
        </w:tc>
        <w:tc>
          <w:tcPr>
            <w:tcW w:w="2814" w:type="dxa"/>
            <w:tcBorders>
              <w:top w:val="single" w:sz="4" w:space="0" w:color="auto"/>
              <w:left w:val="single" w:sz="4" w:space="0" w:color="auto"/>
              <w:bottom w:val="single" w:sz="4" w:space="0" w:color="auto"/>
              <w:right w:val="single" w:sz="4" w:space="0" w:color="auto"/>
            </w:tcBorders>
          </w:tcPr>
          <w:p w14:paraId="1D32A703" w14:textId="77777777" w:rsidR="00A81273" w:rsidRPr="00260996" w:rsidRDefault="00A81273" w:rsidP="00260996">
            <w:pPr>
              <w:pStyle w:val="TableText0"/>
              <w:rPr>
                <w:b/>
              </w:rPr>
            </w:pPr>
            <w:r w:rsidRPr="00260996">
              <w:rPr>
                <w:b/>
              </w:rPr>
              <w:t>Study population characteristics</w:t>
            </w:r>
          </w:p>
        </w:tc>
        <w:tc>
          <w:tcPr>
            <w:tcW w:w="8431" w:type="dxa"/>
            <w:tcBorders>
              <w:top w:val="single" w:sz="4" w:space="0" w:color="auto"/>
              <w:left w:val="single" w:sz="4" w:space="0" w:color="auto"/>
              <w:bottom w:val="single" w:sz="4" w:space="0" w:color="auto"/>
              <w:right w:val="single" w:sz="4" w:space="0" w:color="auto"/>
            </w:tcBorders>
          </w:tcPr>
          <w:p w14:paraId="3B3DD550" w14:textId="77777777" w:rsidR="00A81273" w:rsidRPr="00260996" w:rsidRDefault="00A81273" w:rsidP="00260996">
            <w:pPr>
              <w:pStyle w:val="TableText0"/>
              <w:rPr>
                <w:b/>
              </w:rPr>
            </w:pPr>
            <w:r w:rsidRPr="00260996">
              <w:rPr>
                <w:b/>
              </w:rPr>
              <w:t>AMH tests</w:t>
            </w:r>
          </w:p>
        </w:tc>
        <w:tc>
          <w:tcPr>
            <w:tcW w:w="1276" w:type="dxa"/>
            <w:tcBorders>
              <w:top w:val="single" w:sz="4" w:space="0" w:color="auto"/>
              <w:left w:val="single" w:sz="4" w:space="0" w:color="auto"/>
              <w:bottom w:val="single" w:sz="4" w:space="0" w:color="auto"/>
              <w:right w:val="single" w:sz="4" w:space="0" w:color="auto"/>
            </w:tcBorders>
          </w:tcPr>
          <w:p w14:paraId="4E2D32E1" w14:textId="77777777" w:rsidR="00A81273" w:rsidRPr="00260996" w:rsidRDefault="00A81273" w:rsidP="00260996">
            <w:pPr>
              <w:pStyle w:val="TableText0"/>
              <w:rPr>
                <w:b/>
              </w:rPr>
            </w:pPr>
            <w:r w:rsidRPr="00260996">
              <w:rPr>
                <w:b/>
              </w:rPr>
              <w:t>Measurement of relevant outcomes</w:t>
            </w:r>
          </w:p>
        </w:tc>
      </w:tr>
      <w:tr w:rsidR="00A81273" w:rsidRPr="00A422C7" w14:paraId="2DAE91E9"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134C434A" w14:textId="348A53F3" w:rsidR="00835BA6" w:rsidRDefault="00835BA6" w:rsidP="00835BA6">
            <w:pPr>
              <w:spacing w:before="40" w:after="40" w:line="240" w:lineRule="auto"/>
              <w:rPr>
                <w:rFonts w:ascii="Arial Narrow" w:hAnsi="Arial Narrow"/>
                <w:sz w:val="20"/>
              </w:rPr>
            </w:pPr>
            <w:r w:rsidRPr="005F60F1">
              <w:rPr>
                <w:rFonts w:ascii="Arial Narrow" w:hAnsi="Arial Narrow"/>
                <w:sz w:val="20"/>
              </w:rPr>
              <w:t xml:space="preserve">de Souza et al. </w:t>
            </w:r>
            <w:r>
              <w:rPr>
                <w:rFonts w:ascii="Arial Narrow" w:hAnsi="Arial Narrow"/>
                <w:sz w:val="20"/>
              </w:rPr>
              <w:fldChar w:fldCharType="begin"/>
            </w:r>
            <w:r>
              <w:rPr>
                <w:rFonts w:ascii="Arial Narrow" w:hAnsi="Arial Narrow"/>
                <w:sz w:val="20"/>
              </w:rPr>
              <w:instrText xml:space="preserve"> ADDIN EN.CITE &lt;EndNote&gt;&lt;Cite ExcludeAuth="1"&gt;&lt;Author&gt;de Souza&lt;/Author&gt;&lt;Year&gt;2015&lt;/Year&gt;&lt;RecNum&gt;112&lt;/RecNum&gt;&lt;IDText&gt;1795-1799&lt;/IDText&gt;&lt;DisplayText&gt;(2015)&lt;/DisplayText&gt;&lt;record&gt;&lt;rec-number&gt;112&lt;/rec-number&gt;&lt;foreign-keys&gt;&lt;key app="EN" db-id="s2dftfxw1fvsr1efx58vfvxtvfwzxea0td02" timestamp="1511748069"&gt;112&lt;/key&gt;&lt;/foreign-keys&gt;&lt;ref-type name="Journal Article"&gt;17&lt;/ref-type&gt;&lt;contributors&gt;&lt;authors&gt;&lt;author&gt;de Souza, F. H. C.&lt;/author&gt;&lt;author&gt;da Silva, C. A.&lt;/author&gt;&lt;author&gt;Yamakami, L. Y. S.&lt;/author&gt;&lt;author&gt;dos Santos Trindade Viana, V.&lt;/author&gt;&lt;author&gt;Bonfá, E.&lt;/author&gt;&lt;author&gt;Shinjo, S. K.&lt;/author&gt;&lt;/authors&gt;&lt;/contributors&gt;&lt;titles&gt;&lt;title&gt;Reduced ovarian reserve in patients with adult polymyositis&lt;/title&gt;&lt;secondary-title&gt;Clinical Rheumatology&lt;/secondary-title&gt;&lt;/titles&gt;&lt;periodical&gt;&lt;full-title&gt;Clinical Rheumatology&lt;/full-title&gt;&lt;/periodical&gt;&lt;pages&gt;1795-1799&lt;/pages&gt;&lt;volume&gt;34&lt;/volume&gt;&lt;number&gt;10&lt;/number&gt;&lt;keywords&gt;&lt;keyword&gt;Enzyme-Linked Immunosorbent Assay&lt;/keyword&gt;&lt;keyword&gt;Adult&lt;/keyword&gt;&lt;keyword&gt;Menstrual Cycle&lt;/keyword&gt;&lt;keyword&gt;Follicle Stimulating Hormone&lt;/keyword&gt;&lt;keyword&gt;Polymyositis&lt;/keyword&gt;&lt;keyword&gt;Estradiol&lt;/keyword&gt;&lt;/keywords&gt;&lt;dates&gt;&lt;year&gt;2015&lt;/year&gt;&lt;pub-dates&gt;&lt;date&gt;2015-1-1&lt;/date&gt;&lt;/pub-dates&gt;&lt;/dates&gt;&lt;accession-num&gt;rayyan-6673564&lt;/accession-num&gt;&lt;urls&gt;&lt;related-urls&gt;&lt;url&gt;http://www.embase.com/search/results?subaction=viewrecord&amp;amp;from=export&amp;amp;id=L605921580 http://dx.doi.org/10.1007/s10067-015-3064-1&lt;/url&gt;&lt;url&gt;https://link.springer.com/content/pdf/10.1007%2Fs10067-015-3064-1.pdf&lt;/url&gt;&lt;/related-urls&gt;&lt;/urls&gt;&lt;custom1&gt;RAYYAN-INCLUSION: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16" w:tooltip="de Souza, 2015 #112" w:history="1">
              <w:r>
                <w:rPr>
                  <w:rFonts w:ascii="Arial Narrow" w:hAnsi="Arial Narrow"/>
                  <w:noProof/>
                  <w:sz w:val="20"/>
                </w:rPr>
                <w:t>2015</w:t>
              </w:r>
            </w:hyperlink>
            <w:r>
              <w:rPr>
                <w:rFonts w:ascii="Arial Narrow" w:hAnsi="Arial Narrow"/>
                <w:noProof/>
                <w:sz w:val="20"/>
              </w:rPr>
              <w:t>)</w:t>
            </w:r>
            <w:r>
              <w:rPr>
                <w:rFonts w:ascii="Arial Narrow" w:hAnsi="Arial Narrow"/>
                <w:sz w:val="20"/>
              </w:rPr>
              <w:fldChar w:fldCharType="end"/>
            </w:r>
          </w:p>
          <w:p w14:paraId="3B27CD87" w14:textId="6FBE2A33" w:rsidR="00A81273" w:rsidRPr="00A422C7" w:rsidRDefault="00835BA6" w:rsidP="00835BA6">
            <w:pPr>
              <w:pStyle w:val="Tabletext1"/>
            </w:pPr>
            <w:r>
              <w:t>Brazil</w:t>
            </w:r>
          </w:p>
        </w:tc>
        <w:tc>
          <w:tcPr>
            <w:tcW w:w="1440" w:type="dxa"/>
            <w:tcBorders>
              <w:top w:val="single" w:sz="4" w:space="0" w:color="auto"/>
              <w:left w:val="single" w:sz="4" w:space="0" w:color="auto"/>
              <w:bottom w:val="single" w:sz="4" w:space="0" w:color="auto"/>
            </w:tcBorders>
          </w:tcPr>
          <w:p w14:paraId="010485A5" w14:textId="77777777" w:rsidR="00A81273" w:rsidRPr="00A422C7" w:rsidRDefault="00A81273" w:rsidP="00462566">
            <w:pPr>
              <w:pStyle w:val="Tabletext1"/>
            </w:pPr>
            <w:r w:rsidRPr="00A422C7">
              <w:t>Case series</w:t>
            </w:r>
          </w:p>
          <w:p w14:paraId="2587B700" w14:textId="77777777" w:rsidR="00A81273" w:rsidRPr="00A422C7" w:rsidRDefault="00A81273" w:rsidP="00462566">
            <w:pPr>
              <w:pStyle w:val="Tabletext1"/>
            </w:pPr>
            <w:r w:rsidRPr="00A422C7">
              <w:t>Quality: Low risk of bias</w:t>
            </w:r>
          </w:p>
        </w:tc>
        <w:tc>
          <w:tcPr>
            <w:tcW w:w="2814" w:type="dxa"/>
            <w:tcBorders>
              <w:top w:val="single" w:sz="4" w:space="0" w:color="auto"/>
              <w:left w:val="single" w:sz="4" w:space="0" w:color="auto"/>
              <w:bottom w:val="single" w:sz="4" w:space="0" w:color="auto"/>
              <w:right w:val="single" w:sz="4" w:space="0" w:color="auto"/>
            </w:tcBorders>
          </w:tcPr>
          <w:p w14:paraId="62844D58" w14:textId="77777777" w:rsidR="00A81273" w:rsidRPr="00A422C7" w:rsidRDefault="00A81273" w:rsidP="00462566">
            <w:pPr>
              <w:pStyle w:val="Tabletext1"/>
            </w:pPr>
            <w:r w:rsidRPr="00A422C7">
              <w:t>N=8 8 female polymyositis patients who are or had treatment with immunosuppressive agents and corticosteroids</w:t>
            </w:r>
          </w:p>
          <w:p w14:paraId="08982637" w14:textId="3FEF690F" w:rsidR="00A81273" w:rsidRPr="00A422C7" w:rsidRDefault="00A81273" w:rsidP="00462566">
            <w:pPr>
              <w:pStyle w:val="Tabletext1"/>
            </w:pPr>
            <w:r w:rsidRPr="00A422C7">
              <w:t>Mean age = 31.4</w:t>
            </w:r>
            <w:r w:rsidR="00CB05BE" w:rsidRPr="00A422C7">
              <w:t> ± </w:t>
            </w:r>
            <w:r w:rsidRPr="00A422C7">
              <w:t>6.5 years</w:t>
            </w:r>
          </w:p>
          <w:p w14:paraId="4FFEC3BA" w14:textId="77777777" w:rsidR="00A81273" w:rsidRPr="00A422C7" w:rsidRDefault="00A81273" w:rsidP="00462566">
            <w:pPr>
              <w:pStyle w:val="Tabletext1"/>
            </w:pPr>
            <w:r w:rsidRPr="00A422C7">
              <w:t>N=16 healthy volunteer age-matched women</w:t>
            </w:r>
          </w:p>
          <w:p w14:paraId="7BA795CD" w14:textId="75EB4405" w:rsidR="00A81273" w:rsidRPr="00A422C7" w:rsidRDefault="00A81273" w:rsidP="00462566">
            <w:pPr>
              <w:pStyle w:val="Tabletext1"/>
            </w:pPr>
            <w:r w:rsidRPr="00A422C7">
              <w:t>Mean age = 30.7</w:t>
            </w:r>
            <w:r w:rsidR="00CB05BE" w:rsidRPr="00A422C7">
              <w:t> ± </w:t>
            </w:r>
            <w:r w:rsidRPr="00A422C7">
              <w:t>6.2 years</w:t>
            </w:r>
          </w:p>
        </w:tc>
        <w:tc>
          <w:tcPr>
            <w:tcW w:w="8431" w:type="dxa"/>
            <w:tcBorders>
              <w:top w:val="single" w:sz="4" w:space="0" w:color="auto"/>
              <w:left w:val="single" w:sz="4" w:space="0" w:color="auto"/>
              <w:bottom w:val="single" w:sz="4" w:space="0" w:color="auto"/>
              <w:right w:val="single" w:sz="4" w:space="0" w:color="auto"/>
            </w:tcBorders>
          </w:tcPr>
          <w:p w14:paraId="672AD481" w14:textId="77777777" w:rsidR="00A81273" w:rsidRPr="00A422C7" w:rsidRDefault="00A81273" w:rsidP="00462566">
            <w:pPr>
              <w:pStyle w:val="Tabletext1"/>
            </w:pPr>
            <w:r w:rsidRPr="00A422C7">
              <w:t>Ovarian function was assessed by determining serum hormone levels during the early follicular phase of the menstrual cycle and was blinded to the other parameters of ovarian function.</w:t>
            </w:r>
          </w:p>
          <w:p w14:paraId="71273C97" w14:textId="77777777" w:rsidR="00A81273" w:rsidRPr="00A422C7" w:rsidRDefault="00A81273" w:rsidP="00462566">
            <w:pPr>
              <w:pStyle w:val="Tabletext1"/>
            </w:pPr>
            <w:r w:rsidRPr="00A422C7">
              <w:t>AMH levels were evaluated in duplicate samples by two different AMH tests</w:t>
            </w:r>
          </w:p>
          <w:p w14:paraId="094C63FF" w14:textId="77777777" w:rsidR="00A81273" w:rsidRPr="00A422C7" w:rsidRDefault="00A81273" w:rsidP="00462566">
            <w:pPr>
              <w:pStyle w:val="Tabletext1"/>
              <w:rPr>
                <w:b/>
              </w:rPr>
            </w:pPr>
            <w:r w:rsidRPr="00A422C7">
              <w:rPr>
                <w:b/>
              </w:rPr>
              <w:t>AMH Gen II ELISA</w:t>
            </w:r>
          </w:p>
          <w:p w14:paraId="52A4D9EB" w14:textId="356DE035" w:rsidR="00A81273" w:rsidRPr="00A422C7" w:rsidRDefault="00A81273" w:rsidP="00462566">
            <w:pPr>
              <w:pStyle w:val="Tabletext1"/>
            </w:pPr>
            <w:r w:rsidRPr="00A422C7">
              <w:t xml:space="preserve">Intra- and inter-assay </w:t>
            </w:r>
            <w:r w:rsidR="00776418">
              <w:t>CoV</w:t>
            </w:r>
            <w:r w:rsidRPr="00A422C7">
              <w:t>s were limited to 5.4% and 5.6 %, respectively.</w:t>
            </w:r>
          </w:p>
          <w:p w14:paraId="1948F3A0" w14:textId="77777777" w:rsidR="00A81273" w:rsidRPr="00A422C7" w:rsidRDefault="00A81273" w:rsidP="00462566">
            <w:pPr>
              <w:pStyle w:val="Tabletext1"/>
              <w:rPr>
                <w:b/>
              </w:rPr>
            </w:pPr>
            <w:r w:rsidRPr="00A422C7">
              <w:rPr>
                <w:b/>
              </w:rPr>
              <w:t>Ultrasensitive AMH ELISA</w:t>
            </w:r>
          </w:p>
          <w:p w14:paraId="1EB70024" w14:textId="34CDF8AC" w:rsidR="00A81273" w:rsidRPr="00A422C7" w:rsidRDefault="00A81273" w:rsidP="00462566">
            <w:pPr>
              <w:pStyle w:val="Tabletext1"/>
            </w:pPr>
            <w:r w:rsidRPr="00A422C7">
              <w:t xml:space="preserve">Intra- and inter-assay </w:t>
            </w:r>
            <w:r w:rsidR="00776418">
              <w:t>CoV</w:t>
            </w:r>
            <w:r w:rsidRPr="00A422C7">
              <w:t>s were limited to 3.1 and 2.7 %, respectively.</w:t>
            </w:r>
          </w:p>
          <w:p w14:paraId="6D8D35B3" w14:textId="77777777" w:rsidR="00A81273" w:rsidRPr="00A422C7" w:rsidRDefault="00A81273" w:rsidP="00462566">
            <w:pPr>
              <w:pStyle w:val="Tabletext1"/>
            </w:pPr>
            <w:r w:rsidRPr="00A422C7">
              <w:t>AMH levels less than 1.0 ng/mL were regarded as low as suggested by the manufacturers of both ELISA tests.</w:t>
            </w:r>
          </w:p>
        </w:tc>
        <w:tc>
          <w:tcPr>
            <w:tcW w:w="1276" w:type="dxa"/>
            <w:tcBorders>
              <w:top w:val="single" w:sz="4" w:space="0" w:color="auto"/>
              <w:left w:val="single" w:sz="4" w:space="0" w:color="auto"/>
              <w:bottom w:val="single" w:sz="4" w:space="0" w:color="auto"/>
              <w:right w:val="single" w:sz="4" w:space="0" w:color="auto"/>
            </w:tcBorders>
          </w:tcPr>
          <w:p w14:paraId="5D51FEF3" w14:textId="77777777" w:rsidR="00A81273" w:rsidRPr="00A422C7" w:rsidRDefault="00A81273" w:rsidP="00462566">
            <w:pPr>
              <w:pStyle w:val="Tabletext1"/>
            </w:pPr>
            <w:r w:rsidRPr="00A422C7">
              <w:t>Correlation: Spearman’s rank correlation test</w:t>
            </w:r>
          </w:p>
        </w:tc>
      </w:tr>
      <w:tr w:rsidR="00A81273" w:rsidRPr="00A422C7" w14:paraId="0327E3B2"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6BDF47CE" w14:textId="47E18BE4" w:rsidR="00835BA6" w:rsidRDefault="00835BA6" w:rsidP="00835BA6">
            <w:pPr>
              <w:spacing w:before="40" w:after="40" w:line="240" w:lineRule="auto"/>
              <w:rPr>
                <w:rFonts w:ascii="Arial Narrow" w:hAnsi="Arial Narrow"/>
                <w:sz w:val="20"/>
              </w:rPr>
            </w:pPr>
            <w:r w:rsidRPr="00506E96">
              <w:rPr>
                <w:rFonts w:ascii="Arial Narrow" w:hAnsi="Arial Narrow"/>
                <w:sz w:val="20"/>
              </w:rPr>
              <w:t xml:space="preserve">Su et al. </w:t>
            </w:r>
            <w:r>
              <w:rPr>
                <w:rFonts w:ascii="Arial Narrow" w:hAnsi="Arial Narrow"/>
                <w:sz w:val="20"/>
              </w:rPr>
              <w:fldChar w:fldCharType="begin"/>
            </w:r>
            <w:r>
              <w:rPr>
                <w:rFonts w:ascii="Arial Narrow" w:hAnsi="Arial Narrow"/>
                <w:sz w:val="20"/>
              </w:rPr>
              <w:instrText xml:space="preserve"> ADDIN EN.CITE &lt;EndNote&gt;&lt;Cite ExcludeAuth="1"&gt;&lt;Author&gt;Su&lt;/Author&gt;&lt;Year&gt;2014&lt;/Year&gt;&lt;RecNum&gt;337&lt;/RecNum&gt;&lt;IDText&gt;1766-U352&lt;/IDText&gt;&lt;DisplayText&gt;(2014)&lt;/DisplayText&gt;&lt;record&gt;&lt;rec-number&gt;337&lt;/rec-number&gt;&lt;foreign-keys&gt;&lt;key app="EN" db-id="s2dftfxw1fvsr1efx58vfvxtvfwzxea0td02" timestamp="1511748097"&gt;337&lt;/key&gt;&lt;/foreign-keys&gt;&lt;ref-type name="Journal Article"&gt;17&lt;/ref-type&gt;&lt;contributors&gt;&lt;authors&gt;&lt;author&gt;Su, H. I.&lt;/author&gt;&lt;author&gt;Sammel, M. D.&lt;/author&gt;&lt;author&gt;Homer, M. V.&lt;/author&gt;&lt;author&gt;Bui, K.&lt;/author&gt;&lt;author&gt;Haunschild, C.&lt;/author&gt;&lt;author&gt;Stanczyk, F. Z.&lt;/author&gt;&lt;/authors&gt;&lt;/contributors&gt;&lt;titles&gt;&lt;title&gt;Comparability of antimullerian hormone levels among commercially available immunoassays&lt;/title&gt;&lt;secondary-title&gt;Fertility and Sterility&lt;/secondary-title&gt;&lt;/titles&gt;&lt;periodical&gt;&lt;full-title&gt;Fertility and Sterility&lt;/full-title&gt;&lt;/periodical&gt;&lt;pages&gt;1766-U352&lt;/pages&gt;&lt;volume&gt;101&lt;/volume&gt;&lt;number&gt;6&lt;/number&gt;&lt;keywords&gt;&lt;keyword&gt;Cesarean Section&lt;/keyword&gt;&lt;keyword&gt;Breast Neoplasms&lt;/keyword&gt;&lt;keyword&gt;Immunoassay&lt;/keyword&gt;&lt;/keywords&gt;&lt;dates&gt;&lt;year&gt;2014&lt;/year&gt;&lt;pub-dates&gt;&lt;date&gt;2014-1-1&lt;/date&gt;&lt;/pub-dates&gt;&lt;/dates&gt;&lt;isbn&gt;0015-0282&lt;/isbn&gt;&lt;accession-num&gt;rayyan-6678847&lt;/accession-num&gt;&lt;urls&gt;&lt;related-urls&gt;&lt;url&gt;&amp;lt;Go to ISI&amp;gt;://WOS:000337364300050&lt;/url&gt;&lt;url&gt;https://www.ncbi.nlm.nih.gov/pmc/articles/PMC4334563/pdf/nihms663264.pdf&lt;/url&gt;&lt;/related-urls&gt;&lt;/urls&gt;&lt;custom1&gt;RAYYAN-INCLUSION: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67" w:tooltip="Su, 2014 #337" w:history="1">
              <w:r>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p>
          <w:p w14:paraId="7ED4290E" w14:textId="6FD2920F" w:rsidR="00A81273" w:rsidRPr="00A422C7" w:rsidRDefault="00835BA6" w:rsidP="00835BA6">
            <w:pPr>
              <w:spacing w:before="40" w:after="40" w:line="240" w:lineRule="auto"/>
              <w:rPr>
                <w:rFonts w:ascii="Arial Narrow" w:hAnsi="Arial Narrow"/>
                <w:sz w:val="20"/>
              </w:rPr>
            </w:pPr>
            <w:r>
              <w:rPr>
                <w:rFonts w:ascii="Arial Narrow" w:hAnsi="Arial Narrow"/>
                <w:sz w:val="20"/>
              </w:rPr>
              <w:t>USA</w:t>
            </w:r>
          </w:p>
        </w:tc>
        <w:tc>
          <w:tcPr>
            <w:tcW w:w="1440" w:type="dxa"/>
            <w:tcBorders>
              <w:top w:val="single" w:sz="4" w:space="0" w:color="auto"/>
              <w:left w:val="single" w:sz="4" w:space="0" w:color="auto"/>
              <w:bottom w:val="single" w:sz="4" w:space="0" w:color="auto"/>
            </w:tcBorders>
          </w:tcPr>
          <w:p w14:paraId="2C37F346" w14:textId="77777777" w:rsidR="00A81273" w:rsidRPr="00A422C7" w:rsidRDefault="00A81273" w:rsidP="00462566">
            <w:pPr>
              <w:pStyle w:val="Tabletext1"/>
            </w:pPr>
            <w:r w:rsidRPr="00A422C7">
              <w:t>Case series</w:t>
            </w:r>
          </w:p>
          <w:p w14:paraId="797CA190" w14:textId="77777777" w:rsidR="00A81273" w:rsidRPr="00A422C7" w:rsidRDefault="00A81273" w:rsidP="00462566">
            <w:pPr>
              <w:pStyle w:val="Tabletext1"/>
            </w:pPr>
            <w:r w:rsidRPr="00A422C7">
              <w:t>Quality: Low risk of bias</w:t>
            </w:r>
          </w:p>
        </w:tc>
        <w:tc>
          <w:tcPr>
            <w:tcW w:w="2814" w:type="dxa"/>
            <w:tcBorders>
              <w:top w:val="single" w:sz="4" w:space="0" w:color="auto"/>
              <w:left w:val="single" w:sz="4" w:space="0" w:color="auto"/>
              <w:bottom w:val="single" w:sz="4" w:space="0" w:color="auto"/>
              <w:right w:val="single" w:sz="4" w:space="0" w:color="auto"/>
            </w:tcBorders>
          </w:tcPr>
          <w:p w14:paraId="3D4F090C" w14:textId="77777777" w:rsidR="00A81273" w:rsidRPr="00A422C7" w:rsidRDefault="00A81273" w:rsidP="00462566">
            <w:pPr>
              <w:pStyle w:val="Tabletext1"/>
            </w:pPr>
            <w:r w:rsidRPr="00A422C7">
              <w:t>N=90 newly diagnosed breast cancer patients prior to cancer treatment</w:t>
            </w:r>
          </w:p>
          <w:p w14:paraId="1C1AF564" w14:textId="77777777" w:rsidR="00A81273" w:rsidRPr="00A422C7" w:rsidRDefault="00A81273" w:rsidP="00462566">
            <w:pPr>
              <w:pStyle w:val="Tabletext1"/>
            </w:pPr>
            <w:r w:rsidRPr="00A422C7">
              <w:t>Mean age = 38.3 years</w:t>
            </w:r>
          </w:p>
          <w:p w14:paraId="5144C39C" w14:textId="77777777" w:rsidR="00A81273" w:rsidRPr="00A422C7" w:rsidRDefault="00A81273" w:rsidP="00462566">
            <w:pPr>
              <w:pStyle w:val="Tabletext1"/>
            </w:pPr>
            <w:r w:rsidRPr="00A422C7">
              <w:t>No periods in past year:</w:t>
            </w:r>
          </w:p>
          <w:p w14:paraId="5611200C" w14:textId="77777777" w:rsidR="00A81273" w:rsidRPr="00A422C7" w:rsidRDefault="00A81273" w:rsidP="00462566">
            <w:pPr>
              <w:pStyle w:val="Tabletext1"/>
            </w:pPr>
            <w:r w:rsidRPr="00A422C7">
              <w:t>n=2 had 1–3</w:t>
            </w:r>
          </w:p>
          <w:p w14:paraId="6A07472C" w14:textId="77777777" w:rsidR="00A81273" w:rsidRPr="00A422C7" w:rsidRDefault="00A81273" w:rsidP="00462566">
            <w:pPr>
              <w:pStyle w:val="Tabletext1"/>
            </w:pPr>
            <w:r w:rsidRPr="00A422C7">
              <w:t>n=4 had 4–9</w:t>
            </w:r>
          </w:p>
          <w:p w14:paraId="34424285" w14:textId="77777777" w:rsidR="00A81273" w:rsidRPr="00A422C7" w:rsidRDefault="00A81273" w:rsidP="00462566">
            <w:pPr>
              <w:pStyle w:val="Tabletext1"/>
            </w:pPr>
            <w:r w:rsidRPr="00A422C7">
              <w:t>n=79 had ≥10</w:t>
            </w:r>
          </w:p>
        </w:tc>
        <w:tc>
          <w:tcPr>
            <w:tcW w:w="8431" w:type="dxa"/>
            <w:tcBorders>
              <w:top w:val="single" w:sz="4" w:space="0" w:color="auto"/>
              <w:left w:val="single" w:sz="4" w:space="0" w:color="auto"/>
              <w:bottom w:val="single" w:sz="4" w:space="0" w:color="auto"/>
              <w:right w:val="single" w:sz="4" w:space="0" w:color="auto"/>
            </w:tcBorders>
          </w:tcPr>
          <w:p w14:paraId="6CFEB27E" w14:textId="7C0C5112"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Due to urgency in starting chemotherapy, enrolment blood specimens were drawn across the menstrual cycle and not timed to the early follicular phase.</w:t>
            </w:r>
            <w:r w:rsidRPr="00A422C7">
              <w:rPr>
                <w:rFonts w:ascii="Arial Narrow" w:hAnsi="Arial Narrow"/>
              </w:rPr>
              <w:t xml:space="preserve"> S</w:t>
            </w:r>
            <w:r w:rsidRPr="00A422C7">
              <w:rPr>
                <w:rFonts w:ascii="Arial Narrow" w:hAnsi="Arial Narrow"/>
                <w:sz w:val="20"/>
              </w:rPr>
              <w:t xml:space="preserve">erum was frozen in aliquots and stored </w:t>
            </w:r>
            <w:r w:rsidR="00574FA2" w:rsidRPr="00A422C7">
              <w:rPr>
                <w:rFonts w:ascii="Arial Narrow" w:hAnsi="Arial Narrow"/>
                <w:sz w:val="20"/>
              </w:rPr>
              <w:t>at -</w:t>
            </w:r>
            <w:r w:rsidRPr="00A422C7">
              <w:rPr>
                <w:rFonts w:ascii="Arial Narrow" w:hAnsi="Arial Narrow"/>
                <w:sz w:val="20"/>
              </w:rPr>
              <w:t>80°C until assayed for AMH.</w:t>
            </w:r>
          </w:p>
          <w:p w14:paraId="0212853C" w14:textId="77777777" w:rsidR="00A81273" w:rsidRPr="00A422C7" w:rsidRDefault="00A81273" w:rsidP="00462566">
            <w:pPr>
              <w:spacing w:before="40" w:after="40" w:line="240" w:lineRule="auto"/>
              <w:rPr>
                <w:rFonts w:ascii="Arial Narrow" w:hAnsi="Arial Narrow"/>
                <w:b/>
                <w:sz w:val="20"/>
              </w:rPr>
            </w:pPr>
            <w:r w:rsidRPr="00A422C7">
              <w:rPr>
                <w:rFonts w:ascii="Arial Narrow" w:hAnsi="Arial Narrow"/>
                <w:b/>
                <w:sz w:val="20"/>
              </w:rPr>
              <w:t>AMH Gen II ELISA</w:t>
            </w:r>
          </w:p>
          <w:p w14:paraId="1B8E1335" w14:textId="29186105"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The standard curve range was 0.16</w:t>
            </w:r>
            <w:r w:rsidR="00B50CCE" w:rsidRPr="00A422C7">
              <w:rPr>
                <w:rFonts w:ascii="Arial Narrow" w:hAnsi="Arial Narrow"/>
                <w:sz w:val="20"/>
              </w:rPr>
              <w:t>–</w:t>
            </w:r>
            <w:r w:rsidRPr="00A422C7">
              <w:rPr>
                <w:rFonts w:ascii="Arial Narrow" w:hAnsi="Arial Narrow"/>
                <w:sz w:val="20"/>
              </w:rPr>
              <w:t>22.5 ng/</w:t>
            </w:r>
            <w:r w:rsidR="00023800" w:rsidRPr="00A422C7">
              <w:rPr>
                <w:rFonts w:ascii="Arial Narrow" w:hAnsi="Arial Narrow"/>
                <w:sz w:val="20"/>
              </w:rPr>
              <w:t>mL</w:t>
            </w:r>
            <w:r w:rsidRPr="00A422C7">
              <w:rPr>
                <w:rFonts w:ascii="Arial Narrow" w:hAnsi="Arial Narrow"/>
                <w:sz w:val="20"/>
              </w:rPr>
              <w:t xml:space="preserve"> and the levels of detection</w:t>
            </w:r>
            <w:r w:rsidRPr="00A422C7">
              <w:rPr>
                <w:rFonts w:ascii="Arial Narrow" w:hAnsi="Arial Narrow"/>
              </w:rPr>
              <w:t xml:space="preserve"> </w:t>
            </w:r>
            <w:r w:rsidRPr="00A422C7">
              <w:rPr>
                <w:rFonts w:ascii="Arial Narrow" w:hAnsi="Arial Narrow"/>
                <w:sz w:val="20"/>
              </w:rPr>
              <w:t>0.08 ng/</w:t>
            </w:r>
            <w:r w:rsidR="00023800" w:rsidRPr="00A422C7">
              <w:rPr>
                <w:rFonts w:ascii="Arial Narrow" w:hAnsi="Arial Narrow"/>
                <w:sz w:val="20"/>
              </w:rPr>
              <w:t>mL</w:t>
            </w:r>
            <w:r w:rsidRPr="00A422C7">
              <w:rPr>
                <w:rFonts w:ascii="Arial Narrow" w:hAnsi="Arial Narrow"/>
                <w:sz w:val="20"/>
              </w:rPr>
              <w:t>.</w:t>
            </w:r>
          </w:p>
          <w:p w14:paraId="3483ABE1" w14:textId="5FBB1279"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 xml:space="preserve">The inter-assay </w:t>
            </w:r>
            <w:r w:rsidR="00776418">
              <w:rPr>
                <w:rFonts w:ascii="Arial Narrow" w:hAnsi="Arial Narrow"/>
                <w:sz w:val="20"/>
              </w:rPr>
              <w:t>CoV</w:t>
            </w:r>
            <w:r w:rsidRPr="00A422C7">
              <w:rPr>
                <w:rFonts w:ascii="Arial Narrow" w:hAnsi="Arial Narrow"/>
                <w:sz w:val="20"/>
              </w:rPr>
              <w:t>s were 5.6% and 4.5% at 4.42 and 14.0 ng/</w:t>
            </w:r>
            <w:r w:rsidR="00023800" w:rsidRPr="00A422C7">
              <w:rPr>
                <w:rFonts w:ascii="Arial Narrow" w:hAnsi="Arial Narrow"/>
                <w:sz w:val="20"/>
              </w:rPr>
              <w:t>mL</w:t>
            </w:r>
            <w:r w:rsidRPr="00A422C7">
              <w:rPr>
                <w:rFonts w:ascii="Arial Narrow" w:hAnsi="Arial Narrow"/>
                <w:sz w:val="20"/>
              </w:rPr>
              <w:t>, respectively.</w:t>
            </w:r>
          </w:p>
          <w:p w14:paraId="3A659621" w14:textId="77777777" w:rsidR="00A81273" w:rsidRPr="00A422C7" w:rsidRDefault="00A81273" w:rsidP="00462566">
            <w:pPr>
              <w:spacing w:before="40" w:after="40" w:line="240" w:lineRule="auto"/>
              <w:rPr>
                <w:rFonts w:ascii="Arial Narrow" w:hAnsi="Arial Narrow"/>
                <w:b/>
                <w:sz w:val="20"/>
              </w:rPr>
            </w:pPr>
            <w:r w:rsidRPr="00A422C7">
              <w:rPr>
                <w:rFonts w:ascii="Arial Narrow" w:hAnsi="Arial Narrow"/>
                <w:b/>
                <w:sz w:val="20"/>
              </w:rPr>
              <w:t>Ultrasensitive AMH ELISA</w:t>
            </w:r>
          </w:p>
          <w:p w14:paraId="663D3D16" w14:textId="142C5820"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The standard curve range was 0.1</w:t>
            </w:r>
            <w:r w:rsidR="00B50CCE" w:rsidRPr="00A422C7">
              <w:rPr>
                <w:rFonts w:ascii="Arial Narrow" w:hAnsi="Arial Narrow"/>
                <w:sz w:val="20"/>
              </w:rPr>
              <w:t>–</w:t>
            </w:r>
            <w:r w:rsidRPr="00A422C7">
              <w:rPr>
                <w:rFonts w:ascii="Arial Narrow" w:hAnsi="Arial Narrow"/>
                <w:sz w:val="20"/>
              </w:rPr>
              <w:t>14 ng/</w:t>
            </w:r>
            <w:r w:rsidR="00023800" w:rsidRPr="00A422C7">
              <w:rPr>
                <w:rFonts w:ascii="Arial Narrow" w:hAnsi="Arial Narrow"/>
                <w:sz w:val="20"/>
              </w:rPr>
              <w:t>mL</w:t>
            </w:r>
            <w:r w:rsidRPr="00A422C7">
              <w:rPr>
                <w:rFonts w:ascii="Arial Narrow" w:hAnsi="Arial Narrow"/>
                <w:sz w:val="20"/>
              </w:rPr>
              <w:t xml:space="preserve"> and the levels of detection</w:t>
            </w:r>
            <w:r w:rsidRPr="00A422C7">
              <w:rPr>
                <w:rFonts w:ascii="Arial Narrow" w:hAnsi="Arial Narrow"/>
              </w:rPr>
              <w:t xml:space="preserve"> </w:t>
            </w:r>
            <w:r w:rsidRPr="00A422C7">
              <w:rPr>
                <w:rFonts w:ascii="Arial Narrow" w:hAnsi="Arial Narrow"/>
                <w:sz w:val="20"/>
              </w:rPr>
              <w:t>0.07 ng/</w:t>
            </w:r>
            <w:r w:rsidR="00023800" w:rsidRPr="00A422C7">
              <w:rPr>
                <w:rFonts w:ascii="Arial Narrow" w:hAnsi="Arial Narrow"/>
                <w:sz w:val="20"/>
              </w:rPr>
              <w:t>mL</w:t>
            </w:r>
            <w:r w:rsidRPr="00A422C7">
              <w:rPr>
                <w:rFonts w:ascii="Arial Narrow" w:hAnsi="Arial Narrow"/>
                <w:sz w:val="20"/>
              </w:rPr>
              <w:t>.</w:t>
            </w:r>
          </w:p>
          <w:p w14:paraId="565D71AC" w14:textId="45B993AC"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 xml:space="preserve">The inter-assay </w:t>
            </w:r>
            <w:r w:rsidR="00776418">
              <w:rPr>
                <w:rFonts w:ascii="Arial Narrow" w:hAnsi="Arial Narrow"/>
                <w:sz w:val="20"/>
              </w:rPr>
              <w:t>CoV</w:t>
            </w:r>
            <w:r w:rsidRPr="00A422C7">
              <w:rPr>
                <w:rFonts w:ascii="Arial Narrow" w:hAnsi="Arial Narrow"/>
                <w:sz w:val="20"/>
              </w:rPr>
              <w:t>s were 4.6%, 4.8%, 2.0% at 0.346, 0.715 and 1.85 ng/</w:t>
            </w:r>
            <w:r w:rsidR="00023800" w:rsidRPr="00A422C7">
              <w:rPr>
                <w:rFonts w:ascii="Arial Narrow" w:hAnsi="Arial Narrow"/>
                <w:sz w:val="20"/>
              </w:rPr>
              <w:t>mL</w:t>
            </w:r>
            <w:r w:rsidRPr="00A422C7">
              <w:rPr>
                <w:rFonts w:ascii="Arial Narrow" w:hAnsi="Arial Narrow"/>
                <w:sz w:val="20"/>
              </w:rPr>
              <w:t>, respectively.</w:t>
            </w:r>
          </w:p>
          <w:p w14:paraId="59DEB6EA" w14:textId="6625D2CF" w:rsidR="00A81273" w:rsidRPr="00A422C7" w:rsidRDefault="00A81273" w:rsidP="00462566">
            <w:pPr>
              <w:spacing w:before="40" w:after="40" w:line="240" w:lineRule="auto"/>
              <w:rPr>
                <w:rFonts w:ascii="Arial Narrow" w:hAnsi="Arial Narrow"/>
                <w:b/>
                <w:sz w:val="20"/>
              </w:rPr>
            </w:pPr>
            <w:r w:rsidRPr="00A422C7">
              <w:rPr>
                <w:rFonts w:ascii="Arial Narrow" w:hAnsi="Arial Narrow"/>
                <w:b/>
                <w:sz w:val="20"/>
              </w:rPr>
              <w:t>pico</w:t>
            </w:r>
            <w:r w:rsidR="00415491">
              <w:rPr>
                <w:rFonts w:ascii="Arial Narrow" w:hAnsi="Arial Narrow"/>
                <w:b/>
                <w:sz w:val="20"/>
              </w:rPr>
              <w:t>-AMH</w:t>
            </w:r>
            <w:r w:rsidRPr="00A422C7">
              <w:rPr>
                <w:rFonts w:ascii="Arial Narrow" w:hAnsi="Arial Narrow"/>
                <w:b/>
                <w:sz w:val="20"/>
              </w:rPr>
              <w:t xml:space="preserve"> ELISA</w:t>
            </w:r>
          </w:p>
          <w:p w14:paraId="501C0A45" w14:textId="43B041E5"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The standard curve range was 6</w:t>
            </w:r>
            <w:r w:rsidR="00B50CCE" w:rsidRPr="00A422C7">
              <w:rPr>
                <w:rFonts w:ascii="Arial Narrow" w:hAnsi="Arial Narrow"/>
                <w:sz w:val="20"/>
              </w:rPr>
              <w:t>–</w:t>
            </w:r>
            <w:r w:rsidRPr="00A422C7">
              <w:rPr>
                <w:rFonts w:ascii="Arial Narrow" w:hAnsi="Arial Narrow"/>
                <w:sz w:val="20"/>
              </w:rPr>
              <w:t>746 pg/</w:t>
            </w:r>
            <w:r w:rsidR="00023800" w:rsidRPr="00A422C7">
              <w:rPr>
                <w:rFonts w:ascii="Arial Narrow" w:hAnsi="Arial Narrow"/>
                <w:sz w:val="20"/>
              </w:rPr>
              <w:t>mL</w:t>
            </w:r>
            <w:r w:rsidRPr="00A422C7">
              <w:rPr>
                <w:rFonts w:ascii="Arial Narrow" w:hAnsi="Arial Narrow"/>
                <w:sz w:val="20"/>
              </w:rPr>
              <w:t xml:space="preserve"> and the levels of detection 0.01 ng/</w:t>
            </w:r>
            <w:r w:rsidR="00023800" w:rsidRPr="00A422C7">
              <w:rPr>
                <w:rFonts w:ascii="Arial Narrow" w:hAnsi="Arial Narrow"/>
                <w:sz w:val="20"/>
              </w:rPr>
              <w:t>mL</w:t>
            </w:r>
            <w:r w:rsidRPr="00A422C7">
              <w:rPr>
                <w:rFonts w:ascii="Arial Narrow" w:hAnsi="Arial Narrow"/>
                <w:sz w:val="20"/>
              </w:rPr>
              <w:t>.</w:t>
            </w:r>
          </w:p>
          <w:p w14:paraId="5EC2DC0C" w14:textId="23EB6C7F"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 xml:space="preserve">The inter-assay </w:t>
            </w:r>
            <w:r w:rsidR="00776418">
              <w:rPr>
                <w:rFonts w:ascii="Arial Narrow" w:hAnsi="Arial Narrow"/>
                <w:sz w:val="20"/>
              </w:rPr>
              <w:t>CoV</w:t>
            </w:r>
            <w:r w:rsidRPr="00A422C7">
              <w:rPr>
                <w:rFonts w:ascii="Arial Narrow" w:hAnsi="Arial Narrow"/>
                <w:sz w:val="20"/>
              </w:rPr>
              <w:t>s were 4.5%, 2.2%, 3.8% at 22.6, 86.5 and 373 pg/</w:t>
            </w:r>
            <w:r w:rsidR="00023800" w:rsidRPr="00A422C7">
              <w:rPr>
                <w:rFonts w:ascii="Arial Narrow" w:hAnsi="Arial Narrow"/>
                <w:sz w:val="20"/>
              </w:rPr>
              <w:t>mL</w:t>
            </w:r>
            <w:r w:rsidRPr="00A422C7">
              <w:rPr>
                <w:rFonts w:ascii="Arial Narrow" w:hAnsi="Arial Narrow"/>
                <w:sz w:val="20"/>
              </w:rPr>
              <w:t>, respectively.</w:t>
            </w:r>
          </w:p>
        </w:tc>
        <w:tc>
          <w:tcPr>
            <w:tcW w:w="1276" w:type="dxa"/>
            <w:tcBorders>
              <w:top w:val="single" w:sz="4" w:space="0" w:color="auto"/>
              <w:left w:val="single" w:sz="4" w:space="0" w:color="auto"/>
              <w:bottom w:val="single" w:sz="4" w:space="0" w:color="auto"/>
              <w:right w:val="single" w:sz="4" w:space="0" w:color="auto"/>
            </w:tcBorders>
          </w:tcPr>
          <w:p w14:paraId="7480902C" w14:textId="77777777" w:rsidR="00A81273" w:rsidRPr="00A422C7" w:rsidRDefault="00A81273" w:rsidP="00462566">
            <w:pPr>
              <w:pStyle w:val="Tabletext1"/>
            </w:pPr>
            <w:r w:rsidRPr="00A422C7">
              <w:t>Correlation: Pearson’s bivariate correlation test</w:t>
            </w:r>
          </w:p>
        </w:tc>
      </w:tr>
    </w:tbl>
    <w:p w14:paraId="2C56D2F2" w14:textId="14A7846B" w:rsidR="00A81273" w:rsidRPr="00A422C7" w:rsidRDefault="00A81273" w:rsidP="00A81273">
      <w:pPr>
        <w:pStyle w:val="Tablenotes0"/>
      </w:pPr>
      <w:r w:rsidRPr="00A422C7">
        <w:t xml:space="preserve">AMH = anti-Müllerian hormone; </w:t>
      </w:r>
      <w:r w:rsidR="00776418">
        <w:t>CoV</w:t>
      </w:r>
      <w:r w:rsidRPr="00A422C7">
        <w:t xml:space="preserve"> = coefficient</w:t>
      </w:r>
      <w:r w:rsidR="00205BD5">
        <w:t>(s)</w:t>
      </w:r>
      <w:r w:rsidRPr="00A422C7">
        <w:t xml:space="preserve"> of variation; EIA = enzyme Immunoassay; ELISA = enzyme-linked immunosorbent assay; MIS = Mü</w:t>
      </w:r>
      <w:r w:rsidR="005070FC" w:rsidRPr="00A422C7">
        <w:t>llerian-inhibiting</w:t>
      </w:r>
      <w:r w:rsidRPr="00A422C7">
        <w:t xml:space="preserve"> substance; PCOS = polycystic ovary syndrome</w:t>
      </w:r>
    </w:p>
    <w:p w14:paraId="19E758FF" w14:textId="77777777" w:rsidR="00A81273" w:rsidRPr="00A422C7" w:rsidRDefault="00A81273" w:rsidP="00A81273">
      <w:pPr>
        <w:pStyle w:val="TableHeading"/>
      </w:pPr>
      <w:bookmarkStart w:id="514" w:name="_Toc502833102"/>
      <w:r w:rsidRPr="00A422C7">
        <w:t xml:space="preserve">Table </w:t>
      </w:r>
      <w:r w:rsidR="00AC4BE5">
        <w:fldChar w:fldCharType="begin"/>
      </w:r>
      <w:r w:rsidR="00AC4BE5">
        <w:instrText xml:space="preserve"> SEQ Table \* ARABIC </w:instrText>
      </w:r>
      <w:r w:rsidR="00AC4BE5">
        <w:fldChar w:fldCharType="separate"/>
      </w:r>
      <w:r w:rsidR="00AC4BE5">
        <w:rPr>
          <w:noProof/>
        </w:rPr>
        <w:t>84</w:t>
      </w:r>
      <w:r w:rsidR="00AC4BE5">
        <w:rPr>
          <w:noProof/>
        </w:rPr>
        <w:fldChar w:fldCharType="end"/>
      </w:r>
      <w:r w:rsidRPr="00A422C7">
        <w:tab/>
        <w:t>Profiles of studies on diagnostic concordance between AMH and other tests included in the systematic literature review</w:t>
      </w:r>
      <w:bookmarkEnd w:id="514"/>
    </w:p>
    <w:tbl>
      <w:tblPr>
        <w:tblW w:w="15163" w:type="dxa"/>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129"/>
        <w:gridCol w:w="1445"/>
        <w:gridCol w:w="3375"/>
        <w:gridCol w:w="3969"/>
        <w:gridCol w:w="3969"/>
        <w:gridCol w:w="1276"/>
      </w:tblGrid>
      <w:tr w:rsidR="00A81273" w:rsidRPr="00A422C7" w14:paraId="1804D032" w14:textId="77777777" w:rsidTr="00462566">
        <w:trPr>
          <w:trHeight w:val="688"/>
          <w:tblHeader/>
        </w:trPr>
        <w:tc>
          <w:tcPr>
            <w:tcW w:w="0" w:type="auto"/>
            <w:tcBorders>
              <w:top w:val="single" w:sz="4" w:space="0" w:color="auto"/>
              <w:left w:val="single" w:sz="4" w:space="0" w:color="auto"/>
              <w:bottom w:val="single" w:sz="4" w:space="0" w:color="auto"/>
              <w:right w:val="single" w:sz="4" w:space="0" w:color="auto"/>
            </w:tcBorders>
          </w:tcPr>
          <w:p w14:paraId="5B4DF944" w14:textId="77777777" w:rsidR="00A81273" w:rsidRPr="00260996" w:rsidRDefault="00A81273" w:rsidP="00260996">
            <w:pPr>
              <w:pStyle w:val="Tabletext1"/>
              <w:rPr>
                <w:b/>
              </w:rPr>
            </w:pPr>
            <w:r w:rsidRPr="00260996">
              <w:rPr>
                <w:b/>
              </w:rPr>
              <w:t>Authors</w:t>
            </w:r>
          </w:p>
          <w:p w14:paraId="59607C3E" w14:textId="5B30BFCE" w:rsidR="00A81273" w:rsidRPr="00260996" w:rsidRDefault="00A81273" w:rsidP="00260996">
            <w:pPr>
              <w:pStyle w:val="Tabletext1"/>
              <w:rPr>
                <w:b/>
              </w:rPr>
            </w:pPr>
            <w:r w:rsidRPr="00260996">
              <w:rPr>
                <w:b/>
              </w:rPr>
              <w:t xml:space="preserve">Publication </w:t>
            </w:r>
            <w:r w:rsidR="00E830B2">
              <w:rPr>
                <w:b/>
              </w:rPr>
              <w:t>y</w:t>
            </w:r>
            <w:r w:rsidRPr="00260996">
              <w:rPr>
                <w:b/>
              </w:rPr>
              <w:t>ear</w:t>
            </w:r>
          </w:p>
          <w:p w14:paraId="658B4EDB" w14:textId="77777777" w:rsidR="00A81273" w:rsidRPr="00260996" w:rsidRDefault="00A81273" w:rsidP="00260996">
            <w:pPr>
              <w:pStyle w:val="Tabletext1"/>
              <w:rPr>
                <w:b/>
              </w:rPr>
            </w:pPr>
            <w:r w:rsidRPr="00260996">
              <w:rPr>
                <w:b/>
              </w:rPr>
              <w:t>Location</w:t>
            </w:r>
          </w:p>
        </w:tc>
        <w:tc>
          <w:tcPr>
            <w:tcW w:w="1445" w:type="dxa"/>
            <w:tcBorders>
              <w:top w:val="single" w:sz="4" w:space="0" w:color="auto"/>
              <w:left w:val="single" w:sz="4" w:space="0" w:color="auto"/>
              <w:bottom w:val="single" w:sz="4" w:space="0" w:color="auto"/>
              <w:right w:val="single" w:sz="4" w:space="0" w:color="auto"/>
            </w:tcBorders>
          </w:tcPr>
          <w:p w14:paraId="4C65E33F" w14:textId="77777777" w:rsidR="00E74EB5" w:rsidRPr="00260996" w:rsidRDefault="00E74EB5" w:rsidP="00260996">
            <w:pPr>
              <w:pStyle w:val="Tabletext1"/>
              <w:rPr>
                <w:b/>
              </w:rPr>
            </w:pPr>
            <w:r w:rsidRPr="00260996">
              <w:rPr>
                <w:b/>
              </w:rPr>
              <w:t>Study design Level of evidence</w:t>
            </w:r>
            <w:r w:rsidRPr="00260996">
              <w:rPr>
                <w:b/>
                <w:vertAlign w:val="superscript"/>
              </w:rPr>
              <w:t>a</w:t>
            </w:r>
          </w:p>
          <w:p w14:paraId="2C5D1CD3" w14:textId="7BCBCCA9" w:rsidR="00A81273" w:rsidRPr="00260996" w:rsidRDefault="00E74EB5" w:rsidP="00260996">
            <w:pPr>
              <w:pStyle w:val="Tabletext1"/>
              <w:rPr>
                <w:b/>
              </w:rPr>
            </w:pPr>
            <w:r w:rsidRPr="00260996">
              <w:rPr>
                <w:b/>
              </w:rPr>
              <w:t>Risk of bias</w:t>
            </w:r>
            <w:r w:rsidRPr="00260996">
              <w:rPr>
                <w:b/>
                <w:vertAlign w:val="superscript"/>
              </w:rPr>
              <w:t>b</w:t>
            </w:r>
          </w:p>
        </w:tc>
        <w:tc>
          <w:tcPr>
            <w:tcW w:w="3375" w:type="dxa"/>
            <w:tcBorders>
              <w:top w:val="single" w:sz="4" w:space="0" w:color="auto"/>
              <w:left w:val="single" w:sz="4" w:space="0" w:color="auto"/>
              <w:bottom w:val="single" w:sz="4" w:space="0" w:color="auto"/>
              <w:right w:val="single" w:sz="4" w:space="0" w:color="auto"/>
            </w:tcBorders>
          </w:tcPr>
          <w:p w14:paraId="0B278866" w14:textId="77777777" w:rsidR="00A81273" w:rsidRPr="00260996" w:rsidRDefault="00A81273" w:rsidP="00260996">
            <w:pPr>
              <w:pStyle w:val="Tabletext1"/>
              <w:rPr>
                <w:b/>
              </w:rPr>
            </w:pPr>
            <w:r w:rsidRPr="00260996">
              <w:rPr>
                <w:b/>
              </w:rPr>
              <w:t>Study population characteristics</w:t>
            </w:r>
          </w:p>
        </w:tc>
        <w:tc>
          <w:tcPr>
            <w:tcW w:w="3969" w:type="dxa"/>
            <w:tcBorders>
              <w:top w:val="single" w:sz="4" w:space="0" w:color="auto"/>
              <w:left w:val="single" w:sz="4" w:space="0" w:color="auto"/>
              <w:bottom w:val="single" w:sz="4" w:space="0" w:color="auto"/>
              <w:right w:val="single" w:sz="4" w:space="0" w:color="auto"/>
            </w:tcBorders>
          </w:tcPr>
          <w:p w14:paraId="06A857F2" w14:textId="77777777" w:rsidR="00A81273" w:rsidRPr="00260996" w:rsidRDefault="00A81273" w:rsidP="00260996">
            <w:pPr>
              <w:pStyle w:val="Tabletext1"/>
              <w:rPr>
                <w:b/>
              </w:rPr>
            </w:pPr>
            <w:r w:rsidRPr="00260996">
              <w:rPr>
                <w:b/>
              </w:rPr>
              <w:t>Intervention</w:t>
            </w:r>
          </w:p>
        </w:tc>
        <w:tc>
          <w:tcPr>
            <w:tcW w:w="3969" w:type="dxa"/>
            <w:tcBorders>
              <w:top w:val="single" w:sz="4" w:space="0" w:color="auto"/>
              <w:left w:val="single" w:sz="4" w:space="0" w:color="auto"/>
              <w:bottom w:val="single" w:sz="4" w:space="0" w:color="auto"/>
              <w:right w:val="single" w:sz="4" w:space="0" w:color="auto"/>
            </w:tcBorders>
          </w:tcPr>
          <w:p w14:paraId="03429CCF" w14:textId="77777777" w:rsidR="00A81273" w:rsidRPr="00260996" w:rsidRDefault="00A81273" w:rsidP="00260996">
            <w:pPr>
              <w:pStyle w:val="Tabletext1"/>
              <w:rPr>
                <w:b/>
              </w:rPr>
            </w:pPr>
            <w:r w:rsidRPr="00260996">
              <w:rPr>
                <w:b/>
              </w:rPr>
              <w:t>Comparator</w:t>
            </w:r>
          </w:p>
        </w:tc>
        <w:tc>
          <w:tcPr>
            <w:tcW w:w="1276" w:type="dxa"/>
            <w:tcBorders>
              <w:top w:val="single" w:sz="4" w:space="0" w:color="auto"/>
              <w:left w:val="single" w:sz="4" w:space="0" w:color="auto"/>
              <w:bottom w:val="single" w:sz="4" w:space="0" w:color="auto"/>
              <w:right w:val="single" w:sz="4" w:space="0" w:color="auto"/>
            </w:tcBorders>
          </w:tcPr>
          <w:p w14:paraId="2D866606" w14:textId="77777777" w:rsidR="00A81273" w:rsidRPr="00260996" w:rsidRDefault="00A81273" w:rsidP="00260996">
            <w:pPr>
              <w:pStyle w:val="Tabletext1"/>
              <w:rPr>
                <w:b/>
              </w:rPr>
            </w:pPr>
            <w:r w:rsidRPr="00260996">
              <w:rPr>
                <w:b/>
              </w:rPr>
              <w:t xml:space="preserve">Measurement of relevant outcomes </w:t>
            </w:r>
          </w:p>
        </w:tc>
      </w:tr>
      <w:tr w:rsidR="00A81273" w:rsidRPr="00A422C7" w14:paraId="585383C9" w14:textId="77777777" w:rsidTr="00462566">
        <w:trPr>
          <w:cantSplit/>
          <w:trHeight w:val="319"/>
        </w:trPr>
        <w:tc>
          <w:tcPr>
            <w:tcW w:w="0" w:type="auto"/>
            <w:tcBorders>
              <w:top w:val="single" w:sz="4" w:space="0" w:color="auto"/>
              <w:left w:val="single" w:sz="4" w:space="0" w:color="auto"/>
              <w:bottom w:val="single" w:sz="4" w:space="0" w:color="auto"/>
              <w:right w:val="single" w:sz="4" w:space="0" w:color="auto"/>
            </w:tcBorders>
          </w:tcPr>
          <w:p w14:paraId="6EE59564" w14:textId="34A78C2F" w:rsidR="00835BA6" w:rsidRDefault="00835BA6" w:rsidP="00835BA6">
            <w:pPr>
              <w:pStyle w:val="Tabletext1"/>
            </w:pPr>
            <w:r w:rsidRPr="00BA56CC">
              <w:lastRenderedPageBreak/>
              <w:t xml:space="preserve">Beneventi et al. </w:t>
            </w:r>
            <w:r>
              <w:fldChar w:fldCharType="begin">
                <w:fldData xml:space="preserve">PEVuZE5vdGU+PENpdGUgRXhjbHVkZUF1dGg9IjEiPjxBdXRob3I+QmVuZXZlbnRpPC9BdXRob3I+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</w:fldData>
              </w:fldChar>
            </w:r>
            <w:r>
              <w:instrText xml:space="preserve"> ADDIN EN.CITE </w:instrText>
            </w:r>
            <w:r>
              <w:fldChar w:fldCharType="begin">
                <w:fldData xml:space="preserve">PEVuZE5vdGU+PENpdGUgRXhjbHVkZUF1dGg9IjEiPjxBdXRob3I+QmVuZXZlbnRpPC9BdXRob3I+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</w:fldData>
              </w:fldChar>
            </w:r>
            <w:r>
              <w:instrText xml:space="preserve"> ADDIN EN.CITE.DATA </w:instrText>
            </w:r>
            <w:r>
              <w:fldChar w:fldCharType="end"/>
            </w:r>
            <w:r>
              <w:fldChar w:fldCharType="separate"/>
            </w:r>
            <w:r>
              <w:rPr>
                <w:noProof/>
              </w:rPr>
              <w:t>(</w:t>
            </w:r>
            <w:hyperlink w:anchor="_ENREF_10" w:tooltip="Beneventi, 2014 #67" w:history="1">
              <w:r>
                <w:rPr>
                  <w:noProof/>
                </w:rPr>
                <w:t>2014</w:t>
              </w:r>
            </w:hyperlink>
            <w:r>
              <w:rPr>
                <w:noProof/>
              </w:rPr>
              <w:t>)</w:t>
            </w:r>
            <w:r>
              <w:fldChar w:fldCharType="end"/>
            </w:r>
          </w:p>
          <w:p w14:paraId="0DDB76EE" w14:textId="78A1064D" w:rsidR="00A81273" w:rsidRPr="00A422C7" w:rsidRDefault="00835BA6" w:rsidP="00835BA6">
            <w:pPr>
              <w:pStyle w:val="Tabletext1"/>
            </w:pPr>
            <w:r>
              <w:t>Italy</w:t>
            </w:r>
          </w:p>
        </w:tc>
        <w:tc>
          <w:tcPr>
            <w:tcW w:w="1445" w:type="dxa"/>
            <w:tcBorders>
              <w:top w:val="single" w:sz="4" w:space="0" w:color="auto"/>
              <w:left w:val="single" w:sz="4" w:space="0" w:color="auto"/>
              <w:bottom w:val="single" w:sz="4" w:space="0" w:color="auto"/>
            </w:tcBorders>
          </w:tcPr>
          <w:p w14:paraId="376E3C03" w14:textId="77777777" w:rsidR="00A81273" w:rsidRPr="00A422C7" w:rsidRDefault="00A81273" w:rsidP="00462566">
            <w:pPr>
              <w:pStyle w:val="Tabletext1"/>
            </w:pPr>
            <w:r w:rsidRPr="00A422C7">
              <w:t>Case series</w:t>
            </w:r>
          </w:p>
          <w:p w14:paraId="1B0117BC"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13F83634" w14:textId="77777777" w:rsidR="00A81273" w:rsidRPr="00A422C7" w:rsidRDefault="00A81273" w:rsidP="00462566">
            <w:pPr>
              <w:pStyle w:val="Tabletext1"/>
            </w:pPr>
            <w:r w:rsidRPr="00A422C7">
              <w:t>N=135 female survivors treated for childhood malignant and non-malignant diseases and patients who had received BMT for thalassaemia major or sickle cell anaemia.</w:t>
            </w:r>
          </w:p>
          <w:p w14:paraId="3444377E" w14:textId="77777777" w:rsidR="00A81273" w:rsidRPr="00A422C7" w:rsidRDefault="00A81273" w:rsidP="00462566">
            <w:pPr>
              <w:pStyle w:val="Tabletext1"/>
            </w:pPr>
            <w:r w:rsidRPr="00A422C7">
              <w:t>92 (68.1%) diagnosed before menarche</w:t>
            </w:r>
          </w:p>
          <w:p w14:paraId="3811A501" w14:textId="77777777" w:rsidR="00A81273" w:rsidRPr="00A422C7" w:rsidRDefault="00A81273" w:rsidP="00462566">
            <w:pPr>
              <w:pStyle w:val="Tabletext1"/>
            </w:pPr>
            <w:r w:rsidRPr="00A422C7">
              <w:t>43 (31.85%) diagnosed after menarche</w:t>
            </w:r>
          </w:p>
          <w:p w14:paraId="17F3F51A" w14:textId="77777777" w:rsidR="00A81273" w:rsidRPr="00A422C7" w:rsidRDefault="00A81273" w:rsidP="00462566">
            <w:pPr>
              <w:pStyle w:val="Tabletext1"/>
            </w:pPr>
            <w:r w:rsidRPr="00A422C7">
              <w:t>Median age at enrolment = 19 years (IQR 16–21)</w:t>
            </w:r>
          </w:p>
          <w:p w14:paraId="050EA2D7" w14:textId="77777777" w:rsidR="00A81273" w:rsidRPr="00A422C7" w:rsidRDefault="00A81273" w:rsidP="00462566">
            <w:pPr>
              <w:pStyle w:val="Tabletext1"/>
            </w:pPr>
            <w:r w:rsidRPr="00A422C7">
              <w:t>Median age at start of treatment = 10 years (IQR 6–16)</w:t>
            </w:r>
          </w:p>
          <w:p w14:paraId="1D89D505" w14:textId="77777777" w:rsidR="00A81273" w:rsidRPr="00A422C7" w:rsidRDefault="00A81273" w:rsidP="00462566">
            <w:pPr>
              <w:pStyle w:val="Tabletext1"/>
            </w:pPr>
            <w:r w:rsidRPr="00A422C7">
              <w:t>Median time since treatment = 9 years (IQR 6–12).</w:t>
            </w:r>
          </w:p>
        </w:tc>
        <w:tc>
          <w:tcPr>
            <w:tcW w:w="3969" w:type="dxa"/>
            <w:tcBorders>
              <w:top w:val="single" w:sz="4" w:space="0" w:color="auto"/>
              <w:left w:val="single" w:sz="4" w:space="0" w:color="auto"/>
              <w:bottom w:val="single" w:sz="4" w:space="0" w:color="auto"/>
              <w:right w:val="single" w:sz="4" w:space="0" w:color="auto"/>
            </w:tcBorders>
          </w:tcPr>
          <w:p w14:paraId="4BBDDC29" w14:textId="77777777" w:rsidR="00A81273" w:rsidRPr="00A422C7" w:rsidRDefault="00A81273" w:rsidP="00462566">
            <w:pPr>
              <w:pStyle w:val="Tabletext1"/>
            </w:pPr>
            <w:r w:rsidRPr="00A422C7">
              <w:t>Blood samples were collected in the early follicular phase in patients with spontaneous menstrual cycles, and in withdrawal bleeding in patients treated with oral contraceptives or HRT.</w:t>
            </w:r>
          </w:p>
          <w:p w14:paraId="4DB3E557" w14:textId="77777777" w:rsidR="00A81273" w:rsidRPr="00A422C7" w:rsidRDefault="00A81273" w:rsidP="00462566">
            <w:pPr>
              <w:pStyle w:val="Tabletext1"/>
              <w:rPr>
                <w:u w:val="single"/>
              </w:rPr>
            </w:pPr>
            <w:r w:rsidRPr="00A422C7">
              <w:rPr>
                <w:u w:val="single"/>
              </w:rPr>
              <w:t>AMH Gen II ELISA</w:t>
            </w:r>
          </w:p>
          <w:p w14:paraId="09720949" w14:textId="10588579" w:rsidR="00A81273" w:rsidRPr="00A422C7" w:rsidRDefault="00A81273" w:rsidP="00462566">
            <w:pPr>
              <w:pStyle w:val="Tabletext1"/>
            </w:pPr>
            <w:r w:rsidRPr="00A422C7">
              <w:t>According to manufacturer’s instructions</w:t>
            </w:r>
            <w:r w:rsidR="00E830B2">
              <w:t>.</w:t>
            </w:r>
          </w:p>
        </w:tc>
        <w:tc>
          <w:tcPr>
            <w:tcW w:w="3969" w:type="dxa"/>
            <w:tcBorders>
              <w:top w:val="single" w:sz="4" w:space="0" w:color="auto"/>
              <w:left w:val="single" w:sz="4" w:space="0" w:color="auto"/>
              <w:bottom w:val="single" w:sz="4" w:space="0" w:color="auto"/>
              <w:right w:val="single" w:sz="4" w:space="0" w:color="auto"/>
            </w:tcBorders>
          </w:tcPr>
          <w:p w14:paraId="76DADE5A" w14:textId="77777777" w:rsidR="00A81273" w:rsidRPr="00A422C7" w:rsidRDefault="00A81273" w:rsidP="00462566">
            <w:pPr>
              <w:pStyle w:val="Tabletext1"/>
              <w:rPr>
                <w:u w:val="single"/>
              </w:rPr>
            </w:pPr>
            <w:r w:rsidRPr="00A422C7">
              <w:rPr>
                <w:u w:val="single"/>
              </w:rPr>
              <w:t>Inhibin B Gen II ELISA</w:t>
            </w:r>
          </w:p>
          <w:p w14:paraId="459122AC" w14:textId="77777777" w:rsidR="00A81273" w:rsidRPr="00A422C7" w:rsidRDefault="00A81273" w:rsidP="00462566">
            <w:pPr>
              <w:pStyle w:val="Tabletext1"/>
            </w:pPr>
            <w:r w:rsidRPr="00A422C7">
              <w:t>According to manufacturer’s instructions</w:t>
            </w:r>
          </w:p>
        </w:tc>
        <w:tc>
          <w:tcPr>
            <w:tcW w:w="1276" w:type="dxa"/>
            <w:tcBorders>
              <w:top w:val="single" w:sz="4" w:space="0" w:color="auto"/>
              <w:left w:val="single" w:sz="4" w:space="0" w:color="auto"/>
              <w:bottom w:val="single" w:sz="4" w:space="0" w:color="auto"/>
              <w:right w:val="single" w:sz="4" w:space="0" w:color="auto"/>
            </w:tcBorders>
          </w:tcPr>
          <w:p w14:paraId="6BEC039D" w14:textId="77777777" w:rsidR="00A81273" w:rsidRPr="00A422C7" w:rsidRDefault="00A81273" w:rsidP="00462566">
            <w:pPr>
              <w:pStyle w:val="Tabletext1"/>
            </w:pPr>
            <w:r w:rsidRPr="00A422C7">
              <w:t>Correlation: Spearman’s rank correlation test</w:t>
            </w:r>
          </w:p>
        </w:tc>
      </w:tr>
      <w:tr w:rsidR="00A81273" w:rsidRPr="00A422C7" w14:paraId="77E77EBC"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3A5F1CEE" w14:textId="3C86FD98" w:rsidR="00835BA6" w:rsidRDefault="00835BA6" w:rsidP="00835BA6">
            <w:pPr>
              <w:spacing w:before="40" w:after="40" w:line="240" w:lineRule="auto"/>
              <w:rPr>
                <w:rFonts w:ascii="Arial Narrow" w:hAnsi="Arial Narrow"/>
                <w:sz w:val="20"/>
              </w:rPr>
            </w:pPr>
            <w:r w:rsidRPr="00C0187A">
              <w:rPr>
                <w:rFonts w:ascii="Arial Narrow" w:hAnsi="Arial Narrow"/>
                <w:sz w:val="20"/>
              </w:rPr>
              <w:t xml:space="preserve">Biacchiardi et al. </w:t>
            </w:r>
            <w:r>
              <w:rPr>
                <w:rFonts w:ascii="Arial Narrow" w:hAnsi="Arial Narrow"/>
                <w:sz w:val="20"/>
              </w:rPr>
              <w:fldChar w:fldCharType="begin"/>
            </w:r>
            <w:r>
              <w:rPr>
                <w:rFonts w:ascii="Arial Narrow" w:hAnsi="Arial Narrow"/>
                <w:sz w:val="20"/>
              </w:rPr>
              <w:instrText xml:space="preserve"> ADDIN EN.CITE &lt;EndNote&gt;&lt;Cite ExcludeAuth="1"&gt;&lt;Author&gt;Biacchiardi&lt;/Author&gt;&lt;Year&gt;2011&lt;/Year&gt;&lt;RecNum&gt;68&lt;/RecNum&gt;&lt;IDText&gt;740-746&lt;/IDText&gt;&lt;DisplayText&gt;(2011)&lt;/DisplayText&gt;&lt;record&gt;&lt;rec-number&gt;68&lt;/rec-number&gt;&lt;foreign-keys&gt;&lt;key app="EN" db-id="s2dftfxw1fvsr1efx58vfvxtvfwzxea0td02" timestamp="1511748066"&gt;68&lt;/key&gt;&lt;/foreign-keys&gt;&lt;ref-type name="Journal Article"&gt;17&lt;/ref-type&gt;&lt;contributors&gt;&lt;authors&gt;&lt;author&gt;Biacchiardi, C. P.&lt;/author&gt;&lt;author&gt;Piane, L. D.&lt;/author&gt;&lt;author&gt;Camanni, M.&lt;/author&gt;&lt;author&gt;Deltetto, F.&lt;/author&gt;&lt;author&gt;Delpiano, E. M.&lt;/author&gt;&lt;author&gt;Marchino, G. L.&lt;/author&gt;&lt;author&gt;Gennarelli, G.&lt;/author&gt;&lt;author&gt;Revelli, A.&lt;/author&gt;&lt;/authors&gt;&lt;/contributors&gt;&lt;titles&gt;&lt;title&gt;Laparoscopic stripping of endometriomas negatively affects ovarian follicular reserve even if performed by experienced surgeons&lt;/title&gt;&lt;secondary-title&gt;Reproductive BioMedicine Online&lt;/secondary-title&gt;&lt;/titles&gt;&lt;periodical&gt;&lt;full-title&gt;Reproductive BioMedicine Online&lt;/full-title&gt;&lt;/periodical&gt;&lt;pages&gt;740-746&lt;/pages&gt;&lt;volume&gt;23&lt;/volume&gt;&lt;number&gt;6&lt;/number&gt;&lt;keywords&gt;&lt;keyword&gt;Ovary&lt;/keyword&gt;&lt;keyword&gt;Luteinizing Hormone&lt;/keyword&gt;&lt;keyword&gt;Estradiol&lt;/keyword&gt;&lt;keyword&gt;Follicle Stimulating Hormone&lt;/keyword&gt;&lt;keyword&gt;Endometriosis&lt;/keyword&gt;&lt;/keywords&gt;&lt;dates&gt;&lt;year&gt;2011&lt;/year&gt;&lt;pub-dates&gt;&lt;date&gt;2011-1-1&lt;/date&gt;&lt;/pub-dates&gt;&lt;/dates&gt;&lt;isbn&gt;1472-6483&lt;/isbn&gt;&lt;accession-num&gt;rayyan-6672678&lt;/accession-num&gt;&lt;urls&gt;&lt;related-urls&gt;&lt;url&gt;http://www.embase.com/search/results?subaction=viewrecord&amp;amp;from=export&amp;amp;id=L51680428 http://dx.doi.org/10.1016/j.rbmo.2011.07.014&lt;/url&gt;&lt;/related-urls&gt;&lt;/urls&gt;&lt;custom1&gt;RAYYAN-INCLUSION: {&amp;quot;Sharon&amp;quot;=&amp;gt;true}&lt;/custom1&gt;&lt;/record&gt;&lt;/Cite&gt;&lt;/EndNote&gt;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11" w:tooltip="Biacchiardi, 2011 #68" w:history="1">
              <w:r>
                <w:rPr>
                  <w:rFonts w:ascii="Arial Narrow" w:hAnsi="Arial Narrow"/>
                  <w:noProof/>
                  <w:sz w:val="20"/>
                </w:rPr>
                <w:t>2011</w:t>
              </w:r>
            </w:hyperlink>
            <w:r>
              <w:rPr>
                <w:rFonts w:ascii="Arial Narrow" w:hAnsi="Arial Narrow"/>
                <w:noProof/>
                <w:sz w:val="20"/>
              </w:rPr>
              <w:t>)</w:t>
            </w:r>
            <w:r>
              <w:rPr>
                <w:rFonts w:ascii="Arial Narrow" w:hAnsi="Arial Narrow"/>
                <w:sz w:val="20"/>
              </w:rPr>
              <w:fldChar w:fldCharType="end"/>
            </w:r>
          </w:p>
          <w:p w14:paraId="1CBF901C" w14:textId="6DE5A489" w:rsidR="00A81273" w:rsidRPr="00A422C7" w:rsidRDefault="00835BA6" w:rsidP="00835BA6">
            <w:pPr>
              <w:spacing w:before="40" w:after="40" w:line="240" w:lineRule="auto"/>
              <w:rPr>
                <w:rFonts w:ascii="Arial Narrow" w:hAnsi="Arial Narrow"/>
                <w:sz w:val="20"/>
              </w:rPr>
            </w:pPr>
            <w:r>
              <w:rPr>
                <w:rFonts w:ascii="Arial Narrow" w:hAnsi="Arial Narrow"/>
                <w:sz w:val="20"/>
              </w:rPr>
              <w:t>Italy</w:t>
            </w:r>
          </w:p>
        </w:tc>
        <w:tc>
          <w:tcPr>
            <w:tcW w:w="1445" w:type="dxa"/>
            <w:tcBorders>
              <w:top w:val="single" w:sz="4" w:space="0" w:color="auto"/>
              <w:left w:val="single" w:sz="4" w:space="0" w:color="auto"/>
              <w:bottom w:val="single" w:sz="4" w:space="0" w:color="auto"/>
            </w:tcBorders>
          </w:tcPr>
          <w:p w14:paraId="7C0836FE" w14:textId="77777777" w:rsidR="00A81273" w:rsidRPr="00A422C7" w:rsidRDefault="00A81273" w:rsidP="00462566">
            <w:pPr>
              <w:pStyle w:val="Tabletext1"/>
            </w:pPr>
            <w:r w:rsidRPr="00A422C7">
              <w:t>Case series</w:t>
            </w:r>
          </w:p>
          <w:p w14:paraId="6232B0A6"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4DAFAC3E" w14:textId="77777777" w:rsidR="00A81273" w:rsidRPr="00A422C7" w:rsidRDefault="00A81273" w:rsidP="00462566">
            <w:pPr>
              <w:pStyle w:val="Tabletext1"/>
            </w:pPr>
            <w:r w:rsidRPr="00A422C7">
              <w:t>N=43 normo-ovulatory women aged 18–42 years who were affected by one or more ovarian endometriomas</w:t>
            </w:r>
          </w:p>
          <w:p w14:paraId="676F9B7D" w14:textId="7B704175" w:rsidR="00A81273" w:rsidRPr="00A422C7" w:rsidRDefault="00A81273" w:rsidP="00462566">
            <w:pPr>
              <w:pStyle w:val="Tabletext1"/>
            </w:pPr>
            <w:r w:rsidRPr="00A422C7">
              <w:t>Mean age = 34.2</w:t>
            </w:r>
            <w:r w:rsidR="00CB05BE" w:rsidRPr="00A422C7">
              <w:t> ± </w:t>
            </w:r>
            <w:r w:rsidRPr="00A422C7">
              <w:t>5.4 years</w:t>
            </w:r>
          </w:p>
          <w:p w14:paraId="3FAD09DD" w14:textId="77777777" w:rsidR="00A81273" w:rsidRPr="00A422C7" w:rsidRDefault="00A81273" w:rsidP="00462566">
            <w:pPr>
              <w:pStyle w:val="Tabletext1"/>
            </w:pPr>
            <w:r w:rsidRPr="00A422C7">
              <w:t>n=7 ASRM stage 2</w:t>
            </w:r>
          </w:p>
          <w:p w14:paraId="6C603BFF" w14:textId="77777777" w:rsidR="00A81273" w:rsidRPr="00A422C7" w:rsidRDefault="00A81273" w:rsidP="00462566">
            <w:pPr>
              <w:pStyle w:val="Tabletext1"/>
            </w:pPr>
            <w:r w:rsidRPr="00A422C7">
              <w:t>n=26 ASRM stage 3</w:t>
            </w:r>
          </w:p>
          <w:p w14:paraId="42EAA83D" w14:textId="77777777" w:rsidR="00A81273" w:rsidRPr="00A422C7" w:rsidRDefault="00A81273" w:rsidP="00462566">
            <w:pPr>
              <w:pStyle w:val="Tabletext1"/>
            </w:pPr>
            <w:r w:rsidRPr="00A422C7">
              <w:t>n=10 ASRM stage 4</w:t>
            </w:r>
          </w:p>
        </w:tc>
        <w:tc>
          <w:tcPr>
            <w:tcW w:w="3969" w:type="dxa"/>
            <w:tcBorders>
              <w:top w:val="single" w:sz="4" w:space="0" w:color="auto"/>
              <w:left w:val="single" w:sz="4" w:space="0" w:color="auto"/>
              <w:bottom w:val="single" w:sz="4" w:space="0" w:color="auto"/>
              <w:right w:val="single" w:sz="4" w:space="0" w:color="auto"/>
            </w:tcBorders>
          </w:tcPr>
          <w:p w14:paraId="3F44F6B7" w14:textId="28099E13"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 xml:space="preserve">Blood samples were drawn during the early follicular phase (day 3) of the month in which surgery was </w:t>
            </w:r>
            <w:r w:rsidR="001E7102">
              <w:rPr>
                <w:rFonts w:ascii="Arial Narrow" w:hAnsi="Arial Narrow"/>
                <w:sz w:val="20"/>
              </w:rPr>
              <w:t>scheduled. Sera were frozen at -</w:t>
            </w:r>
            <w:r w:rsidRPr="00A422C7">
              <w:rPr>
                <w:rFonts w:ascii="Arial Narrow" w:hAnsi="Arial Narrow"/>
                <w:sz w:val="20"/>
              </w:rPr>
              <w:t>20°C for subsequent centrali</w:t>
            </w:r>
            <w:r w:rsidR="00415491">
              <w:rPr>
                <w:rFonts w:ascii="Arial Narrow" w:hAnsi="Arial Narrow"/>
                <w:sz w:val="20"/>
              </w:rPr>
              <w:t>s</w:t>
            </w:r>
            <w:r w:rsidRPr="00A422C7">
              <w:rPr>
                <w:rFonts w:ascii="Arial Narrow" w:hAnsi="Arial Narrow"/>
                <w:sz w:val="20"/>
              </w:rPr>
              <w:t>ed testing</w:t>
            </w:r>
          </w:p>
          <w:p w14:paraId="53B99A0E" w14:textId="77777777" w:rsidR="00A81273" w:rsidRPr="00A422C7" w:rsidRDefault="00A81273" w:rsidP="00462566">
            <w:pPr>
              <w:spacing w:before="40" w:after="40" w:line="240" w:lineRule="auto"/>
              <w:rPr>
                <w:rFonts w:ascii="Arial Narrow" w:hAnsi="Arial Narrow"/>
                <w:sz w:val="20"/>
                <w:u w:val="single"/>
              </w:rPr>
            </w:pPr>
            <w:r w:rsidRPr="00A422C7">
              <w:rPr>
                <w:rFonts w:ascii="Arial Narrow" w:hAnsi="Arial Narrow"/>
                <w:sz w:val="20"/>
                <w:u w:val="single"/>
              </w:rPr>
              <w:t>EIA AMH/MIS assay</w:t>
            </w:r>
          </w:p>
          <w:p w14:paraId="1257E12F" w14:textId="12B20775"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 xml:space="preserve">Intra-assay and inter-assay </w:t>
            </w:r>
            <w:r w:rsidR="00776418">
              <w:rPr>
                <w:rFonts w:ascii="Arial Narrow" w:hAnsi="Arial Narrow"/>
                <w:sz w:val="20"/>
              </w:rPr>
              <w:t>CoV</w:t>
            </w:r>
            <w:r w:rsidRPr="00A422C7">
              <w:rPr>
                <w:rFonts w:ascii="Arial Narrow" w:hAnsi="Arial Narrow"/>
                <w:sz w:val="20"/>
              </w:rPr>
              <w:t xml:space="preserve"> of 12.3% and 14.2%, respectively.</w:t>
            </w:r>
          </w:p>
        </w:tc>
        <w:tc>
          <w:tcPr>
            <w:tcW w:w="3969" w:type="dxa"/>
            <w:tcBorders>
              <w:top w:val="single" w:sz="4" w:space="0" w:color="auto"/>
              <w:left w:val="single" w:sz="4" w:space="0" w:color="auto"/>
              <w:bottom w:val="single" w:sz="4" w:space="0" w:color="auto"/>
              <w:right w:val="single" w:sz="4" w:space="0" w:color="auto"/>
            </w:tcBorders>
          </w:tcPr>
          <w:p w14:paraId="5066703C" w14:textId="77777777" w:rsidR="00A81273" w:rsidRPr="00A422C7" w:rsidRDefault="00A81273" w:rsidP="00462566">
            <w:pPr>
              <w:pStyle w:val="Tabletext1"/>
              <w:rPr>
                <w:u w:val="single"/>
              </w:rPr>
            </w:pPr>
            <w:r w:rsidRPr="00A422C7">
              <w:rPr>
                <w:u w:val="single"/>
              </w:rPr>
              <w:t>AFC TVUS</w:t>
            </w:r>
          </w:p>
          <w:p w14:paraId="04EC956D" w14:textId="0F1A12E6" w:rsidR="00A81273" w:rsidRPr="00A422C7" w:rsidRDefault="00A81273" w:rsidP="00462566">
            <w:pPr>
              <w:pStyle w:val="Tabletext1"/>
            </w:pPr>
            <w:r w:rsidRPr="00A422C7">
              <w:t>Transvaginal ultrasound examination was performed in the early follicular phase in order to estimate the AFC. AFC was determined by counting the follicles &gt;3 mm diameter that were visible through a complete scanning of both ovaries. In order to avoid any operator-linked bias, all ultrasound examinations were done by the same investigators using the same equipment</w:t>
            </w:r>
            <w:r w:rsidR="00574FA2" w:rsidRPr="00A422C7">
              <w:t>.</w:t>
            </w:r>
          </w:p>
        </w:tc>
        <w:tc>
          <w:tcPr>
            <w:tcW w:w="1276" w:type="dxa"/>
            <w:tcBorders>
              <w:top w:val="single" w:sz="4" w:space="0" w:color="auto"/>
              <w:left w:val="single" w:sz="4" w:space="0" w:color="auto"/>
              <w:bottom w:val="single" w:sz="4" w:space="0" w:color="auto"/>
              <w:right w:val="single" w:sz="4" w:space="0" w:color="auto"/>
            </w:tcBorders>
          </w:tcPr>
          <w:p w14:paraId="032D3218" w14:textId="77777777" w:rsidR="00A81273" w:rsidRPr="00A422C7" w:rsidRDefault="00A81273" w:rsidP="00462566">
            <w:pPr>
              <w:pStyle w:val="Tabletext1"/>
            </w:pPr>
            <w:r w:rsidRPr="00A422C7">
              <w:t>Correlation: Pearson’s bivariate correlation test</w:t>
            </w:r>
          </w:p>
        </w:tc>
      </w:tr>
      <w:tr w:rsidR="00A81273" w:rsidRPr="00A422C7" w14:paraId="7190F7DF" w14:textId="77777777" w:rsidTr="00462566">
        <w:trPr>
          <w:cantSplit/>
          <w:trHeight w:val="319"/>
        </w:trPr>
        <w:tc>
          <w:tcPr>
            <w:tcW w:w="0" w:type="auto"/>
            <w:tcBorders>
              <w:top w:val="single" w:sz="4" w:space="0" w:color="auto"/>
              <w:left w:val="single" w:sz="4" w:space="0" w:color="auto"/>
              <w:bottom w:val="single" w:sz="4" w:space="0" w:color="auto"/>
              <w:right w:val="single" w:sz="4" w:space="0" w:color="auto"/>
            </w:tcBorders>
          </w:tcPr>
          <w:p w14:paraId="60A4FB74" w14:textId="0AC4FCE6" w:rsidR="00835BA6" w:rsidRDefault="00835BA6" w:rsidP="00835BA6">
            <w:pPr>
              <w:spacing w:before="40" w:after="40" w:line="240" w:lineRule="auto"/>
              <w:rPr>
                <w:rFonts w:ascii="Arial Narrow" w:hAnsi="Arial Narrow"/>
                <w:sz w:val="20"/>
              </w:rPr>
            </w:pPr>
            <w:r>
              <w:rPr>
                <w:rFonts w:ascii="Arial Narrow" w:hAnsi="Arial Narrow"/>
                <w:sz w:val="20"/>
              </w:rPr>
              <w:lastRenderedPageBreak/>
              <w:t xml:space="preserve">Decanter et al. </w:t>
            </w:r>
            <w:r>
              <w:rPr>
                <w:rFonts w:ascii="Arial Narrow" w:hAnsi="Arial Narrow"/>
                <w:sz w:val="20"/>
              </w:rPr>
              <w:fldChar w:fldCharType="begin"/>
            </w:r>
            <w:r>
              <w:rPr>
                <w:rFonts w:ascii="Arial Narrow" w:hAnsi="Arial Narrow"/>
                <w:sz w:val="20"/>
              </w:rPr>
              <w:instrText xml:space="preserve"> ADDIN EN.CITE &lt;EndNote&gt;&lt;Cite ExcludeAuth="1"&gt;&lt;Author&gt;Decanter&lt;/Author&gt;&lt;Year&gt;2014&lt;/Year&gt;&lt;RecNum&gt;114&lt;/RecNum&gt;&lt;IDText&gt;483-7&lt;/IDText&gt;&lt;DisplayText&gt;(2014)&lt;/DisplayText&gt;&lt;record&gt;&lt;rec-number&gt;114&lt;/rec-number&gt;&lt;foreign-keys&gt;&lt;key app="EN" db-id="s2dftfxw1fvsr1efx58vfvxtvfwzxea0td02" timestamp="1511748069"&gt;114&lt;/key&gt;&lt;/foreign-keys&gt;&lt;ref-type name="Journal Article"&gt;17&lt;/ref-type&gt;&lt;contributors&gt;&lt;authors&gt;&lt;author&gt;Decanter, C.&lt;/author&gt;&lt;author&gt;Peigne, M.&lt;/author&gt;&lt;author&gt;Mailliez, A.&lt;/author&gt;&lt;author&gt;Morschhauser, F.&lt;/author&gt;&lt;author&gt;Dassonneville, A.&lt;/author&gt;&lt;author&gt;Dewailly, D.&lt;/author&gt;&lt;author&gt;Pigny, P.&lt;/author&gt;&lt;/authors&gt;&lt;/contributors&gt;&lt;titles&gt;&lt;title&gt;Toward a better follow-up of ovarian recovery in young women after chemotherapy with a hypersensitive antimullerian hormone assay&lt;/title&gt;&lt;secondary-title&gt;Fertil Steril&lt;/secondary-title&gt;&lt;/titles&gt;&lt;periodical&gt;&lt;full-title&gt;Fertil Steril&lt;/full-title&gt;&lt;/periodical&gt;&lt;pages&gt;483-7&lt;/pages&gt;&lt;volume&gt;102&lt;/volume&gt;&lt;number&gt;2&lt;/number&gt;&lt;keywords&gt;&lt;keyword&gt;Hematologic Neoplasms&lt;/keyword&gt;&lt;keyword&gt;Breast Neoplasms&lt;/keyword&gt;&lt;keyword&gt;Enzyme-Linked Immunosorbent Assay&lt;/keyword&gt;&lt;keyword&gt;Retrospective Studies&lt;/keyword&gt;&lt;keyword&gt;Humanism&lt;/keyword&gt;&lt;keyword&gt;Humanities&lt;/keyword&gt;&lt;keyword&gt;Humans&lt;/keyword&gt;&lt;/keywords&gt;&lt;dates&gt;&lt;year&gt;2014&lt;/year&gt;&lt;pub-dates&gt;&lt;date&gt;2014-1-1&lt;/date&gt;&lt;/pub-dates&gt;&lt;/dates&gt;&lt;isbn&gt;0015-0282&lt;/isbn&gt;&lt;accession-num&gt;rayyan-6673589&lt;/accession-num&gt;&lt;urls&gt;&lt;/urls&gt;&lt;custom1&gt;RAYYAN-INCLUSION: {&amp;quot;Sharon&amp;quot;=&amp;gt;true, &amp;quot;Joanne&amp;quot;=&amp;gt;true}&lt;/custom1&gt;&lt;language&gt;eng&lt;/language&gt;&lt;/record&gt;&lt;/Cite&gt;&lt;/EndNote&gt;</w:instrText>
            </w:r>
            <w:r>
              <w:rPr>
                <w:rFonts w:ascii="Arial Narrow" w:hAnsi="Arial Narrow"/>
                <w:sz w:val="20"/>
              </w:rPr>
              <w:fldChar w:fldCharType="separate"/>
            </w:r>
            <w:r>
              <w:rPr>
                <w:rFonts w:ascii="Arial Narrow" w:hAnsi="Arial Narrow"/>
                <w:noProof/>
                <w:sz w:val="20"/>
              </w:rPr>
              <w:t>(</w:t>
            </w:r>
            <w:hyperlink w:anchor="_ENREF_18" w:tooltip="Decanter, 2014 #114" w:history="1">
              <w:r>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p>
          <w:p w14:paraId="217C82BF" w14:textId="344F820F" w:rsidR="00A81273" w:rsidRPr="00A422C7" w:rsidRDefault="00835BA6" w:rsidP="00835BA6">
            <w:pPr>
              <w:spacing w:before="40" w:after="40" w:line="240" w:lineRule="auto"/>
              <w:rPr>
                <w:rFonts w:ascii="Arial Narrow" w:hAnsi="Arial Narrow"/>
                <w:sz w:val="20"/>
              </w:rPr>
            </w:pPr>
            <w:r>
              <w:rPr>
                <w:rFonts w:ascii="Arial Narrow" w:hAnsi="Arial Narrow"/>
                <w:sz w:val="20"/>
              </w:rPr>
              <w:t>France</w:t>
            </w:r>
          </w:p>
        </w:tc>
        <w:tc>
          <w:tcPr>
            <w:tcW w:w="1445" w:type="dxa"/>
            <w:tcBorders>
              <w:top w:val="single" w:sz="4" w:space="0" w:color="auto"/>
              <w:left w:val="single" w:sz="4" w:space="0" w:color="auto"/>
              <w:bottom w:val="single" w:sz="4" w:space="0" w:color="auto"/>
            </w:tcBorders>
          </w:tcPr>
          <w:p w14:paraId="40B0A9DC" w14:textId="77777777" w:rsidR="00A81273" w:rsidRPr="00A422C7" w:rsidRDefault="00A81273" w:rsidP="00462566">
            <w:pPr>
              <w:pStyle w:val="Tabletext1"/>
            </w:pPr>
            <w:r w:rsidRPr="00A422C7">
              <w:t>Case series</w:t>
            </w:r>
          </w:p>
          <w:p w14:paraId="547139E8"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16C76315" w14:textId="0A7EAF43" w:rsidR="00A81273" w:rsidRPr="00A422C7" w:rsidRDefault="00A81273" w:rsidP="00462566">
            <w:pPr>
              <w:pStyle w:val="Tabletext1"/>
            </w:pPr>
            <w:r w:rsidRPr="00A422C7">
              <w:t>N=58 samples drawn at least 3 months after the end of chemotherapy in 30 women with either breast cancer (n=13) or h</w:t>
            </w:r>
            <w:r w:rsidR="00415491">
              <w:t>a</w:t>
            </w:r>
            <w:r w:rsidRPr="00A422C7">
              <w:t>ematologic</w:t>
            </w:r>
            <w:r w:rsidR="00415491">
              <w:t>al</w:t>
            </w:r>
            <w:r w:rsidRPr="00A422C7">
              <w:t xml:space="preserve"> malignancies (n=</w:t>
            </w:r>
            <w:r w:rsidR="0064098D">
              <w:t>17).</w:t>
            </w:r>
          </w:p>
        </w:tc>
        <w:tc>
          <w:tcPr>
            <w:tcW w:w="3969" w:type="dxa"/>
            <w:tcBorders>
              <w:top w:val="single" w:sz="4" w:space="0" w:color="auto"/>
              <w:left w:val="single" w:sz="4" w:space="0" w:color="auto"/>
              <w:bottom w:val="single" w:sz="4" w:space="0" w:color="auto"/>
              <w:right w:val="single" w:sz="4" w:space="0" w:color="auto"/>
            </w:tcBorders>
          </w:tcPr>
          <w:p w14:paraId="7A30E262" w14:textId="4F4C42D5" w:rsidR="00A81273" w:rsidRPr="00A422C7" w:rsidRDefault="00A81273" w:rsidP="00462566">
            <w:pPr>
              <w:spacing w:before="40" w:after="40" w:line="240" w:lineRule="auto"/>
              <w:rPr>
                <w:rFonts w:ascii="Arial Narrow" w:hAnsi="Arial Narrow"/>
                <w:sz w:val="20"/>
                <w:u w:val="single"/>
              </w:rPr>
            </w:pPr>
            <w:r w:rsidRPr="00A422C7">
              <w:rPr>
                <w:rFonts w:ascii="Arial Narrow" w:hAnsi="Arial Narrow"/>
                <w:sz w:val="20"/>
                <w:u w:val="single"/>
              </w:rPr>
              <w:t>pico</w:t>
            </w:r>
            <w:r w:rsidR="00415491">
              <w:rPr>
                <w:rFonts w:ascii="Arial Narrow" w:hAnsi="Arial Narrow"/>
                <w:sz w:val="20"/>
                <w:u w:val="single"/>
              </w:rPr>
              <w:t>-AMH</w:t>
            </w:r>
            <w:r w:rsidRPr="00A422C7">
              <w:rPr>
                <w:rFonts w:ascii="Arial Narrow" w:hAnsi="Arial Narrow"/>
                <w:sz w:val="20"/>
                <w:u w:val="single"/>
              </w:rPr>
              <w:t xml:space="preserve"> ELISA</w:t>
            </w:r>
          </w:p>
          <w:p w14:paraId="4069CDED" w14:textId="77777777"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The dynamic range of the standard curve was 0.07–6.5 pmol/L.</w:t>
            </w:r>
          </w:p>
          <w:p w14:paraId="421C0201" w14:textId="5D130334" w:rsidR="007518CF" w:rsidRPr="00A422C7" w:rsidRDefault="00A81273" w:rsidP="00462566">
            <w:pPr>
              <w:spacing w:before="40" w:after="40" w:line="240" w:lineRule="auto"/>
              <w:rPr>
                <w:rFonts w:ascii="Arial Narrow" w:hAnsi="Arial Narrow"/>
                <w:sz w:val="20"/>
              </w:rPr>
            </w:pPr>
            <w:r w:rsidRPr="00A422C7">
              <w:rPr>
                <w:rFonts w:ascii="Arial Narrow" w:hAnsi="Arial Narrow"/>
                <w:sz w:val="20"/>
              </w:rPr>
              <w:t xml:space="preserve">The between-run </w:t>
            </w:r>
            <w:r w:rsidR="00776418">
              <w:rPr>
                <w:rFonts w:ascii="Arial Narrow" w:hAnsi="Arial Narrow"/>
                <w:sz w:val="20"/>
              </w:rPr>
              <w:t>CoV</w:t>
            </w:r>
            <w:r w:rsidRPr="00A422C7">
              <w:rPr>
                <w:rFonts w:ascii="Arial Narrow" w:hAnsi="Arial Narrow"/>
                <w:sz w:val="20"/>
              </w:rPr>
              <w:t>s were 1.38% and 3.84% at 0.69 and 2.0 pmol/L</w:t>
            </w:r>
          </w:p>
          <w:p w14:paraId="4AB99558" w14:textId="7031D096"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The lowest detectable concentration was 0.034 pmol/L.</w:t>
            </w:r>
          </w:p>
          <w:p w14:paraId="4CA32B8E" w14:textId="77777777"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For this study, results, &lt;0.07 were expressed as undetectable.</w:t>
            </w:r>
          </w:p>
          <w:p w14:paraId="2ACAD794" w14:textId="77777777" w:rsidR="00A81273" w:rsidRPr="00A422C7" w:rsidRDefault="00A81273" w:rsidP="00462566">
            <w:pPr>
              <w:spacing w:before="40" w:after="40" w:line="240" w:lineRule="auto"/>
              <w:rPr>
                <w:rFonts w:ascii="Arial Narrow" w:hAnsi="Arial Narrow"/>
                <w:sz w:val="20"/>
                <w:u w:val="single"/>
              </w:rPr>
            </w:pPr>
            <w:r w:rsidRPr="00A422C7">
              <w:rPr>
                <w:rFonts w:ascii="Arial Narrow" w:hAnsi="Arial Narrow"/>
                <w:sz w:val="20"/>
                <w:u w:val="single"/>
              </w:rPr>
              <w:t>EIA AMH/MIS assay</w:t>
            </w:r>
          </w:p>
          <w:p w14:paraId="42BD1F4F" w14:textId="77777777"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The dynamic range of the standard curve was 3–150 pmol/L.</w:t>
            </w:r>
          </w:p>
          <w:p w14:paraId="6C66EBAB" w14:textId="22EA0AC4"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 xml:space="preserve">The between-run </w:t>
            </w:r>
            <w:r w:rsidR="00776418">
              <w:rPr>
                <w:rFonts w:ascii="Arial Narrow" w:hAnsi="Arial Narrow"/>
                <w:sz w:val="20"/>
              </w:rPr>
              <w:t>CoV</w:t>
            </w:r>
            <w:r w:rsidRPr="00A422C7">
              <w:rPr>
                <w:rFonts w:ascii="Arial Narrow" w:hAnsi="Arial Narrow"/>
                <w:sz w:val="20"/>
              </w:rPr>
              <w:t>s were 14%, 13%, and 12.6% at 9.8, 18.6, and 37.1 pmol/L.</w:t>
            </w:r>
          </w:p>
          <w:p w14:paraId="436BF462" w14:textId="77777777"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The lowest detectable concentration was 2.5 pmol/L.</w:t>
            </w:r>
          </w:p>
          <w:p w14:paraId="1F8B37C8" w14:textId="7653CD61"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For this study, results &lt;3.0 pmol/L) were expressed as undetectable.</w:t>
            </w:r>
          </w:p>
        </w:tc>
        <w:tc>
          <w:tcPr>
            <w:tcW w:w="3969" w:type="dxa"/>
            <w:tcBorders>
              <w:top w:val="single" w:sz="4" w:space="0" w:color="auto"/>
              <w:left w:val="single" w:sz="4" w:space="0" w:color="auto"/>
              <w:bottom w:val="single" w:sz="4" w:space="0" w:color="auto"/>
              <w:right w:val="single" w:sz="4" w:space="0" w:color="auto"/>
            </w:tcBorders>
          </w:tcPr>
          <w:p w14:paraId="3AE7C7E0" w14:textId="77777777" w:rsidR="00A81273" w:rsidRPr="00A422C7" w:rsidRDefault="00A81273" w:rsidP="00462566">
            <w:pPr>
              <w:pStyle w:val="Tabletext1"/>
              <w:rPr>
                <w:u w:val="single"/>
              </w:rPr>
            </w:pPr>
            <w:r w:rsidRPr="00A422C7">
              <w:rPr>
                <w:u w:val="single"/>
              </w:rPr>
              <w:t>FSH test</w:t>
            </w:r>
          </w:p>
          <w:p w14:paraId="68EBBC81" w14:textId="77777777" w:rsidR="00A81273" w:rsidRPr="00A422C7" w:rsidRDefault="00A81273" w:rsidP="00462566">
            <w:pPr>
              <w:pStyle w:val="Tabletext1"/>
            </w:pPr>
            <w:r w:rsidRPr="00A422C7">
              <w:t>Not reported</w:t>
            </w:r>
          </w:p>
        </w:tc>
        <w:tc>
          <w:tcPr>
            <w:tcW w:w="1276" w:type="dxa"/>
            <w:tcBorders>
              <w:top w:val="single" w:sz="4" w:space="0" w:color="auto"/>
              <w:left w:val="single" w:sz="4" w:space="0" w:color="auto"/>
              <w:bottom w:val="single" w:sz="4" w:space="0" w:color="auto"/>
              <w:right w:val="single" w:sz="4" w:space="0" w:color="auto"/>
            </w:tcBorders>
          </w:tcPr>
          <w:p w14:paraId="36ABA2CA" w14:textId="77777777" w:rsidR="00A81273" w:rsidRPr="00A422C7" w:rsidRDefault="00A81273" w:rsidP="00462566">
            <w:pPr>
              <w:pStyle w:val="Tabletext1"/>
            </w:pPr>
            <w:r w:rsidRPr="00A422C7">
              <w:t>Correlation: Pearson’s bivariate correlation test</w:t>
            </w:r>
          </w:p>
        </w:tc>
      </w:tr>
      <w:tr w:rsidR="00A81273" w:rsidRPr="00A422C7" w14:paraId="4C22E084"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1AF5B4C9" w14:textId="7CEB6EDC" w:rsidR="00835BA6" w:rsidRDefault="00835BA6" w:rsidP="00835BA6">
            <w:pPr>
              <w:spacing w:before="40" w:after="40" w:line="240" w:lineRule="auto"/>
              <w:rPr>
                <w:rFonts w:ascii="Arial Narrow" w:hAnsi="Arial Narrow"/>
                <w:sz w:val="20"/>
              </w:rPr>
            </w:pPr>
            <w:r w:rsidRPr="005F60F1">
              <w:rPr>
                <w:rFonts w:ascii="Arial Narrow" w:hAnsi="Arial Narrow"/>
                <w:sz w:val="20"/>
              </w:rPr>
              <w:t>Fabbri</w:t>
            </w:r>
            <w:r>
              <w:rPr>
                <w:rFonts w:ascii="Arial Narrow" w:hAnsi="Arial Narrow"/>
                <w:sz w:val="20"/>
              </w:rPr>
              <w:t xml:space="preserve"> et al. </w:t>
            </w:r>
            <w:r>
              <w:rPr>
                <w:rFonts w:ascii="Arial Narrow" w:hAnsi="Arial Narrow"/>
                <w:sz w:val="20"/>
              </w:rPr>
              <w:fldChar w:fldCharType="begin"/>
            </w:r>
            <w:r>
              <w:rPr>
                <w:rFonts w:ascii="Arial Narrow" w:hAnsi="Arial Narrow"/>
                <w:sz w:val="20"/>
              </w:rPr>
              <w:instrText xml:space="preserve"> ADDIN EN.CITE &lt;EndNote&gt;&lt;Cite ExcludeAuth="1"&gt;&lt;Author&gt;Fabbri&lt;/Author&gt;&lt;Year&gt;2014&lt;/Year&gt;&lt;RecNum&gt;140&lt;/RecNum&gt;&lt;IDText&gt;1343-1351&lt;/IDText&gt;&lt;DisplayText&gt;(2014)&lt;/DisplayText&gt;&lt;record&gt;&lt;rec-number&gt;140&lt;/rec-number&gt;&lt;foreign-keys&gt;&lt;key app="EN" db-id="s2dftfxw1fvsr1efx58vfvxtvfwzxea0td02" timestamp="1511748072"&gt;140&lt;/key&gt;&lt;/foreign-keys&gt;&lt;ref-type name="Journal Article"&gt;17&lt;/ref-type&gt;&lt;contributors&gt;&lt;authors&gt;&lt;author&gt;Fabbri, R.&lt;/author&gt;&lt;author&gt;Macciocca, M.&lt;/author&gt;&lt;author&gt;Melotti, C.&lt;/author&gt;&lt;author&gt;Pasquinelli, G.&lt;/author&gt;&lt;author&gt;Vicenti, R.&lt;/author&gt;&lt;author&gt;Reggiani, M. L. B.&lt;/author&gt;&lt;author&gt;Terribile, D.&lt;/author&gt;&lt;author&gt;Venturoli, S.&lt;/author&gt;&lt;/authors&gt;&lt;/contributors&gt;&lt;titles&gt;&lt;title&gt;Anti-Müllerian hormone as an ovarian reserve marker in young cancer women who undergo ovarian tissue cryopreservation&lt;/title&gt;&lt;secondary-title&gt;Future Oncology&lt;/secondary-title&gt;&lt;/titles&gt;&lt;periodical&gt;&lt;full-title&gt;Future Oncology&lt;/full-title&gt;&lt;/periodical&gt;&lt;pages&gt;1343-1351&lt;/pages&gt;&lt;volume&gt;10&lt;/volume&gt;&lt;number&gt;8&lt;/number&gt;&lt;keywords&gt;&lt;keyword&gt;Menstrual Cycle&lt;/keyword&gt;&lt;/keywords&gt;&lt;dates&gt;&lt;year&gt;2014&lt;/year&gt;&lt;pub-dates&gt;&lt;date&gt;2014-1-1&lt;/date&gt;&lt;/pub-dates&gt;&lt;/dates&gt;&lt;isbn&gt;1479-6694&lt;/isbn&gt;&lt;accession-num&gt;rayyan-6674079&lt;/accession-num&gt;&lt;urls&gt;&lt;related-urls&gt;&lt;url&gt;http://www.embase.com/search/results?subaction=viewrecord&amp;amp;from=export&amp;amp;id=L373671818 http://dx.doi.org/10.2217/fon.14.76&lt;/url&gt;&lt;url&gt;http://go.galegroup.com.proxy.library.adelaide.edu.au/ps/retrieve.do?tabID=T002&amp;amp;resultListType=RESULT_LIST&amp;amp;searchResultsType=SingleTab&amp;amp;searchType=AdvancedSearchForm&amp;amp;currentPosition=1&amp;amp;docId=GALE|A375759570&amp;amp;docType=Report&amp;amp;sort=RELEVANCE&amp;amp;contentSegment=&amp;amp;prodId=AONE&amp;amp;contentSet=GALE|A375759570&amp;amp;searchId=R1&amp;amp;userGroupName=adelaide&amp;amp;inPS=true&lt;/url&gt;&lt;/related-urls&gt;&lt;/urls&gt;&lt;custom1&gt;RAYYAN-INCLUSION: {&amp;quot;Sharon&amp;quot;=&amp;gt;true, &amp;quot;Joanne&amp;quot;=&amp;gt;true}&lt;/custom1&gt;&lt;research-notes&gt;Printed&lt;/research-notes&gt;&lt;/record&gt;&lt;/Cite&gt;&lt;/EndNote&gt;</w:instrText>
            </w:r>
            <w:r>
              <w:rPr>
                <w:rFonts w:ascii="Arial Narrow" w:hAnsi="Arial Narrow"/>
                <w:sz w:val="20"/>
              </w:rPr>
              <w:fldChar w:fldCharType="separate"/>
            </w:r>
            <w:r>
              <w:rPr>
                <w:rFonts w:ascii="Arial Narrow" w:hAnsi="Arial Narrow"/>
                <w:noProof/>
                <w:sz w:val="20"/>
              </w:rPr>
              <w:t>(</w:t>
            </w:r>
            <w:hyperlink w:anchor="_ENREF_23" w:tooltip="Fabbri, 2014 #140" w:history="1">
              <w:r>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p>
          <w:p w14:paraId="563ADD98" w14:textId="5F253A64" w:rsidR="00A81273" w:rsidRPr="00A422C7" w:rsidRDefault="00835BA6" w:rsidP="00835BA6">
            <w:pPr>
              <w:pStyle w:val="Tabletext1"/>
            </w:pPr>
            <w:r>
              <w:t>Italy</w:t>
            </w:r>
          </w:p>
        </w:tc>
        <w:tc>
          <w:tcPr>
            <w:tcW w:w="1445" w:type="dxa"/>
            <w:tcBorders>
              <w:top w:val="single" w:sz="4" w:space="0" w:color="auto"/>
              <w:left w:val="single" w:sz="4" w:space="0" w:color="auto"/>
              <w:bottom w:val="single" w:sz="4" w:space="0" w:color="auto"/>
            </w:tcBorders>
          </w:tcPr>
          <w:p w14:paraId="2B53FE11" w14:textId="77777777" w:rsidR="00A81273" w:rsidRPr="00A422C7" w:rsidRDefault="00A81273" w:rsidP="00462566">
            <w:pPr>
              <w:pStyle w:val="Tabletext1"/>
            </w:pPr>
            <w:r w:rsidRPr="00A422C7">
              <w:t>Case series</w:t>
            </w:r>
          </w:p>
          <w:p w14:paraId="50469097"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3E25D675" w14:textId="68D6EF7F" w:rsidR="00A81273" w:rsidRPr="00A422C7" w:rsidRDefault="00A81273" w:rsidP="00462566">
            <w:pPr>
              <w:pStyle w:val="Tabletext1"/>
            </w:pPr>
            <w:r w:rsidRPr="00A422C7">
              <w:t>N=86 women with various non-gynaecological malignancies who underwent ovarian tissue cryopreservation</w:t>
            </w:r>
            <w:r w:rsidR="00E830B2">
              <w:t>.</w:t>
            </w:r>
          </w:p>
        </w:tc>
        <w:tc>
          <w:tcPr>
            <w:tcW w:w="3969" w:type="dxa"/>
            <w:tcBorders>
              <w:top w:val="single" w:sz="4" w:space="0" w:color="auto"/>
              <w:left w:val="single" w:sz="4" w:space="0" w:color="auto"/>
              <w:bottom w:val="single" w:sz="4" w:space="0" w:color="auto"/>
              <w:right w:val="single" w:sz="4" w:space="0" w:color="auto"/>
            </w:tcBorders>
          </w:tcPr>
          <w:p w14:paraId="4CA12C08" w14:textId="77777777" w:rsidR="00A81273" w:rsidRPr="00A422C7" w:rsidRDefault="00A81273" w:rsidP="00462566">
            <w:pPr>
              <w:spacing w:before="40" w:after="40" w:line="240" w:lineRule="auto"/>
              <w:rPr>
                <w:rFonts w:ascii="Arial Narrow" w:hAnsi="Arial Narrow"/>
                <w:sz w:val="20"/>
                <w:u w:val="single"/>
              </w:rPr>
            </w:pPr>
            <w:r w:rsidRPr="00A422C7">
              <w:rPr>
                <w:rFonts w:ascii="Arial Narrow" w:hAnsi="Arial Narrow"/>
                <w:sz w:val="20"/>
                <w:u w:val="single"/>
              </w:rPr>
              <w:t>AMH Gen II ELISA</w:t>
            </w:r>
          </w:p>
          <w:p w14:paraId="5E230D77" w14:textId="6D214D1C" w:rsidR="00A81273" w:rsidRPr="00A422C7" w:rsidRDefault="00A81273" w:rsidP="00462566">
            <w:pPr>
              <w:pStyle w:val="Tabletext1"/>
            </w:pPr>
            <w:r w:rsidRPr="00A422C7">
              <w:t>The lowest detection limit of the assay was 0.08 ng/</w:t>
            </w:r>
            <w:r w:rsidR="00023800" w:rsidRPr="00A422C7">
              <w:t>mL</w:t>
            </w:r>
            <w:r w:rsidRPr="00A422C7">
              <w:t xml:space="preserve">; intra- and inter-assay </w:t>
            </w:r>
            <w:r w:rsidR="00205BD5">
              <w:t>CoV</w:t>
            </w:r>
            <w:r w:rsidRPr="00A422C7">
              <w:t xml:space="preserve"> were 5.4 and 5.6%, respectively, at a concentration of 4.42 ng/</w:t>
            </w:r>
            <w:r w:rsidR="00023800" w:rsidRPr="00A422C7">
              <w:t>mL</w:t>
            </w:r>
            <w:r w:rsidRPr="00A422C7">
              <w:t>.</w:t>
            </w:r>
          </w:p>
        </w:tc>
        <w:tc>
          <w:tcPr>
            <w:tcW w:w="3969" w:type="dxa"/>
            <w:tcBorders>
              <w:top w:val="single" w:sz="4" w:space="0" w:color="auto"/>
              <w:left w:val="single" w:sz="4" w:space="0" w:color="auto"/>
              <w:bottom w:val="single" w:sz="4" w:space="0" w:color="auto"/>
              <w:right w:val="single" w:sz="4" w:space="0" w:color="auto"/>
            </w:tcBorders>
          </w:tcPr>
          <w:p w14:paraId="01C870EA" w14:textId="77777777" w:rsidR="00A81273" w:rsidRPr="00A422C7" w:rsidRDefault="00A81273" w:rsidP="00462566">
            <w:pPr>
              <w:pStyle w:val="Tabletext1"/>
              <w:rPr>
                <w:u w:val="single"/>
              </w:rPr>
            </w:pPr>
            <w:r w:rsidRPr="00A422C7">
              <w:rPr>
                <w:u w:val="single"/>
              </w:rPr>
              <w:t>Density of primordial follicles from biopsy</w:t>
            </w:r>
          </w:p>
          <w:p w14:paraId="01A07CF4" w14:textId="09A44345" w:rsidR="00A81273" w:rsidRPr="00A422C7" w:rsidRDefault="00A81273" w:rsidP="00462566">
            <w:pPr>
              <w:pStyle w:val="Tabletext1"/>
            </w:pPr>
            <w:r w:rsidRPr="00A422C7">
              <w:t xml:space="preserve">An ovarian biopsy (from both the right and left ovary) was collected by laparoscopy for </w:t>
            </w:r>
            <w:r w:rsidR="00574FA2" w:rsidRPr="00A422C7">
              <w:t>ovarian tissue cryopreservation.</w:t>
            </w:r>
          </w:p>
          <w:p w14:paraId="04E65C1C" w14:textId="77777777" w:rsidR="00A81273" w:rsidRPr="00A422C7" w:rsidRDefault="00A81273" w:rsidP="00462566">
            <w:pPr>
              <w:pStyle w:val="Tabletext1"/>
            </w:pPr>
            <w:r w:rsidRPr="00A422C7">
              <w:t>For each sample, one 0.5-µm thick section out of every 30 was collected and stained with toluidine blue for light microscopic examination to identify and count the follicles.</w:t>
            </w:r>
          </w:p>
          <w:p w14:paraId="6EA7412F" w14:textId="77777777" w:rsidR="007518CF" w:rsidRPr="00A422C7" w:rsidRDefault="00A81273" w:rsidP="00462566">
            <w:pPr>
              <w:pStyle w:val="Tabletext1"/>
              <w:rPr>
                <w:u w:val="single"/>
              </w:rPr>
            </w:pPr>
            <w:r w:rsidRPr="00A422C7">
              <w:rPr>
                <w:u w:val="single"/>
              </w:rPr>
              <w:t>FSH Elecsys assay</w:t>
            </w:r>
          </w:p>
          <w:p w14:paraId="03A607BF" w14:textId="4785AF6A" w:rsidR="00A81273" w:rsidRPr="00A422C7" w:rsidRDefault="00A81273" w:rsidP="00462566">
            <w:pPr>
              <w:pStyle w:val="Tabletext1"/>
              <w:rPr>
                <w:u w:val="single"/>
              </w:rPr>
            </w:pPr>
            <w:r w:rsidRPr="00A422C7">
              <w:rPr>
                <w:u w:val="single"/>
              </w:rPr>
              <w:t>LH Elecsys assay</w:t>
            </w:r>
          </w:p>
          <w:p w14:paraId="1383E44A" w14:textId="77777777" w:rsidR="00A81273" w:rsidRPr="00A422C7" w:rsidRDefault="00A81273" w:rsidP="00462566">
            <w:pPr>
              <w:pStyle w:val="Tabletext1"/>
            </w:pPr>
            <w:r w:rsidRPr="00A422C7">
              <w:rPr>
                <w:u w:val="single"/>
              </w:rPr>
              <w:t>E2 Elecsys assay</w:t>
            </w:r>
          </w:p>
        </w:tc>
        <w:tc>
          <w:tcPr>
            <w:tcW w:w="1276" w:type="dxa"/>
            <w:tcBorders>
              <w:top w:val="single" w:sz="4" w:space="0" w:color="auto"/>
              <w:left w:val="single" w:sz="4" w:space="0" w:color="auto"/>
              <w:bottom w:val="single" w:sz="4" w:space="0" w:color="auto"/>
              <w:right w:val="single" w:sz="4" w:space="0" w:color="auto"/>
            </w:tcBorders>
          </w:tcPr>
          <w:p w14:paraId="45D9B5DE" w14:textId="77777777" w:rsidR="00A81273" w:rsidRPr="00A422C7" w:rsidRDefault="00A81273" w:rsidP="00462566">
            <w:pPr>
              <w:pStyle w:val="Tabletext1"/>
            </w:pPr>
            <w:r w:rsidRPr="00A422C7">
              <w:t>Correlation: Spearman’s rank correlation test</w:t>
            </w:r>
          </w:p>
        </w:tc>
      </w:tr>
      <w:tr w:rsidR="00A81273" w:rsidRPr="00A422C7" w14:paraId="19A5F28B"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5C7C00D2" w14:textId="1220E909" w:rsidR="00835BA6" w:rsidRDefault="00835BA6" w:rsidP="00835BA6">
            <w:pPr>
              <w:pStyle w:val="Tabletext1"/>
            </w:pPr>
            <w:r>
              <w:t xml:space="preserve">Kim et al. </w:t>
            </w:r>
            <w:r>
              <w:lastRenderedPageBreak/>
              <w:fldChar w:fldCharType="begin"/>
            </w:r>
            <w:r>
              <w:instrText xml:space="preserve"> ADDIN EN.CITE &lt;EndNote&gt;&lt;Cite ExcludeAuth="1"&gt;&lt;Author&gt;Kim&lt;/Author&gt;&lt;Year&gt;2016&lt;/Year&gt;&lt;RecNum&gt;202&lt;/RecNum&gt;&lt;IDText&gt;1051-1058&lt;/IDText&gt;&lt;DisplayText&gt;(2016)&lt;/DisplayText&gt;&lt;record&gt;&lt;rec-number&gt;202&lt;/rec-number&gt;&lt;foreign-keys&gt;&lt;key app="EN" db-id="s2dftfxw1fvsr1efx58vfvxtvfwzxea0td02" timestamp="1511748080"&gt;202&lt;/key&gt;&lt;/foreign-keys&gt;&lt;ref-type name="Journal Article"&gt;17&lt;/ref-type&gt;&lt;contributors&gt;&lt;authors&gt;&lt;author&gt;Kim, H. A.&lt;/author&gt;&lt;author&gt;Seong, M. K.&lt;/author&gt;&lt;author&gt;Kim, J. H.&lt;/author&gt;&lt;author&gt;Kim, Y. G.&lt;/author&gt;&lt;author&gt;Choi, H. S.&lt;/author&gt;&lt;author&gt;Kim, J. S.&lt;/author&gt;&lt;author&gt;Park, I. C.&lt;/author&gt;&lt;author&gt;Jin, H. O.&lt;/author&gt;&lt;author&gt;Lee, J. K.&lt;/author&gt;&lt;author&gt;Noh, W. C.&lt;/author&gt;&lt;/authors&gt;&lt;/contributors&gt;&lt;titles&gt;&lt;title&gt;Prognostic value of anti-müllerian hormone and inhibin b in patients with premenopausal hormone receptor-positive breast cancer&lt;/title&gt;&lt;secondary-title&gt;Anticancer Research&lt;/secondary-title&gt;&lt;/titles&gt;&lt;periodical&gt;&lt;full-title&gt;Anticancer Research&lt;/full-title&gt;&lt;/periodical&gt;&lt;pages&gt;1051-1058&lt;/pages&gt;&lt;volume&gt;36&lt;/volume&gt;&lt;number&gt;3&lt;/number&gt;&lt;keywords&gt;&lt;keyword&gt;Neoplasms&lt;/keyword&gt;&lt;keyword&gt;Disease-Free Survival&lt;/keyword&gt;&lt;keyword&gt;Inhibins&lt;/keyword&gt;&lt;keyword&gt;Premenopause&lt;/keyword&gt;&lt;keyword&gt;Breast Neoplasms&lt;/keyword&gt;&lt;/keywords&gt;&lt;dates&gt;&lt;year&gt;2016&lt;/year&gt;&lt;pub-dates&gt;&lt;date&gt;2016-1-1&lt;/date&gt;&lt;/pub-dates&gt;&lt;/dates&gt;&lt;accession-num&gt;rayyan-6675576&lt;/accession-num&gt;&lt;urls&gt;&lt;related-urls&gt;&lt;url&gt;http://www.embase.com/search/results?subaction=viewrecord&amp;amp;from=export&amp;amp;id=L612832763&lt;/url&gt;&lt;url&gt;http://ar.iiarjournals.org/content/36/3/1051.full.pdf&lt;/url&gt;&lt;/related-urls&gt;&lt;/urls&gt;&lt;custom1&gt;RAYYAN-INCLUSION: {&amp;quot;Sharon&amp;quot;=&amp;gt;true, &amp;quot;Joanne&amp;quot;=&amp;gt;true}&lt;/custom1&gt;&lt;/record&gt;&lt;/Cite&gt;&lt;/EndNote&gt;</w:instrText>
            </w:r>
            <w:r>
              <w:fldChar w:fldCharType="separate"/>
            </w:r>
            <w:r>
              <w:rPr>
                <w:noProof/>
              </w:rPr>
              <w:t>(</w:t>
            </w:r>
            <w:hyperlink w:anchor="_ENREF_33" w:tooltip="Kim, 2016 #202" w:history="1">
              <w:r>
                <w:rPr>
                  <w:noProof/>
                </w:rPr>
                <w:t>2016</w:t>
              </w:r>
            </w:hyperlink>
            <w:r>
              <w:rPr>
                <w:noProof/>
              </w:rPr>
              <w:t>)</w:t>
            </w:r>
            <w:r>
              <w:fldChar w:fldCharType="end"/>
            </w:r>
          </w:p>
          <w:p w14:paraId="77C136FB" w14:textId="1C386FF4" w:rsidR="00A81273" w:rsidRPr="00A422C7" w:rsidRDefault="00835BA6" w:rsidP="00835BA6">
            <w:pPr>
              <w:pStyle w:val="Tabletext1"/>
            </w:pPr>
            <w:r>
              <w:t>Korea</w:t>
            </w:r>
          </w:p>
        </w:tc>
        <w:tc>
          <w:tcPr>
            <w:tcW w:w="1445" w:type="dxa"/>
            <w:tcBorders>
              <w:top w:val="single" w:sz="4" w:space="0" w:color="auto"/>
              <w:left w:val="single" w:sz="4" w:space="0" w:color="auto"/>
              <w:bottom w:val="single" w:sz="4" w:space="0" w:color="auto"/>
            </w:tcBorders>
          </w:tcPr>
          <w:p w14:paraId="4A672A4D" w14:textId="77777777" w:rsidR="00A81273" w:rsidRPr="00A422C7" w:rsidRDefault="00A81273" w:rsidP="00462566">
            <w:pPr>
              <w:pStyle w:val="Tabletext1"/>
            </w:pPr>
            <w:r w:rsidRPr="00A422C7">
              <w:lastRenderedPageBreak/>
              <w:t>Case series</w:t>
            </w:r>
          </w:p>
          <w:p w14:paraId="72CEB432" w14:textId="77777777" w:rsidR="00A81273" w:rsidRPr="00A422C7" w:rsidRDefault="00A81273" w:rsidP="00462566">
            <w:pPr>
              <w:pStyle w:val="Tabletext1"/>
            </w:pPr>
            <w:r w:rsidRPr="00A422C7">
              <w:lastRenderedPageBreak/>
              <w:t>Quality: Low risk of bias</w:t>
            </w:r>
          </w:p>
        </w:tc>
        <w:tc>
          <w:tcPr>
            <w:tcW w:w="3375" w:type="dxa"/>
            <w:tcBorders>
              <w:top w:val="single" w:sz="4" w:space="0" w:color="auto"/>
              <w:left w:val="single" w:sz="4" w:space="0" w:color="auto"/>
              <w:bottom w:val="single" w:sz="4" w:space="0" w:color="auto"/>
              <w:right w:val="single" w:sz="4" w:space="0" w:color="auto"/>
            </w:tcBorders>
          </w:tcPr>
          <w:p w14:paraId="4331617E" w14:textId="57A3DC8B" w:rsidR="007518CF" w:rsidRPr="00A422C7" w:rsidRDefault="00A81273" w:rsidP="00462566">
            <w:pPr>
              <w:pStyle w:val="Tabletext1"/>
            </w:pPr>
            <w:r w:rsidRPr="00A422C7">
              <w:lastRenderedPageBreak/>
              <w:t>N=32 pre</w:t>
            </w:r>
            <w:r w:rsidR="003036C4">
              <w:t>-menopausal</w:t>
            </w:r>
            <w:r w:rsidRPr="00A422C7">
              <w:t xml:space="preserve"> women with clinical stage III hormone receptor-positive </w:t>
            </w:r>
            <w:r w:rsidRPr="00A422C7">
              <w:lastRenderedPageBreak/>
              <w:t>invasive ductal breast cancer treated by neoadjuvant chemotherapy</w:t>
            </w:r>
          </w:p>
          <w:p w14:paraId="057EB859" w14:textId="56B5AB8B" w:rsidR="00A81273" w:rsidRPr="00A422C7" w:rsidRDefault="00A81273" w:rsidP="00462566">
            <w:pPr>
              <w:pStyle w:val="Tabletext1"/>
            </w:pPr>
            <w:r w:rsidRPr="00A422C7">
              <w:t>FSH level ≤30 mIU/</w:t>
            </w:r>
            <w:r w:rsidR="00023800" w:rsidRPr="00A422C7">
              <w:t>mL</w:t>
            </w:r>
            <w:r w:rsidRPr="00A422C7">
              <w:t xml:space="preserve"> at the time of diagnosis, was considered pre</w:t>
            </w:r>
            <w:r w:rsidR="003036C4">
              <w:t>-menopausal</w:t>
            </w:r>
          </w:p>
          <w:p w14:paraId="6972DF68" w14:textId="294DEC82" w:rsidR="00A81273" w:rsidRPr="00A422C7" w:rsidRDefault="00A81273" w:rsidP="00462566">
            <w:pPr>
              <w:pStyle w:val="Tabletext1"/>
            </w:pPr>
            <w:r w:rsidRPr="00A422C7">
              <w:t>Median age = 41.5 years (range</w:t>
            </w:r>
            <w:r w:rsidR="00814320" w:rsidRPr="00A422C7">
              <w:t xml:space="preserve"> </w:t>
            </w:r>
            <w:r w:rsidRPr="00A422C7">
              <w:t>27–</w:t>
            </w:r>
            <w:r w:rsidR="00E830B2">
              <w:t>50).</w:t>
            </w:r>
          </w:p>
        </w:tc>
        <w:tc>
          <w:tcPr>
            <w:tcW w:w="3969" w:type="dxa"/>
            <w:tcBorders>
              <w:top w:val="single" w:sz="4" w:space="0" w:color="auto"/>
              <w:left w:val="single" w:sz="4" w:space="0" w:color="auto"/>
              <w:bottom w:val="single" w:sz="4" w:space="0" w:color="auto"/>
              <w:right w:val="single" w:sz="4" w:space="0" w:color="auto"/>
            </w:tcBorders>
          </w:tcPr>
          <w:p w14:paraId="76F19802" w14:textId="77777777" w:rsidR="00A81273" w:rsidRPr="00A422C7" w:rsidRDefault="00A81273" w:rsidP="00462566">
            <w:pPr>
              <w:pStyle w:val="Tabletext1"/>
              <w:rPr>
                <w:u w:val="single"/>
              </w:rPr>
            </w:pPr>
            <w:r w:rsidRPr="00A422C7">
              <w:rPr>
                <w:u w:val="single"/>
              </w:rPr>
              <w:lastRenderedPageBreak/>
              <w:t>USCN AMH ELISA</w:t>
            </w:r>
          </w:p>
          <w:p w14:paraId="2D616EE7" w14:textId="77777777" w:rsidR="00A81273" w:rsidRPr="00A422C7" w:rsidRDefault="00A81273" w:rsidP="00462566">
            <w:pPr>
              <w:pStyle w:val="Tabletext1"/>
            </w:pPr>
            <w:r w:rsidRPr="00A422C7">
              <w:lastRenderedPageBreak/>
              <w:t>Standards or samples were added to the wells along with an AMH-specific, biotin-conjugated polyclonal antibody and avidin conjugated to horseradish peroxidase. After incubation, a substrate solution was added to the wells, resulting in a colorimetric reaction. The optical intensity, which is proportional to the amount of AMH bound in the initial step, was measured at 405 nm in a microplate reader; and AMH concentrations were extrapolated from standard curves.</w:t>
            </w:r>
          </w:p>
        </w:tc>
        <w:tc>
          <w:tcPr>
            <w:tcW w:w="3969" w:type="dxa"/>
            <w:tcBorders>
              <w:top w:val="single" w:sz="4" w:space="0" w:color="auto"/>
              <w:left w:val="single" w:sz="4" w:space="0" w:color="auto"/>
              <w:bottom w:val="single" w:sz="4" w:space="0" w:color="auto"/>
              <w:right w:val="single" w:sz="4" w:space="0" w:color="auto"/>
            </w:tcBorders>
          </w:tcPr>
          <w:p w14:paraId="0DE8563C" w14:textId="77777777" w:rsidR="00A81273" w:rsidRPr="00A422C7" w:rsidRDefault="00A81273" w:rsidP="00462566">
            <w:pPr>
              <w:pStyle w:val="Tabletext1"/>
              <w:rPr>
                <w:u w:val="single"/>
              </w:rPr>
            </w:pPr>
            <w:r w:rsidRPr="00A422C7">
              <w:rPr>
                <w:u w:val="single"/>
              </w:rPr>
              <w:lastRenderedPageBreak/>
              <w:t>BlueGene inhibin B ELISA</w:t>
            </w:r>
          </w:p>
          <w:p w14:paraId="2540E5C2" w14:textId="51286001" w:rsidR="00A81273" w:rsidRPr="00A422C7" w:rsidRDefault="00A81273" w:rsidP="00462566">
            <w:pPr>
              <w:pStyle w:val="Tabletext1"/>
            </w:pPr>
            <w:r w:rsidRPr="00A422C7">
              <w:lastRenderedPageBreak/>
              <w:t xml:space="preserve">Standards or samples were added to microtiter wells pre-coated with an inhibin B-specific monoclonal antibody. An HRP-conjugated polyclonal antibody specific for inhibin B </w:t>
            </w:r>
            <w:r w:rsidR="00574FA2" w:rsidRPr="00A422C7">
              <w:t>was then added to the wells to sandwich</w:t>
            </w:r>
            <w:r w:rsidRPr="00A422C7">
              <w:t xml:space="preserve"> the inhibin B bound to the immobilized monoclonal antibody. After incubation, the wells were thoroughly washed and a substrate s</w:t>
            </w:r>
            <w:r w:rsidR="00574FA2" w:rsidRPr="00A422C7">
              <w:t>olution was added. The antibody-</w:t>
            </w:r>
            <w:r w:rsidRPr="00A422C7">
              <w:t>substrate reaction was terminated by adding a sulfuric acid solution, and optical intensity was measured spectrophotometrically at 450 nm. The inhibin B concentration in each sample was extrapolated from a standard curve.</w:t>
            </w:r>
          </w:p>
          <w:p w14:paraId="45BB1287" w14:textId="77777777" w:rsidR="00A81273" w:rsidRPr="00A422C7" w:rsidRDefault="00A81273" w:rsidP="00462566">
            <w:pPr>
              <w:pStyle w:val="Tabletext1"/>
              <w:rPr>
                <w:u w:val="single"/>
              </w:rPr>
            </w:pPr>
            <w:r w:rsidRPr="00A422C7">
              <w:rPr>
                <w:u w:val="single"/>
              </w:rPr>
              <w:t>FSH Elecsys assay</w:t>
            </w:r>
          </w:p>
          <w:p w14:paraId="34C290B9" w14:textId="597943E6" w:rsidR="00A81273" w:rsidRPr="00A422C7" w:rsidRDefault="00A81273" w:rsidP="00462566">
            <w:pPr>
              <w:pStyle w:val="Tabletext1"/>
            </w:pPr>
            <w:r w:rsidRPr="00A422C7">
              <w:t>The limit of detection was 0.100 mIU/</w:t>
            </w:r>
            <w:r w:rsidR="00023800" w:rsidRPr="00A422C7">
              <w:t>mL</w:t>
            </w:r>
            <w:r w:rsidRPr="00A422C7">
              <w:t>.</w:t>
            </w:r>
          </w:p>
          <w:p w14:paraId="2736CE38" w14:textId="77777777" w:rsidR="00A81273" w:rsidRPr="00A422C7" w:rsidRDefault="00A81273" w:rsidP="00462566">
            <w:pPr>
              <w:pStyle w:val="Tabletext1"/>
              <w:rPr>
                <w:u w:val="single"/>
              </w:rPr>
            </w:pPr>
            <w:r w:rsidRPr="00A422C7">
              <w:rPr>
                <w:u w:val="single"/>
              </w:rPr>
              <w:t>E2 Elecsys assay</w:t>
            </w:r>
          </w:p>
          <w:p w14:paraId="7C91F8FB" w14:textId="3BB4C8D7" w:rsidR="00A81273" w:rsidRPr="00A422C7" w:rsidRDefault="00A81273" w:rsidP="00462566">
            <w:pPr>
              <w:pStyle w:val="Tabletext1"/>
            </w:pPr>
            <w:r w:rsidRPr="00A422C7">
              <w:t>The limit of detection was 5.00 pg/</w:t>
            </w:r>
            <w:r w:rsidR="00023800" w:rsidRPr="00A422C7">
              <w:t>mL</w:t>
            </w:r>
            <w:r w:rsidRPr="00A422C7">
              <w:t>.</w:t>
            </w:r>
          </w:p>
        </w:tc>
        <w:tc>
          <w:tcPr>
            <w:tcW w:w="1276" w:type="dxa"/>
            <w:tcBorders>
              <w:top w:val="single" w:sz="4" w:space="0" w:color="auto"/>
              <w:left w:val="single" w:sz="4" w:space="0" w:color="auto"/>
              <w:bottom w:val="single" w:sz="4" w:space="0" w:color="auto"/>
              <w:right w:val="single" w:sz="4" w:space="0" w:color="auto"/>
            </w:tcBorders>
          </w:tcPr>
          <w:p w14:paraId="0709AFB2" w14:textId="77777777" w:rsidR="00A81273" w:rsidRPr="00A422C7" w:rsidRDefault="00A81273" w:rsidP="00462566">
            <w:pPr>
              <w:pStyle w:val="Tabletext1"/>
            </w:pPr>
            <w:r w:rsidRPr="00A422C7">
              <w:lastRenderedPageBreak/>
              <w:t xml:space="preserve">Correlation: Spearman’s </w:t>
            </w:r>
            <w:r w:rsidRPr="00A422C7">
              <w:lastRenderedPageBreak/>
              <w:t>rank correlation test</w:t>
            </w:r>
          </w:p>
        </w:tc>
      </w:tr>
      <w:tr w:rsidR="00A81273" w:rsidRPr="00A422C7" w14:paraId="684C6D42"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3AB1E511" w14:textId="16ECE84E" w:rsidR="00835BA6" w:rsidRDefault="00835BA6" w:rsidP="00835BA6">
            <w:pPr>
              <w:pStyle w:val="Tabletext1"/>
            </w:pPr>
            <w:r>
              <w:lastRenderedPageBreak/>
              <w:t xml:space="preserve">Lee et al. </w:t>
            </w:r>
            <w:r>
              <w:fldChar w:fldCharType="begin"/>
            </w:r>
            <w:r>
              <w:instrText xml:space="preserve"> ADDIN EN.CITE &lt;EndNote&gt;&lt;Cite ExcludeAuth="1"&gt;&lt;Author&gt;Lee&lt;/Author&gt;&lt;Year&gt;2011&lt;/Year&gt;&lt;RecNum&gt;222&lt;/RecNum&gt;&lt;IDText&gt;651-6&lt;/IDText&gt;&lt;DisplayText&gt;(2011)&lt;/DisplayText&gt;&lt;record&gt;&lt;rec-number&gt;222&lt;/rec-number&gt;&lt;foreign-keys&gt;&lt;key app="EN" db-id="s2dftfxw1fvsr1efx58vfvxtvfwzxea0td02" timestamp="1511748083"&gt;222&lt;/key&gt;&lt;/foreign-keys&gt;&lt;ref-type name="Journal Article"&gt;17&lt;/ref-type&gt;&lt;contributors&gt;&lt;authors&gt;&lt;author&gt;Lee, S.&lt;/author&gt;&lt;author&gt;Ozkavukcu, S.&lt;/author&gt;&lt;author&gt;Heytens, E.&lt;/author&gt;&lt;author&gt;Moy, F.&lt;/author&gt;&lt;author&gt;Alappat, R. M.&lt;/author&gt;&lt;author&gt;Oktay, K.&lt;/author&gt;&lt;/authors&gt;&lt;/contributors&gt;&lt;titles&gt;&lt;title&gt;Anti-Mullerian hormone and antral follicle count as predictors for embryo/oocyte cryopreservation cycle outcomes in breast cancer patients stimulated with letrozole and follicle stimulating hormone&lt;/title&gt;&lt;secondary-title&gt;J Assist Reprod Genet&lt;/secondary-title&gt;&lt;/titles&gt;&lt;periodical&gt;&lt;full-title&gt;J Assist Reprod Genet&lt;/full-title&gt;&lt;/periodical&gt;&lt;pages&gt;651-6&lt;/pages&gt;&lt;volume&gt;28&lt;/volume&gt;&lt;number&gt;7&lt;/number&gt;&lt;keywords&gt;&lt;keyword&gt;Cryopreservation&lt;/keyword&gt;&lt;keyword&gt;Follicle Stimulating Hormone&lt;/keyword&gt;&lt;keyword&gt;Breast Neoplasms&lt;/keyword&gt;&lt;/keywords&gt;&lt;dates&gt;&lt;year&gt;2011&lt;/year&gt;&lt;pub-dates&gt;&lt;date&gt;2011-1-1&lt;/date&gt;&lt;/pub-dates&gt;&lt;/dates&gt;&lt;isbn&gt;1058-0468 (Print) 1058-0468&lt;/isbn&gt;&lt;accession-num&gt;rayyan-5557264&lt;/accession-num&gt;&lt;urls&gt;&lt;related-urls&gt;&lt;url&gt;https://www.ncbi.nlm.nih.gov/pmc/articles/PMC3162058/pdf/10815_2011_Article_9567.pdf&lt;/url&gt;&lt;/related-urls&gt;&lt;/urls&gt;&lt;custom1&gt;RAYYAN-INCLUSION: {&amp;quot;Sharon&amp;quot;=&amp;gt;true}&lt;/custom1&gt;&lt;language&gt;eng&lt;/language&gt;&lt;/record&gt;&lt;/Cite&gt;&lt;/EndNote&gt;</w:instrText>
            </w:r>
            <w:r>
              <w:fldChar w:fldCharType="separate"/>
            </w:r>
            <w:r>
              <w:rPr>
                <w:noProof/>
              </w:rPr>
              <w:t>(</w:t>
            </w:r>
            <w:hyperlink w:anchor="_ENREF_36" w:tooltip="Lee, 2011 #222" w:history="1">
              <w:r>
                <w:rPr>
                  <w:noProof/>
                </w:rPr>
                <w:t>2011</w:t>
              </w:r>
            </w:hyperlink>
            <w:r>
              <w:rPr>
                <w:noProof/>
              </w:rPr>
              <w:t>)</w:t>
            </w:r>
            <w:r>
              <w:fldChar w:fldCharType="end"/>
            </w:r>
          </w:p>
          <w:p w14:paraId="274AB904" w14:textId="55AD9956" w:rsidR="00A81273" w:rsidRPr="00A422C7" w:rsidRDefault="00835BA6" w:rsidP="00835BA6">
            <w:pPr>
              <w:pStyle w:val="Tabletext1"/>
            </w:pPr>
            <w:r>
              <w:t>USA</w:t>
            </w:r>
          </w:p>
        </w:tc>
        <w:tc>
          <w:tcPr>
            <w:tcW w:w="1445" w:type="dxa"/>
            <w:tcBorders>
              <w:top w:val="single" w:sz="4" w:space="0" w:color="auto"/>
              <w:left w:val="single" w:sz="4" w:space="0" w:color="auto"/>
              <w:bottom w:val="single" w:sz="4" w:space="0" w:color="auto"/>
              <w:right w:val="single" w:sz="4" w:space="0" w:color="auto"/>
            </w:tcBorders>
          </w:tcPr>
          <w:p w14:paraId="78A899AE" w14:textId="77777777" w:rsidR="00A81273" w:rsidRPr="00A422C7" w:rsidRDefault="00A81273" w:rsidP="00462566">
            <w:pPr>
              <w:pStyle w:val="Tabletext1"/>
            </w:pPr>
            <w:r w:rsidRPr="00A422C7">
              <w:t>Case series</w:t>
            </w:r>
          </w:p>
          <w:p w14:paraId="771C9022"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tcBorders>
          </w:tcPr>
          <w:p w14:paraId="1DD26629" w14:textId="77777777" w:rsidR="00A81273" w:rsidRPr="00A422C7" w:rsidRDefault="00A81273" w:rsidP="00462566">
            <w:pPr>
              <w:pStyle w:val="Tabletext1"/>
            </w:pPr>
            <w:r w:rsidRPr="00A422C7">
              <w:t>N=41 women with breast cancer before adjuvant treatment</w:t>
            </w:r>
          </w:p>
          <w:p w14:paraId="2BA5E579" w14:textId="77777777" w:rsidR="00A81273" w:rsidRPr="00A422C7" w:rsidRDefault="00A81273" w:rsidP="00462566">
            <w:pPr>
              <w:pStyle w:val="Tabletext1"/>
            </w:pPr>
            <w:r w:rsidRPr="00A422C7">
              <w:t>n=7 had oocyte freezing</w:t>
            </w:r>
          </w:p>
          <w:p w14:paraId="16611DBD" w14:textId="77777777" w:rsidR="00A81273" w:rsidRPr="00A422C7" w:rsidRDefault="00A81273" w:rsidP="00462566">
            <w:pPr>
              <w:pStyle w:val="Tabletext1"/>
            </w:pPr>
            <w:r w:rsidRPr="00A422C7">
              <w:t>n=29 had embryo cryopreservation</w:t>
            </w:r>
          </w:p>
          <w:p w14:paraId="26BE99C7" w14:textId="77777777" w:rsidR="00A81273" w:rsidRPr="00A422C7" w:rsidRDefault="00A81273" w:rsidP="00462566">
            <w:pPr>
              <w:pStyle w:val="Tabletext1"/>
            </w:pPr>
            <w:r w:rsidRPr="00A422C7">
              <w:t>n=4 underwent both</w:t>
            </w:r>
          </w:p>
          <w:p w14:paraId="791E3105" w14:textId="250E9118" w:rsidR="00A81273" w:rsidRPr="00A422C7" w:rsidRDefault="00A81273" w:rsidP="00462566">
            <w:pPr>
              <w:pStyle w:val="Tabletext1"/>
            </w:pPr>
            <w:r w:rsidRPr="00A422C7">
              <w:t>Mean age = 34.8</w:t>
            </w:r>
            <w:r w:rsidR="00CB05BE" w:rsidRPr="00A422C7">
              <w:t> ± </w:t>
            </w:r>
            <w:r w:rsidRPr="00A422C7">
              <w:t>4.7 years (range 24–</w:t>
            </w:r>
            <w:r w:rsidR="00E830B2">
              <w:t>44).</w:t>
            </w:r>
          </w:p>
        </w:tc>
        <w:tc>
          <w:tcPr>
            <w:tcW w:w="3969" w:type="dxa"/>
            <w:tcBorders>
              <w:top w:val="single" w:sz="4" w:space="0" w:color="auto"/>
              <w:left w:val="single" w:sz="4" w:space="0" w:color="auto"/>
              <w:bottom w:val="single" w:sz="4" w:space="0" w:color="auto"/>
              <w:right w:val="single" w:sz="4" w:space="0" w:color="auto"/>
            </w:tcBorders>
          </w:tcPr>
          <w:p w14:paraId="69E6DC26" w14:textId="6280ABF3" w:rsidR="00A81273" w:rsidRPr="00A422C7" w:rsidRDefault="009D0A93" w:rsidP="00462566">
            <w:pPr>
              <w:pStyle w:val="Tabletext1"/>
              <w:rPr>
                <w:u w:val="single"/>
              </w:rPr>
            </w:pPr>
            <w:r w:rsidRPr="00A422C7">
              <w:rPr>
                <w:u w:val="single"/>
              </w:rPr>
              <w:t>DSL ACTIVE® AMH ELISA</w:t>
            </w:r>
          </w:p>
        </w:tc>
        <w:tc>
          <w:tcPr>
            <w:tcW w:w="3969" w:type="dxa"/>
            <w:tcBorders>
              <w:top w:val="single" w:sz="4" w:space="0" w:color="auto"/>
              <w:left w:val="single" w:sz="4" w:space="0" w:color="auto"/>
              <w:bottom w:val="single" w:sz="4" w:space="0" w:color="auto"/>
              <w:right w:val="single" w:sz="4" w:space="0" w:color="auto"/>
            </w:tcBorders>
          </w:tcPr>
          <w:p w14:paraId="5898958A" w14:textId="77777777" w:rsidR="00A81273" w:rsidRPr="00A422C7" w:rsidRDefault="00A81273" w:rsidP="00462566">
            <w:pPr>
              <w:pStyle w:val="Tabletext1"/>
              <w:rPr>
                <w:u w:val="single"/>
              </w:rPr>
            </w:pPr>
            <w:r w:rsidRPr="00A422C7">
              <w:rPr>
                <w:u w:val="single"/>
              </w:rPr>
              <w:t>AFC TVUS</w:t>
            </w:r>
          </w:p>
          <w:p w14:paraId="70ADB302" w14:textId="500F93DB" w:rsidR="00A81273" w:rsidRPr="00A422C7" w:rsidRDefault="00A81273" w:rsidP="00462566">
            <w:pPr>
              <w:pStyle w:val="Tabletext1"/>
            </w:pPr>
            <w:r w:rsidRPr="00A422C7">
              <w:t>AFC was per</w:t>
            </w:r>
            <w:r w:rsidR="00814320" w:rsidRPr="00A422C7">
              <w:t>formed on menstrual cycle day 2</w:t>
            </w:r>
          </w:p>
          <w:p w14:paraId="52B958CC" w14:textId="77777777" w:rsidR="00A81273" w:rsidRPr="00A422C7" w:rsidRDefault="00A81273" w:rsidP="00462566">
            <w:pPr>
              <w:pStyle w:val="Tabletext1"/>
              <w:rPr>
                <w:u w:val="single"/>
              </w:rPr>
            </w:pPr>
            <w:r w:rsidRPr="00A422C7">
              <w:rPr>
                <w:u w:val="single"/>
              </w:rPr>
              <w:t>Inhibin B assay</w:t>
            </w:r>
          </w:p>
          <w:p w14:paraId="2B907ABA" w14:textId="77777777" w:rsidR="00A81273" w:rsidRPr="00A422C7" w:rsidRDefault="00A81273" w:rsidP="00462566">
            <w:pPr>
              <w:pStyle w:val="Tabletext1"/>
            </w:pPr>
            <w:r w:rsidRPr="00A422C7">
              <w:t>Not reported</w:t>
            </w:r>
          </w:p>
          <w:p w14:paraId="60C10BA2" w14:textId="77777777" w:rsidR="00A81273" w:rsidRPr="00A422C7" w:rsidRDefault="00A81273" w:rsidP="00462566">
            <w:pPr>
              <w:pStyle w:val="Tabletext1"/>
              <w:rPr>
                <w:u w:val="single"/>
              </w:rPr>
            </w:pPr>
            <w:r w:rsidRPr="00A422C7">
              <w:rPr>
                <w:u w:val="single"/>
              </w:rPr>
              <w:t>FSH assay</w:t>
            </w:r>
          </w:p>
          <w:p w14:paraId="68E82C6D" w14:textId="77777777" w:rsidR="00A81273" w:rsidRPr="00A422C7" w:rsidRDefault="00A81273" w:rsidP="00462566">
            <w:pPr>
              <w:pStyle w:val="Tabletext1"/>
            </w:pPr>
            <w:r w:rsidRPr="00A422C7">
              <w:t>Not reported</w:t>
            </w:r>
          </w:p>
        </w:tc>
        <w:tc>
          <w:tcPr>
            <w:tcW w:w="1276" w:type="dxa"/>
            <w:tcBorders>
              <w:top w:val="single" w:sz="4" w:space="0" w:color="auto"/>
              <w:left w:val="single" w:sz="4" w:space="0" w:color="auto"/>
              <w:bottom w:val="single" w:sz="4" w:space="0" w:color="auto"/>
              <w:right w:val="single" w:sz="4" w:space="0" w:color="auto"/>
            </w:tcBorders>
          </w:tcPr>
          <w:p w14:paraId="2DFD44FD" w14:textId="77777777" w:rsidR="00A81273" w:rsidRPr="00A422C7" w:rsidRDefault="00A81273" w:rsidP="00462566">
            <w:pPr>
              <w:pStyle w:val="Tabletext1"/>
            </w:pPr>
            <w:r w:rsidRPr="00A422C7">
              <w:t>Correlation: Spearman’s rank correlation test</w:t>
            </w:r>
          </w:p>
        </w:tc>
      </w:tr>
      <w:tr w:rsidR="00A81273" w:rsidRPr="00A422C7" w14:paraId="75ED1186"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5B16DC04" w14:textId="0774A353" w:rsidR="00835BA6" w:rsidRDefault="00835BA6" w:rsidP="00835BA6">
            <w:pPr>
              <w:spacing w:before="40" w:after="40" w:line="240" w:lineRule="auto"/>
              <w:rPr>
                <w:rFonts w:ascii="Arial Narrow" w:hAnsi="Arial Narrow"/>
                <w:sz w:val="20"/>
              </w:rPr>
            </w:pPr>
            <w:r w:rsidRPr="005849A6">
              <w:rPr>
                <w:rFonts w:ascii="Arial Narrow" w:hAnsi="Arial Narrow"/>
                <w:sz w:val="20"/>
              </w:rPr>
              <w:t xml:space="preserve">Lutchman Singh et al. </w:t>
            </w:r>
            <w:r>
              <w:rPr>
                <w:rFonts w:ascii="Arial Narrow" w:hAnsi="Arial Narrow"/>
                <w:sz w:val="20"/>
              </w:rPr>
              <w:fldChar w:fldCharType="begin"/>
            </w:r>
            <w:r>
              <w:rPr>
                <w:rFonts w:ascii="Arial Narrow" w:hAnsi="Arial Narrow"/>
                <w:sz w:val="20"/>
              </w:rPr>
              <w:instrText xml:space="preserve"> ADDIN EN.CITE &lt;EndNote&gt;&lt;Cite ExcludeAuth="1"&gt;&lt;Author&gt;Lutchman Singh&lt;/Author&gt;&lt;Year&gt;2007&lt;/Year&gt;&lt;RecNum&gt;240&lt;/RecNum&gt;&lt;IDText&gt;1808-16&lt;/IDText&gt;&lt;DisplayText&gt;(2007)&lt;/DisplayText&gt;&lt;record&gt;&lt;rec-number&gt;240&lt;/rec-number&gt;&lt;foreign-keys&gt;&lt;key app="EN" db-id="s2dftfxw1fvsr1efx58vfvxtvfwzxea0td02" timestamp="1511748085"&gt;240&lt;/key&gt;&lt;/foreign-keys&gt;&lt;ref-type name="Journal Article"&gt;17&lt;/ref-type&gt;&lt;contributors&gt;&lt;authors&gt;&lt;author&gt;Lutchman Singh, K.&lt;/author&gt;&lt;author&gt;Muttukrishna, S.&lt;/author&gt;&lt;author&gt;Stein, R. C.&lt;/author&gt;&lt;author&gt;McGarrigle, H. H.&lt;/author&gt;&lt;author&gt;Patel, A.&lt;/author&gt;&lt;author&gt;Parikh, B.&lt;/author&gt;&lt;author&gt;Groome, N. P.&lt;/author&gt;&lt;author&gt;Davies, M. C.&lt;/author&gt;&lt;author&gt;Chatterjee, R.&lt;/author&gt;&lt;/authors&gt;&lt;/contributors&gt;&lt;titles&gt;&lt;title&gt;Predictors of ovarian reserve in young women with breast cancer&lt;/title&gt;&lt;secondary-title&gt;Br J Cancer&lt;/secondary-title&gt;&lt;/titles&gt;&lt;periodical&gt;&lt;full-title&gt;Br J Cancer&lt;/full-title&gt;&lt;/periodical&gt;&lt;pages&gt;1808-16&lt;/pages&gt;&lt;volume&gt;96&lt;/volume&gt;&lt;number&gt;12&lt;/number&gt;&lt;keywords&gt;&lt;keyword&gt;Follicle Stimulating Hormone&lt;/keyword&gt;&lt;keyword&gt;Breast Neoplasms&lt;/keyword&gt;&lt;/keywords&gt;&lt;dates&gt;&lt;year&gt;2007&lt;/year&gt;&lt;pub-dates&gt;&lt;date&gt;2007-1-1&lt;/date&gt;&lt;/pub-dates&gt;&lt;/dates&gt;&lt;isbn&gt;0007-0920&lt;/isbn&gt;&lt;accession-num&gt;rayyan-6676340&lt;/accession-num&gt;&lt;urls&gt;&lt;related-urls&gt;&lt;url&gt;https://www.ncbi.nlm.nih.gov/pmc/articles/PMC2359977/pdf/6603814a.pdf&lt;/url&gt;&lt;/related-urls&gt;&lt;/urls&gt;&lt;custom1&gt;RAYYAN-INCLUSION: {&amp;quot;Sharon&amp;quot;=&amp;gt;true, &amp;quot;Joanne&amp;quot;=&amp;gt;true}&lt;/custom1&gt;&lt;language&gt;eng&lt;/language&gt;&lt;/record&gt;&lt;/Cite&gt;&lt;/EndNote&gt;</w:instrText>
            </w:r>
            <w:r>
              <w:rPr>
                <w:rFonts w:ascii="Arial Narrow" w:hAnsi="Arial Narrow"/>
                <w:sz w:val="20"/>
              </w:rPr>
              <w:fldChar w:fldCharType="separate"/>
            </w:r>
            <w:r>
              <w:rPr>
                <w:rFonts w:ascii="Arial Narrow" w:hAnsi="Arial Narrow"/>
                <w:noProof/>
                <w:sz w:val="20"/>
              </w:rPr>
              <w:t>(</w:t>
            </w:r>
            <w:hyperlink w:anchor="_ENREF_41" w:tooltip="Lutchman Singh, 2007 #240" w:history="1">
              <w:r>
                <w:rPr>
                  <w:rFonts w:ascii="Arial Narrow" w:hAnsi="Arial Narrow"/>
                  <w:noProof/>
                  <w:sz w:val="20"/>
                </w:rPr>
                <w:t>2007</w:t>
              </w:r>
            </w:hyperlink>
            <w:r>
              <w:rPr>
                <w:rFonts w:ascii="Arial Narrow" w:hAnsi="Arial Narrow"/>
                <w:noProof/>
                <w:sz w:val="20"/>
              </w:rPr>
              <w:t>)</w:t>
            </w:r>
            <w:r>
              <w:rPr>
                <w:rFonts w:ascii="Arial Narrow" w:hAnsi="Arial Narrow"/>
                <w:sz w:val="20"/>
              </w:rPr>
              <w:fldChar w:fldCharType="end"/>
            </w:r>
          </w:p>
          <w:p w14:paraId="780569EE" w14:textId="17035F72" w:rsidR="00A81273" w:rsidRPr="00A422C7" w:rsidRDefault="00835BA6" w:rsidP="00835BA6">
            <w:pPr>
              <w:pStyle w:val="Tabletext1"/>
            </w:pPr>
            <w:r>
              <w:t>UK</w:t>
            </w:r>
          </w:p>
        </w:tc>
        <w:tc>
          <w:tcPr>
            <w:tcW w:w="1445" w:type="dxa"/>
            <w:tcBorders>
              <w:top w:val="single" w:sz="4" w:space="0" w:color="auto"/>
              <w:left w:val="single" w:sz="4" w:space="0" w:color="auto"/>
              <w:bottom w:val="single" w:sz="4" w:space="0" w:color="auto"/>
            </w:tcBorders>
          </w:tcPr>
          <w:p w14:paraId="02BDB5F8" w14:textId="77777777" w:rsidR="00A81273" w:rsidRPr="00A422C7" w:rsidRDefault="00A81273" w:rsidP="00462566">
            <w:pPr>
              <w:pStyle w:val="Tabletext1"/>
            </w:pPr>
            <w:r w:rsidRPr="00A422C7">
              <w:t>Case series</w:t>
            </w:r>
          </w:p>
          <w:p w14:paraId="42FA8ACA"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20AB3ADC" w14:textId="77777777" w:rsidR="00A81273" w:rsidRPr="00A422C7" w:rsidRDefault="00A81273" w:rsidP="00462566">
            <w:pPr>
              <w:pStyle w:val="Tabletext1"/>
            </w:pPr>
            <w:r w:rsidRPr="00A422C7">
              <w:t>N=22 pre-menopausal women with breast cancer pre- and post-treatment</w:t>
            </w:r>
          </w:p>
          <w:p w14:paraId="63FDBB5F" w14:textId="77777777" w:rsidR="00A81273" w:rsidRPr="00A422C7" w:rsidRDefault="00A81273" w:rsidP="00462566">
            <w:pPr>
              <w:pStyle w:val="Tabletext1"/>
            </w:pPr>
            <w:r w:rsidRPr="00A422C7">
              <w:t>In group 1, patients were offered ovarian reserve testing before receiving chemotherapy and further testing immediately following chemotherapy</w:t>
            </w:r>
          </w:p>
          <w:p w14:paraId="180A2739" w14:textId="77777777" w:rsidR="00A81273" w:rsidRPr="00A422C7" w:rsidRDefault="00A81273" w:rsidP="00462566">
            <w:pPr>
              <w:pStyle w:val="Tabletext1"/>
            </w:pPr>
            <w:r w:rsidRPr="00A422C7">
              <w:t xml:space="preserve">In group 2, patients were tested for ovarian </w:t>
            </w:r>
            <w:r w:rsidRPr="00A422C7">
              <w:lastRenderedPageBreak/>
              <w:t>reserve before chemotherapy and after chemotherapy (once regular menstrual cycles had resumed).</w:t>
            </w:r>
          </w:p>
        </w:tc>
        <w:tc>
          <w:tcPr>
            <w:tcW w:w="3969" w:type="dxa"/>
            <w:tcBorders>
              <w:top w:val="single" w:sz="4" w:space="0" w:color="auto"/>
              <w:left w:val="single" w:sz="4" w:space="0" w:color="auto"/>
              <w:bottom w:val="single" w:sz="4" w:space="0" w:color="auto"/>
              <w:right w:val="single" w:sz="4" w:space="0" w:color="auto"/>
            </w:tcBorders>
          </w:tcPr>
          <w:p w14:paraId="588F64E9" w14:textId="77777777" w:rsidR="00A81273" w:rsidRPr="00A422C7" w:rsidRDefault="00A81273" w:rsidP="00462566">
            <w:pPr>
              <w:spacing w:before="40" w:after="40" w:line="240" w:lineRule="auto"/>
              <w:rPr>
                <w:rFonts w:ascii="Arial Narrow" w:hAnsi="Arial Narrow"/>
                <w:sz w:val="20"/>
                <w:u w:val="single"/>
              </w:rPr>
            </w:pPr>
            <w:r w:rsidRPr="00A422C7">
              <w:rPr>
                <w:rFonts w:ascii="Arial Narrow" w:hAnsi="Arial Narrow"/>
                <w:sz w:val="20"/>
                <w:u w:val="single"/>
              </w:rPr>
              <w:lastRenderedPageBreak/>
              <w:t>EIA AMH/MIS assay</w:t>
            </w:r>
          </w:p>
          <w:p w14:paraId="101F291F" w14:textId="5D01A9EA" w:rsidR="00A81273" w:rsidRPr="00A422C7" w:rsidRDefault="00A81273" w:rsidP="00462566">
            <w:pPr>
              <w:pStyle w:val="Tabletext1"/>
            </w:pPr>
            <w:r w:rsidRPr="00A422C7">
              <w:t>The sensitivity of the assay was 0.098 ng/</w:t>
            </w:r>
            <w:r w:rsidR="00023800" w:rsidRPr="00A422C7">
              <w:t>mL</w:t>
            </w:r>
            <w:r w:rsidRPr="00A422C7">
              <w:t xml:space="preserve">. The intra- and inter-assay </w:t>
            </w:r>
            <w:r w:rsidR="00776418">
              <w:t>CoV</w:t>
            </w:r>
            <w:r w:rsidRPr="00A422C7">
              <w:t xml:space="preserve"> were &lt;15% using an in-house quality control pool.</w:t>
            </w:r>
          </w:p>
        </w:tc>
        <w:tc>
          <w:tcPr>
            <w:tcW w:w="3969" w:type="dxa"/>
            <w:tcBorders>
              <w:top w:val="single" w:sz="4" w:space="0" w:color="auto"/>
              <w:left w:val="single" w:sz="4" w:space="0" w:color="auto"/>
              <w:bottom w:val="single" w:sz="4" w:space="0" w:color="auto"/>
              <w:right w:val="single" w:sz="4" w:space="0" w:color="auto"/>
            </w:tcBorders>
          </w:tcPr>
          <w:p w14:paraId="16794203" w14:textId="77777777" w:rsidR="00A81273" w:rsidRPr="00A422C7" w:rsidRDefault="00A81273" w:rsidP="00462566">
            <w:pPr>
              <w:pStyle w:val="Tabletext1"/>
              <w:rPr>
                <w:u w:val="single"/>
              </w:rPr>
            </w:pPr>
            <w:r w:rsidRPr="00A422C7">
              <w:rPr>
                <w:u w:val="single"/>
              </w:rPr>
              <w:t>DSL inhibin B ELISA</w:t>
            </w:r>
          </w:p>
          <w:p w14:paraId="44E625F6" w14:textId="7E47FA03" w:rsidR="00A81273" w:rsidRPr="00A422C7" w:rsidRDefault="00A81273" w:rsidP="00462566">
            <w:pPr>
              <w:pStyle w:val="Tabletext1"/>
            </w:pPr>
            <w:r w:rsidRPr="00A422C7">
              <w:t>The sensitivity of the assay was 10 pg/</w:t>
            </w:r>
            <w:r w:rsidR="00023800" w:rsidRPr="00A422C7">
              <w:t>mL</w:t>
            </w:r>
            <w:r w:rsidRPr="00A422C7">
              <w:t xml:space="preserve">. The intra- and inter-assay </w:t>
            </w:r>
            <w:r w:rsidR="00776418">
              <w:t>CoV</w:t>
            </w:r>
            <w:r w:rsidRPr="00A422C7">
              <w:t xml:space="preserve"> were &lt;10%.</w:t>
            </w:r>
          </w:p>
          <w:p w14:paraId="4C4B2309" w14:textId="77777777" w:rsidR="00A81273" w:rsidRPr="00A422C7" w:rsidRDefault="00A81273" w:rsidP="00462566">
            <w:pPr>
              <w:pStyle w:val="Tabletext1"/>
              <w:rPr>
                <w:u w:val="single"/>
              </w:rPr>
            </w:pPr>
            <w:r w:rsidRPr="00A422C7">
              <w:rPr>
                <w:u w:val="single"/>
              </w:rPr>
              <w:t>DPC Immuno-radiometric FSH assay</w:t>
            </w:r>
          </w:p>
          <w:p w14:paraId="798BF3D9" w14:textId="34C4F80A" w:rsidR="00A81273" w:rsidRPr="00A422C7" w:rsidRDefault="00A81273" w:rsidP="00462566">
            <w:pPr>
              <w:pStyle w:val="Tabletext1"/>
            </w:pPr>
            <w:r w:rsidRPr="00A422C7">
              <w:t>The sensitivity of the assay was 0.06 mIU/</w:t>
            </w:r>
            <w:r w:rsidR="00023800" w:rsidRPr="00A422C7">
              <w:t>mL</w:t>
            </w:r>
            <w:r w:rsidRPr="00A422C7">
              <w:t xml:space="preserve"> and the intra- and inter-assay </w:t>
            </w:r>
            <w:r w:rsidR="00776418">
              <w:t>CoV</w:t>
            </w:r>
            <w:r w:rsidRPr="00A422C7">
              <w:t xml:space="preserve"> was &lt;7%.</w:t>
            </w:r>
          </w:p>
          <w:p w14:paraId="0916B509" w14:textId="77777777" w:rsidR="00A81273" w:rsidRPr="00A422C7" w:rsidRDefault="00A81273" w:rsidP="00462566">
            <w:pPr>
              <w:pStyle w:val="Tabletext1"/>
              <w:rPr>
                <w:u w:val="single"/>
              </w:rPr>
            </w:pPr>
            <w:r w:rsidRPr="00A422C7">
              <w:rPr>
                <w:u w:val="single"/>
              </w:rPr>
              <w:t>IBL E2 ELISA</w:t>
            </w:r>
          </w:p>
          <w:p w14:paraId="472BCEA5" w14:textId="7C90EF67" w:rsidR="00A81273" w:rsidRPr="00A422C7" w:rsidRDefault="00A81273" w:rsidP="00462566">
            <w:pPr>
              <w:pStyle w:val="Tabletext1"/>
            </w:pPr>
            <w:r w:rsidRPr="00A422C7">
              <w:lastRenderedPageBreak/>
              <w:t>The sensitivity of the assay was 4.6 pg/</w:t>
            </w:r>
            <w:r w:rsidR="00023800" w:rsidRPr="00A422C7">
              <w:t>mL</w:t>
            </w:r>
            <w:r w:rsidRPr="00A422C7">
              <w:t xml:space="preserve"> and the intra- and inter-assay </w:t>
            </w:r>
            <w:r w:rsidR="00776418">
              <w:t>CoV</w:t>
            </w:r>
            <w:r w:rsidRPr="00A422C7">
              <w:t xml:space="preserve"> was &lt;6%.</w:t>
            </w:r>
          </w:p>
        </w:tc>
        <w:tc>
          <w:tcPr>
            <w:tcW w:w="1276" w:type="dxa"/>
            <w:tcBorders>
              <w:top w:val="single" w:sz="4" w:space="0" w:color="auto"/>
              <w:left w:val="single" w:sz="4" w:space="0" w:color="auto"/>
              <w:bottom w:val="single" w:sz="4" w:space="0" w:color="auto"/>
              <w:right w:val="single" w:sz="4" w:space="0" w:color="auto"/>
            </w:tcBorders>
          </w:tcPr>
          <w:p w14:paraId="76A36881" w14:textId="77777777" w:rsidR="00A81273" w:rsidRPr="00A422C7" w:rsidRDefault="00A81273" w:rsidP="00462566">
            <w:pPr>
              <w:pStyle w:val="Tabletext1"/>
            </w:pPr>
            <w:r w:rsidRPr="00A422C7">
              <w:lastRenderedPageBreak/>
              <w:t>Correlation: Spearman’s rank correlation test</w:t>
            </w:r>
          </w:p>
        </w:tc>
      </w:tr>
      <w:tr w:rsidR="00A81273" w:rsidRPr="00A422C7" w14:paraId="3BB4B42C"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724771FC" w14:textId="7E3E252C" w:rsidR="00835BA6" w:rsidRDefault="00835BA6" w:rsidP="00835BA6">
            <w:pPr>
              <w:spacing w:before="40" w:after="40" w:line="240" w:lineRule="auto"/>
              <w:rPr>
                <w:rFonts w:ascii="Arial Narrow" w:hAnsi="Arial Narrow"/>
                <w:sz w:val="20"/>
              </w:rPr>
            </w:pPr>
            <w:r>
              <w:rPr>
                <w:rFonts w:ascii="Arial Narrow" w:hAnsi="Arial Narrow"/>
                <w:sz w:val="20"/>
              </w:rPr>
              <w:lastRenderedPageBreak/>
              <w:t xml:space="preserve">Nielsen et al. </w:t>
            </w:r>
            <w:r>
              <w:rPr>
                <w:rFonts w:ascii="Arial Narrow" w:hAnsi="Arial Narrow"/>
                <w:sz w:val="20"/>
              </w:rPr>
              <w:fldChar w:fldCharType="begin"/>
            </w:r>
            <w:r>
              <w:rPr>
                <w:rFonts w:ascii="Arial Narrow" w:hAnsi="Arial Narrow"/>
                <w:sz w:val="20"/>
              </w:rPr>
              <w:instrText xml:space="preserve"> ADDIN EN.CITE &lt;EndNote&gt;&lt;Cite ExcludeAuth="1"&gt;&lt;Author&gt;Nielsen&lt;/Author&gt;&lt;Year&gt;2013&lt;/Year&gt;&lt;RecNum&gt;273&lt;/RecNum&gt;&lt;IDText&gt;192-200&lt;/IDText&gt;&lt;DisplayText&gt;(2013)&lt;/DisplayText&gt;&lt;record&gt;&lt;rec-number&gt;273&lt;/rec-number&gt;&lt;foreign-keys&gt;&lt;key app="EN" db-id="s2dftfxw1fvsr1efx58vfvxtvfwzxea0td02" timestamp="1511748089"&gt;273&lt;/key&gt;&lt;/foreign-keys&gt;&lt;ref-type name="Journal Article"&gt;17&lt;/ref-type&gt;&lt;contributors&gt;&lt;authors&gt;&lt;author&gt;Nielsen, S. N.&lt;/author&gt;&lt;author&gt;Andersen, A. N.&lt;/author&gt;&lt;author&gt;Schmidt, K. T.&lt;/author&gt;&lt;author&gt;Rechnitzer, C.&lt;/author&gt;&lt;author&gt;Schmiegelow, K.&lt;/author&gt;&lt;author&gt;Bentzen, J. G.&lt;/author&gt;&lt;author&gt;Larsen, E. C.&lt;/author&gt;&lt;/authors&gt;&lt;/contributors&gt;&lt;titles&gt;&lt;title&gt;A 10-year follow up of reproductive function in women treated for childhood cancer&lt;/title&gt;&lt;secondary-title&gt;Reproductive BioMedicine Online&lt;/secondary-title&gt;&lt;/titles&gt;&lt;periodical&gt;&lt;full-title&gt;Reproductive BioMedicine Online&lt;/full-title&gt;&lt;/periodical&gt;&lt;pages&gt;192-200&lt;/pages&gt;&lt;volume&gt;27&lt;/volume&gt;&lt;number&gt;2&lt;/number&gt;&lt;keywords&gt;&lt;keyword&gt;Pregnancy&lt;/keyword&gt;&lt;keyword&gt;Pregnancy Trimester, Second&lt;/keyword&gt;&lt;keyword&gt;Menstrual Cycle&lt;/keyword&gt;&lt;keyword&gt;Survivors&lt;/keyword&gt;&lt;/keywords&gt;&lt;dates&gt;&lt;year&gt;2013&lt;/year&gt;&lt;pub-dates&gt;&lt;date&gt;2013-1-1&lt;/date&gt;&lt;/pub-dates&gt;&lt;/dates&gt;&lt;isbn&gt;1472-6483&lt;/isbn&gt;&lt;accession-num&gt;rayyan-6677048&lt;/accession-num&gt;&lt;urls&gt;&lt;related-urls&gt;&lt;url&gt;http://www.embase.com/search/results?subaction=viewrecord&amp;amp;from=export&amp;amp;id=L52626682 http://dx.doi.org/10.1016/j.rbmo.2013.04.003&lt;/url&gt;&lt;/related-urls&gt;&lt;/urls&gt;&lt;custom1&gt;RAYYAN-INCLUSION: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48" w:tooltip="Nielsen, 2013 #273" w:history="1">
              <w:r>
                <w:rPr>
                  <w:rFonts w:ascii="Arial Narrow" w:hAnsi="Arial Narrow"/>
                  <w:noProof/>
                  <w:sz w:val="20"/>
                </w:rPr>
                <w:t>2013</w:t>
              </w:r>
            </w:hyperlink>
            <w:r>
              <w:rPr>
                <w:rFonts w:ascii="Arial Narrow" w:hAnsi="Arial Narrow"/>
                <w:noProof/>
                <w:sz w:val="20"/>
              </w:rPr>
              <w:t>)</w:t>
            </w:r>
            <w:r>
              <w:rPr>
                <w:rFonts w:ascii="Arial Narrow" w:hAnsi="Arial Narrow"/>
                <w:sz w:val="20"/>
              </w:rPr>
              <w:fldChar w:fldCharType="end"/>
            </w:r>
          </w:p>
          <w:p w14:paraId="29CC1902" w14:textId="39ECBCF8" w:rsidR="00A81273" w:rsidRPr="00A422C7" w:rsidRDefault="00835BA6" w:rsidP="00835BA6">
            <w:pPr>
              <w:pStyle w:val="Tabletext1"/>
            </w:pPr>
            <w:r>
              <w:t>Denmark</w:t>
            </w:r>
          </w:p>
        </w:tc>
        <w:tc>
          <w:tcPr>
            <w:tcW w:w="1445" w:type="dxa"/>
            <w:tcBorders>
              <w:top w:val="single" w:sz="4" w:space="0" w:color="auto"/>
              <w:left w:val="single" w:sz="4" w:space="0" w:color="auto"/>
              <w:bottom w:val="single" w:sz="4" w:space="0" w:color="auto"/>
            </w:tcBorders>
          </w:tcPr>
          <w:p w14:paraId="15E81F78" w14:textId="77777777" w:rsidR="00A81273" w:rsidRPr="00A422C7" w:rsidRDefault="00A81273" w:rsidP="00462566">
            <w:pPr>
              <w:pStyle w:val="Tabletext1"/>
            </w:pPr>
            <w:r w:rsidRPr="00A422C7">
              <w:t>Case series</w:t>
            </w:r>
          </w:p>
          <w:p w14:paraId="050C0BD9"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3A2F41B9" w14:textId="30001EFC" w:rsidR="00A81273" w:rsidRPr="00A422C7" w:rsidRDefault="00A81273" w:rsidP="00462566">
            <w:pPr>
              <w:pStyle w:val="Tabletext1"/>
            </w:pPr>
            <w:r w:rsidRPr="00A422C7">
              <w:t>N=71 female childhood cancer survivors who were less than 15 years old at the time of diagnosis, were treated with radiotherapy and/or chemotherapy, are in complete remission and were at least 18 years old at study inclusion</w:t>
            </w:r>
            <w:r w:rsidR="00E830B2">
              <w:t>.</w:t>
            </w:r>
          </w:p>
        </w:tc>
        <w:tc>
          <w:tcPr>
            <w:tcW w:w="3969" w:type="dxa"/>
            <w:tcBorders>
              <w:top w:val="single" w:sz="4" w:space="0" w:color="auto"/>
              <w:left w:val="single" w:sz="4" w:space="0" w:color="auto"/>
              <w:bottom w:val="single" w:sz="4" w:space="0" w:color="auto"/>
              <w:right w:val="single" w:sz="4" w:space="0" w:color="auto"/>
            </w:tcBorders>
          </w:tcPr>
          <w:p w14:paraId="41F93165" w14:textId="77777777" w:rsidR="00A81273" w:rsidRPr="00A422C7" w:rsidRDefault="00A81273" w:rsidP="00462566">
            <w:pPr>
              <w:spacing w:before="40" w:after="40" w:line="240" w:lineRule="auto"/>
              <w:rPr>
                <w:rFonts w:ascii="Arial Narrow" w:hAnsi="Arial Narrow"/>
                <w:sz w:val="20"/>
                <w:u w:val="single"/>
              </w:rPr>
            </w:pPr>
            <w:r w:rsidRPr="00A422C7">
              <w:rPr>
                <w:rFonts w:ascii="Arial Narrow" w:hAnsi="Arial Narrow"/>
                <w:sz w:val="20"/>
                <w:u w:val="single"/>
              </w:rPr>
              <w:t>EIA AMH/MIS assay</w:t>
            </w:r>
          </w:p>
          <w:p w14:paraId="0FE8CBB5" w14:textId="75BA8B59" w:rsidR="00A81273" w:rsidRPr="00A422C7" w:rsidRDefault="00A81273" w:rsidP="00462566">
            <w:pPr>
              <w:pStyle w:val="Tabletext1"/>
            </w:pPr>
            <w:r w:rsidRPr="00A422C7">
              <w:t xml:space="preserve">According to the manufacturer, the intra- and inter-assay </w:t>
            </w:r>
            <w:r w:rsidR="00776418">
              <w:t>CoV</w:t>
            </w:r>
            <w:r w:rsidRPr="00A422C7">
              <w:t xml:space="preserve">s were ≤12.3% and ≤14.2%, respectively, and the analytical sensitivity, defined as the lowest AMH concentration from the zero calibrator, was 0.7 pmol/l. The functional sensitivity, defined as the lowest concentration that gives a day-to-day </w:t>
            </w:r>
            <w:r w:rsidR="00776418">
              <w:t>CoV</w:t>
            </w:r>
            <w:r w:rsidRPr="00A422C7">
              <w:t xml:space="preserve"> ≤25%, was estimated to be 3 pmol/l.</w:t>
            </w:r>
          </w:p>
        </w:tc>
        <w:tc>
          <w:tcPr>
            <w:tcW w:w="3969" w:type="dxa"/>
            <w:tcBorders>
              <w:top w:val="single" w:sz="4" w:space="0" w:color="auto"/>
              <w:left w:val="single" w:sz="4" w:space="0" w:color="auto"/>
              <w:bottom w:val="single" w:sz="4" w:space="0" w:color="auto"/>
              <w:right w:val="single" w:sz="4" w:space="0" w:color="auto"/>
            </w:tcBorders>
          </w:tcPr>
          <w:p w14:paraId="70DB9453" w14:textId="77777777" w:rsidR="00A81273" w:rsidRPr="00A422C7" w:rsidRDefault="00A81273" w:rsidP="00462566">
            <w:pPr>
              <w:pStyle w:val="Tabletext1"/>
              <w:rPr>
                <w:u w:val="single"/>
              </w:rPr>
            </w:pPr>
            <w:r w:rsidRPr="00A422C7">
              <w:rPr>
                <w:u w:val="single"/>
              </w:rPr>
              <w:t>AFC by TVUS</w:t>
            </w:r>
          </w:p>
          <w:p w14:paraId="32D62F7C" w14:textId="77777777" w:rsidR="00A81273" w:rsidRPr="00A422C7" w:rsidRDefault="00A81273" w:rsidP="00462566">
            <w:pPr>
              <w:pStyle w:val="Tabletext1"/>
            </w:pPr>
            <w:r w:rsidRPr="00A422C7">
              <w:t>The number of small antral follicles with a size of 2–10 mm was counted for each ovary and the AFC was recorded as the number of follicles in both ovaries.</w:t>
            </w:r>
          </w:p>
        </w:tc>
        <w:tc>
          <w:tcPr>
            <w:tcW w:w="1276" w:type="dxa"/>
            <w:tcBorders>
              <w:top w:val="single" w:sz="4" w:space="0" w:color="auto"/>
              <w:left w:val="single" w:sz="4" w:space="0" w:color="auto"/>
              <w:bottom w:val="single" w:sz="4" w:space="0" w:color="auto"/>
              <w:right w:val="single" w:sz="4" w:space="0" w:color="auto"/>
            </w:tcBorders>
          </w:tcPr>
          <w:p w14:paraId="5DE88149" w14:textId="77777777" w:rsidR="00A81273" w:rsidRPr="00A422C7" w:rsidRDefault="00A81273" w:rsidP="00462566">
            <w:pPr>
              <w:pStyle w:val="Tabletext1"/>
            </w:pPr>
            <w:r w:rsidRPr="00A422C7">
              <w:t>Correlation: Spearman’s rank correlation test</w:t>
            </w:r>
          </w:p>
        </w:tc>
      </w:tr>
      <w:tr w:rsidR="00A81273" w:rsidRPr="00A422C7" w14:paraId="218CF789"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7D64C4F2" w14:textId="3B2429AF" w:rsidR="00835BA6" w:rsidRDefault="00835BA6" w:rsidP="00835BA6">
            <w:pPr>
              <w:pStyle w:val="Tabletext1"/>
            </w:pPr>
            <w:r>
              <w:t xml:space="preserve">Paradisi et al. </w:t>
            </w:r>
            <w:r>
              <w:fldChar w:fldCharType="begin"/>
            </w:r>
            <w:r>
              <w:instrText xml:space="preserve"> ADDIN EN.CITE &lt;EndNote&gt;&lt;Cite ExcludeAuth="1"&gt;&lt;Author&gt;Paradisi&lt;/Author&gt;&lt;Year&gt;2016&lt;/Year&gt;&lt;RecNum&gt;281&lt;/RecNum&gt;&lt;IDText&gt;881-885&lt;/IDText&gt;&lt;DisplayText&gt;(2016)&lt;/DisplayText&gt;&lt;record&gt;&lt;rec-number&gt;281&lt;/rec-number&gt;&lt;foreign-keys&gt;&lt;key app="EN" db-id="s2dftfxw1fvsr1efx58vfvxtvfwzxea0td02" timestamp="1511748090"&gt;281&lt;/key&gt;&lt;/foreign-keys&gt;&lt;ref-type name="Journal Article"&gt;17&lt;/ref-type&gt;&lt;contributors&gt;&lt;authors&gt;&lt;author&gt;Paradisi, R.&lt;/author&gt;&lt;author&gt;Macciocca, M.&lt;/author&gt;&lt;author&gt;Vicenti, R.&lt;/author&gt;&lt;author&gt;Rossi, S.&lt;/author&gt;&lt;author&gt;Morselli-Labate, A. M.&lt;/author&gt;&lt;author&gt;Mastroroberto, M.&lt;/author&gt;&lt;author&gt;Seracchioli, R.&lt;/author&gt;&lt;author&gt;Fabbri, R.&lt;/author&gt;&lt;/authors&gt;&lt;/contributors&gt;&lt;titles&gt;&lt;title&gt;New insights in the selection and management of cancer patients applicants for ovarian tissue cryopreservation&lt;/title&gt;&lt;secondary-title&gt;Gynecol Endocrinol&lt;/secondary-title&gt;&lt;/titles&gt;&lt;periodical&gt;&lt;full-title&gt;Gynecol Endocrinol&lt;/full-title&gt;&lt;/periodical&gt;&lt;pages&gt;881-885&lt;/pages&gt;&lt;volume&gt;32&lt;/volume&gt;&lt;number&gt;11&lt;/number&gt;&lt;keywords&gt;&lt;keyword&gt;Menstrual Cycle&lt;/keyword&gt;&lt;keyword&gt;Cryopreservation&lt;/keyword&gt;&lt;/keywords&gt;&lt;dates&gt;&lt;year&gt;2016&lt;/year&gt;&lt;pub-dates&gt;&lt;date&gt;2016-1-1&lt;/date&gt;&lt;/pub-dates&gt;&lt;/dates&gt;&lt;isbn&gt;0951-3590 (Print) 0951-3590&lt;/isbn&gt;&lt;accession-num&gt;rayyan-6677385&lt;/accession-num&gt;&lt;urls&gt;&lt;related-urls&gt;&lt;url&gt;http://www.tandfonline.com/doi/pdf/10.1080/09513590.2016.1188373?needAccess=true&lt;/url&gt;&lt;/related-urls&gt;&lt;/urls&gt;&lt;custom1&gt;RAYYAN-INCLUSION: {&amp;quot;Sharon&amp;quot;=&amp;gt;true, &amp;quot;Joanne&amp;quot;=&amp;gt;true}&lt;/custom1&gt;&lt;language&gt;eng&lt;/language&gt;&lt;/record&gt;&lt;/Cite&gt;&lt;/EndNote&gt;</w:instrText>
            </w:r>
            <w:r>
              <w:fldChar w:fldCharType="separate"/>
            </w:r>
            <w:r>
              <w:rPr>
                <w:noProof/>
              </w:rPr>
              <w:t>(</w:t>
            </w:r>
            <w:hyperlink w:anchor="_ENREF_55" w:tooltip="Paradisi, 2016 #281" w:history="1">
              <w:r>
                <w:rPr>
                  <w:noProof/>
                </w:rPr>
                <w:t>2016</w:t>
              </w:r>
            </w:hyperlink>
            <w:r>
              <w:rPr>
                <w:noProof/>
              </w:rPr>
              <w:t>)</w:t>
            </w:r>
            <w:r>
              <w:fldChar w:fldCharType="end"/>
            </w:r>
          </w:p>
          <w:p w14:paraId="68E79B69" w14:textId="1DE4695C" w:rsidR="00A81273" w:rsidRPr="00A422C7" w:rsidRDefault="00835BA6" w:rsidP="00835BA6">
            <w:pPr>
              <w:pStyle w:val="Tabletext1"/>
            </w:pPr>
            <w:r>
              <w:t>Italy</w:t>
            </w:r>
          </w:p>
        </w:tc>
        <w:tc>
          <w:tcPr>
            <w:tcW w:w="1445" w:type="dxa"/>
            <w:tcBorders>
              <w:top w:val="single" w:sz="4" w:space="0" w:color="auto"/>
              <w:left w:val="single" w:sz="4" w:space="0" w:color="auto"/>
              <w:bottom w:val="single" w:sz="4" w:space="0" w:color="auto"/>
            </w:tcBorders>
          </w:tcPr>
          <w:p w14:paraId="1841F313" w14:textId="77777777" w:rsidR="00A81273" w:rsidRPr="00A422C7" w:rsidRDefault="00A81273" w:rsidP="00462566">
            <w:pPr>
              <w:pStyle w:val="Tabletext1"/>
            </w:pPr>
            <w:r w:rsidRPr="00A422C7">
              <w:t>Case series</w:t>
            </w:r>
          </w:p>
          <w:p w14:paraId="3516D0E8"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4759262E" w14:textId="5DDBA82D" w:rsidR="00A81273" w:rsidRPr="00A422C7" w:rsidRDefault="00A81273" w:rsidP="00462566">
            <w:pPr>
              <w:pStyle w:val="Tabletext1"/>
            </w:pPr>
            <w:r w:rsidRPr="00A422C7">
              <w:t>N=191 patients with non-gynaecological malignancies before chemo-radiotherapy and OTC who had regular menstrual cycles (26–32 days); no evidence of endocrine/metabolic diseases; no ovarian abnormalities; no ovarian surgery; no previous chemo</w:t>
            </w:r>
            <w:r w:rsidR="00916047">
              <w:t>-radiotherapy</w:t>
            </w:r>
            <w:r w:rsidRPr="00A422C7">
              <w:t xml:space="preserve"> and no hormonal therapy in the three months preceding OTC</w:t>
            </w:r>
          </w:p>
          <w:p w14:paraId="421A7AA4" w14:textId="1283FC1D" w:rsidR="00A81273" w:rsidRPr="00A422C7" w:rsidRDefault="00A81273" w:rsidP="00462566">
            <w:pPr>
              <w:pStyle w:val="Tabletext1"/>
            </w:pPr>
            <w:r w:rsidRPr="00A422C7">
              <w:t>Mean age = 26.4</w:t>
            </w:r>
            <w:r w:rsidR="00CB05BE" w:rsidRPr="00A422C7">
              <w:t> ± </w:t>
            </w:r>
            <w:r w:rsidRPr="00A422C7">
              <w:t>6.9 years (range 12–</w:t>
            </w:r>
            <w:r w:rsidR="00E830B2">
              <w:t>38).</w:t>
            </w:r>
          </w:p>
        </w:tc>
        <w:tc>
          <w:tcPr>
            <w:tcW w:w="3969" w:type="dxa"/>
            <w:tcBorders>
              <w:top w:val="single" w:sz="4" w:space="0" w:color="auto"/>
              <w:left w:val="single" w:sz="4" w:space="0" w:color="auto"/>
              <w:bottom w:val="single" w:sz="4" w:space="0" w:color="auto"/>
              <w:right w:val="single" w:sz="4" w:space="0" w:color="auto"/>
            </w:tcBorders>
          </w:tcPr>
          <w:p w14:paraId="0CDFCDCF" w14:textId="27E4DC06" w:rsidR="00A81273" w:rsidRPr="00A422C7" w:rsidRDefault="00A81273" w:rsidP="00462566">
            <w:pPr>
              <w:pStyle w:val="Tabletext1"/>
            </w:pPr>
            <w:r w:rsidRPr="00A422C7">
              <w:t xml:space="preserve">A blood sample was used to analyse the serum levels of FSH, E2, </w:t>
            </w:r>
            <w:r w:rsidR="003C2616" w:rsidRPr="00A422C7">
              <w:t>inhibin B</w:t>
            </w:r>
            <w:r w:rsidRPr="00A422C7">
              <w:t xml:space="preserve"> and AMH.</w:t>
            </w:r>
          </w:p>
          <w:p w14:paraId="00E724B7" w14:textId="77777777" w:rsidR="00A81273" w:rsidRPr="00A422C7" w:rsidRDefault="00A81273" w:rsidP="00462566">
            <w:pPr>
              <w:pStyle w:val="Tabletext1"/>
            </w:pPr>
            <w:r w:rsidRPr="00A422C7">
              <w:t>All serum measurements were performed in duplicate at the Central Laboratory.</w:t>
            </w:r>
          </w:p>
          <w:p w14:paraId="3E7841E5" w14:textId="77777777" w:rsidR="00A81273" w:rsidRPr="00A422C7" w:rsidRDefault="00A81273" w:rsidP="00462566">
            <w:pPr>
              <w:pStyle w:val="Tabletext1"/>
              <w:rPr>
                <w:u w:val="single"/>
              </w:rPr>
            </w:pPr>
            <w:r w:rsidRPr="00A422C7">
              <w:rPr>
                <w:u w:val="single"/>
              </w:rPr>
              <w:t>AMH Gen II ELISA</w:t>
            </w:r>
          </w:p>
          <w:p w14:paraId="2684B7A0" w14:textId="2CF78C19" w:rsidR="00A81273" w:rsidRPr="00A422C7" w:rsidRDefault="00A81273" w:rsidP="00462566">
            <w:pPr>
              <w:pStyle w:val="Tabletext1"/>
            </w:pPr>
            <w:r w:rsidRPr="00A422C7">
              <w:t xml:space="preserve">The sensitivity of the methods and the respective intra- and inter-assay </w:t>
            </w:r>
            <w:r w:rsidR="00776418">
              <w:t>CoV</w:t>
            </w:r>
            <w:r w:rsidRPr="00A422C7">
              <w:t xml:space="preserve"> for the hormonal assays were in agreement with those reported by the manufacturer</w:t>
            </w:r>
            <w:r w:rsidR="00E830B2">
              <w:t>.</w:t>
            </w:r>
          </w:p>
        </w:tc>
        <w:tc>
          <w:tcPr>
            <w:tcW w:w="3969" w:type="dxa"/>
            <w:tcBorders>
              <w:top w:val="single" w:sz="4" w:space="0" w:color="auto"/>
              <w:left w:val="single" w:sz="4" w:space="0" w:color="auto"/>
              <w:bottom w:val="single" w:sz="4" w:space="0" w:color="auto"/>
              <w:right w:val="single" w:sz="4" w:space="0" w:color="auto"/>
            </w:tcBorders>
          </w:tcPr>
          <w:p w14:paraId="4C85345D" w14:textId="77777777" w:rsidR="00A81273" w:rsidRPr="00A422C7" w:rsidRDefault="00A81273" w:rsidP="00462566">
            <w:pPr>
              <w:pStyle w:val="Tabletext1"/>
              <w:rPr>
                <w:u w:val="single"/>
              </w:rPr>
            </w:pPr>
            <w:r w:rsidRPr="00A422C7">
              <w:rPr>
                <w:u w:val="single"/>
              </w:rPr>
              <w:t>AFC by TVUS</w:t>
            </w:r>
          </w:p>
          <w:p w14:paraId="2D36B951" w14:textId="4E152AF5" w:rsidR="00A81273" w:rsidRPr="00A422C7" w:rsidRDefault="00A81273" w:rsidP="00462566">
            <w:pPr>
              <w:pStyle w:val="Tabletext1"/>
            </w:pPr>
            <w:r w:rsidRPr="00A422C7">
              <w:t xml:space="preserve">A transvaginal ultrasound was performed. Only one experienced sonographer did the ultrasound to avoid the inter-observer variability. The limit of sensitivity was 2 mm and the intra-observer </w:t>
            </w:r>
            <w:r w:rsidR="00776418">
              <w:t>CoV</w:t>
            </w:r>
            <w:r w:rsidRPr="00A422C7">
              <w:t xml:space="preserve"> was 7%. AFC was defined as the total number of visible intra-ovarian sonolucent structures with diameter 2–9mm in both ovaries.</w:t>
            </w:r>
          </w:p>
          <w:p w14:paraId="277010A0" w14:textId="77777777" w:rsidR="00A81273" w:rsidRPr="00A422C7" w:rsidRDefault="00A81273" w:rsidP="00462566">
            <w:pPr>
              <w:pStyle w:val="Tabletext1"/>
              <w:rPr>
                <w:u w:val="single"/>
              </w:rPr>
            </w:pPr>
            <w:r w:rsidRPr="00A422C7">
              <w:rPr>
                <w:u w:val="single"/>
              </w:rPr>
              <w:t>Inhibin B Gen II ELISA</w:t>
            </w:r>
          </w:p>
          <w:p w14:paraId="113A8672" w14:textId="77777777" w:rsidR="00A81273" w:rsidRPr="00A422C7" w:rsidRDefault="00A81273" w:rsidP="00462566">
            <w:pPr>
              <w:pStyle w:val="Tabletext1"/>
              <w:rPr>
                <w:u w:val="single"/>
              </w:rPr>
            </w:pPr>
            <w:r w:rsidRPr="00A422C7">
              <w:rPr>
                <w:u w:val="single"/>
              </w:rPr>
              <w:t>FSH Elecsys assay</w:t>
            </w:r>
          </w:p>
          <w:p w14:paraId="0D447F5C" w14:textId="77777777" w:rsidR="00A81273" w:rsidRPr="00A422C7" w:rsidRDefault="00A81273" w:rsidP="00462566">
            <w:pPr>
              <w:pStyle w:val="Tabletext1"/>
              <w:rPr>
                <w:u w:val="single"/>
              </w:rPr>
            </w:pPr>
            <w:r w:rsidRPr="00A422C7">
              <w:rPr>
                <w:u w:val="single"/>
              </w:rPr>
              <w:t>E2 Elecsys assay</w:t>
            </w:r>
          </w:p>
        </w:tc>
        <w:tc>
          <w:tcPr>
            <w:tcW w:w="1276" w:type="dxa"/>
            <w:tcBorders>
              <w:top w:val="single" w:sz="4" w:space="0" w:color="auto"/>
              <w:left w:val="single" w:sz="4" w:space="0" w:color="auto"/>
              <w:bottom w:val="single" w:sz="4" w:space="0" w:color="auto"/>
              <w:right w:val="single" w:sz="4" w:space="0" w:color="auto"/>
            </w:tcBorders>
          </w:tcPr>
          <w:p w14:paraId="17D6ABE4" w14:textId="77777777" w:rsidR="00A81273" w:rsidRPr="00A422C7" w:rsidRDefault="00A81273" w:rsidP="00462566">
            <w:pPr>
              <w:pStyle w:val="Tabletext1"/>
            </w:pPr>
            <w:r w:rsidRPr="00A422C7">
              <w:t>Correlation: Spearman’s rank correlation test</w:t>
            </w:r>
          </w:p>
        </w:tc>
      </w:tr>
      <w:tr w:rsidR="00A81273" w:rsidRPr="00A422C7" w14:paraId="0D0AE2A7"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25F8CFCD" w14:textId="76DD38BD" w:rsidR="00835BA6" w:rsidRDefault="00835BA6" w:rsidP="00835BA6">
            <w:pPr>
              <w:spacing w:before="40" w:after="40" w:line="240" w:lineRule="auto"/>
              <w:rPr>
                <w:rFonts w:ascii="Arial Narrow" w:hAnsi="Arial Narrow"/>
                <w:sz w:val="20"/>
              </w:rPr>
            </w:pPr>
            <w:r w:rsidRPr="0013589A">
              <w:rPr>
                <w:rFonts w:ascii="Arial Narrow" w:hAnsi="Arial Narrow"/>
                <w:sz w:val="20"/>
              </w:rPr>
              <w:t xml:space="preserve">Partridge et al. </w:t>
            </w:r>
            <w:r>
              <w:rPr>
                <w:rFonts w:ascii="Arial Narrow" w:hAnsi="Arial Narrow"/>
                <w:sz w:val="20"/>
              </w:rPr>
              <w:fldChar w:fldCharType="begin"/>
            </w:r>
            <w:r>
              <w:rPr>
                <w:rFonts w:ascii="Arial Narrow" w:hAnsi="Arial Narrow"/>
                <w:sz w:val="20"/>
              </w:rPr>
              <w:instrText xml:space="preserve"> ADDIN EN.CITE &lt;EndNote&gt;&lt;Cite ExcludeAuth="1"&gt;&lt;Author&gt;Partridge&lt;/Author&gt;&lt;Year&gt;2010&lt;/Year&gt;&lt;RecNum&gt;286&lt;/RecNum&gt;&lt;IDText&gt;638-644&lt;/IDText&gt;&lt;DisplayText&gt;(2010)&lt;/DisplayText&gt;&lt;record&gt;&lt;rec-number&gt;286&lt;/rec-number&gt;&lt;foreign-keys&gt;&lt;key app="EN" db-id="s2dftfxw1fvsr1efx58vfvxtvfwzxea0td02" timestamp="1511748091"&gt;286&lt;/key&gt;&lt;/foreign-keys&gt;&lt;ref-type name="Journal Article"&gt;17&lt;/ref-type&gt;&lt;contributors&gt;&lt;authors&gt;&lt;author&gt;Partridge, A. H.&lt;/author&gt;&lt;author&gt;Ruddy, K. J.&lt;/author&gt;&lt;author&gt;Gelber, S.&lt;/author&gt;&lt;author&gt;Schapira, L.&lt;/author&gt;&lt;author&gt;Abusief, M.&lt;/author&gt;&lt;author&gt;Meyer, M.&lt;/author&gt;&lt;author&gt;Ginsburg, E.&lt;/author&gt;&lt;/authors&gt;&lt;/contributors&gt;&lt;titles&gt;&lt;title&gt;Ovarian reserve in women who remain premenopausal after chemotherapy for early stage breast cancer&lt;/title&gt;&lt;secondary-title&gt;Fertility and Sterility&lt;/secondary-title&gt;&lt;/titles&gt;&lt;periodical&gt;&lt;full-title&gt;Fertility and Sterility&lt;/full-title&gt;&lt;/periodical&gt;&lt;pages&gt;638-644&lt;/pages&gt;&lt;volume&gt;94&lt;/volume&gt;&lt;number&gt;2&lt;/number&gt;&lt;keywords&gt;&lt;keyword&gt;Massachusetts&lt;/keyword&gt;&lt;keyword&gt;Survivors&lt;/keyword&gt;&lt;keyword&gt;Follicle Stimulating Hormone&lt;/keyword&gt;&lt;keyword&gt;Premenopause&lt;/keyword&gt;&lt;keyword&gt;Breast Neoplasms&lt;/keyword&gt;&lt;/keywords&gt;&lt;dates&gt;&lt;year&gt;2010&lt;/year&gt;&lt;pub-dates&gt;&lt;date&gt;2010-1-1&lt;/date&gt;&lt;/pub-dates&gt;&lt;/dates&gt;&lt;isbn&gt;0015-0282&lt;/isbn&gt;&lt;accession-num&gt;rayyan-6677424&lt;/accession-num&gt;&lt;urls&gt;&lt;related-urls&gt;&lt;url&gt;http://www.embase.com/search/results?subaction=viewrecord&amp;amp;from=export&amp;amp;id=L50503025 http://dx.doi.org/10.1016/j.fertnstert.2009.03.045&lt;/url&gt;&lt;/related-urls&gt;&lt;/urls&gt;&lt;custom1&gt;adriamycin RAYYAN-INCLUSION: {&amp;quot;Sharon&amp;quot;=&amp;gt;true, &amp;quot;Joanne&amp;quot;=&amp;gt;true}&lt;/custom1&gt;&lt;/record&gt;&lt;/Cite&gt;&lt;/EndNote&gt;</w:instrText>
            </w:r>
            <w:r>
              <w:rPr>
                <w:rFonts w:ascii="Arial Narrow" w:hAnsi="Arial Narrow"/>
                <w:sz w:val="20"/>
              </w:rPr>
              <w:fldChar w:fldCharType="separate"/>
            </w:r>
            <w:r>
              <w:rPr>
                <w:rFonts w:ascii="Arial Narrow" w:hAnsi="Arial Narrow"/>
                <w:noProof/>
                <w:sz w:val="20"/>
              </w:rPr>
              <w:t>(</w:t>
            </w:r>
            <w:hyperlink w:anchor="_ENREF_56" w:tooltip="Partridge, 2010 #286" w:history="1">
              <w:r>
                <w:rPr>
                  <w:rFonts w:ascii="Arial Narrow" w:hAnsi="Arial Narrow"/>
                  <w:noProof/>
                  <w:sz w:val="20"/>
                </w:rPr>
                <w:t>2010</w:t>
              </w:r>
            </w:hyperlink>
            <w:r>
              <w:rPr>
                <w:rFonts w:ascii="Arial Narrow" w:hAnsi="Arial Narrow"/>
                <w:noProof/>
                <w:sz w:val="20"/>
              </w:rPr>
              <w:t>)</w:t>
            </w:r>
            <w:r>
              <w:rPr>
                <w:rFonts w:ascii="Arial Narrow" w:hAnsi="Arial Narrow"/>
                <w:sz w:val="20"/>
              </w:rPr>
              <w:fldChar w:fldCharType="end"/>
            </w:r>
          </w:p>
          <w:p w14:paraId="1C8E2B8A" w14:textId="5548C4F0" w:rsidR="00A81273" w:rsidRPr="00A422C7" w:rsidRDefault="00835BA6" w:rsidP="00835BA6">
            <w:pPr>
              <w:spacing w:before="40" w:after="40" w:line="240" w:lineRule="auto"/>
              <w:rPr>
                <w:rFonts w:ascii="Arial Narrow" w:hAnsi="Arial Narrow"/>
                <w:sz w:val="20"/>
              </w:rPr>
            </w:pPr>
            <w:r>
              <w:rPr>
                <w:rFonts w:ascii="Arial Narrow" w:hAnsi="Arial Narrow"/>
                <w:sz w:val="20"/>
              </w:rPr>
              <w:t>USA</w:t>
            </w:r>
          </w:p>
        </w:tc>
        <w:tc>
          <w:tcPr>
            <w:tcW w:w="1445" w:type="dxa"/>
            <w:tcBorders>
              <w:top w:val="single" w:sz="4" w:space="0" w:color="auto"/>
              <w:left w:val="single" w:sz="4" w:space="0" w:color="auto"/>
              <w:bottom w:val="single" w:sz="4" w:space="0" w:color="auto"/>
            </w:tcBorders>
          </w:tcPr>
          <w:p w14:paraId="1528FE83" w14:textId="77777777" w:rsidR="00A81273" w:rsidRPr="00A422C7" w:rsidRDefault="00A81273" w:rsidP="00462566">
            <w:pPr>
              <w:pStyle w:val="Tabletext1"/>
            </w:pPr>
            <w:r w:rsidRPr="00A422C7">
              <w:t>Case series</w:t>
            </w:r>
          </w:p>
          <w:p w14:paraId="60B8B5F7" w14:textId="77777777" w:rsidR="00A81273" w:rsidRPr="00A422C7" w:rsidRDefault="00A81273" w:rsidP="0046256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29299E6C" w14:textId="77777777" w:rsidR="00A81273" w:rsidRPr="00A422C7" w:rsidRDefault="00A81273" w:rsidP="00462566">
            <w:pPr>
              <w:pStyle w:val="Tabletext1"/>
            </w:pPr>
            <w:r w:rsidRPr="00A422C7">
              <w:t>N=20 breast cancer survivors with continued menses after chemotherapy</w:t>
            </w:r>
          </w:p>
          <w:p w14:paraId="3CAF58F8" w14:textId="427A9C77" w:rsidR="00A81273" w:rsidRPr="00A422C7" w:rsidRDefault="00A81273" w:rsidP="00462566">
            <w:pPr>
              <w:pStyle w:val="Tabletext1"/>
            </w:pPr>
            <w:r w:rsidRPr="00A422C7">
              <w:t>Mean age = 36.8 years (range 31—</w:t>
            </w:r>
            <w:r w:rsidR="00E830B2">
              <w:t>42).</w:t>
            </w:r>
          </w:p>
        </w:tc>
        <w:tc>
          <w:tcPr>
            <w:tcW w:w="3969" w:type="dxa"/>
            <w:tcBorders>
              <w:top w:val="single" w:sz="4" w:space="0" w:color="auto"/>
              <w:left w:val="single" w:sz="4" w:space="0" w:color="auto"/>
              <w:bottom w:val="single" w:sz="4" w:space="0" w:color="auto"/>
              <w:right w:val="single" w:sz="4" w:space="0" w:color="auto"/>
            </w:tcBorders>
          </w:tcPr>
          <w:p w14:paraId="2DF503BA" w14:textId="77777777" w:rsidR="00A81273" w:rsidRPr="00A422C7" w:rsidRDefault="00A81273" w:rsidP="00462566">
            <w:pPr>
              <w:spacing w:before="40" w:after="40" w:line="240" w:lineRule="auto"/>
              <w:rPr>
                <w:rFonts w:ascii="Arial Narrow" w:hAnsi="Arial Narrow"/>
                <w:sz w:val="20"/>
                <w:u w:val="single"/>
              </w:rPr>
            </w:pPr>
            <w:r w:rsidRPr="00A422C7">
              <w:rPr>
                <w:rFonts w:ascii="Arial Narrow" w:hAnsi="Arial Narrow"/>
                <w:sz w:val="20"/>
                <w:u w:val="single"/>
              </w:rPr>
              <w:t>DSL ACTIVE</w:t>
            </w:r>
            <w:r w:rsidRPr="00A422C7">
              <w:rPr>
                <w:rFonts w:ascii="Arial Narrow" w:hAnsi="Arial Narrow"/>
                <w:sz w:val="20"/>
                <w:u w:val="single"/>
                <w:vertAlign w:val="superscript"/>
              </w:rPr>
              <w:t>®</w:t>
            </w:r>
            <w:r w:rsidRPr="00A422C7">
              <w:rPr>
                <w:rFonts w:ascii="Arial Narrow" w:hAnsi="Arial Narrow"/>
                <w:sz w:val="20"/>
                <w:u w:val="single"/>
              </w:rPr>
              <w:t xml:space="preserve"> AMH ELISA</w:t>
            </w:r>
          </w:p>
          <w:p w14:paraId="2B9CC40C" w14:textId="10B77C61" w:rsidR="00A81273" w:rsidRPr="00A422C7" w:rsidRDefault="00A81273" w:rsidP="00462566">
            <w:pPr>
              <w:spacing w:before="40" w:after="40" w:line="240" w:lineRule="auto"/>
              <w:rPr>
                <w:rFonts w:ascii="Arial Narrow" w:hAnsi="Arial Narrow"/>
                <w:sz w:val="20"/>
              </w:rPr>
            </w:pPr>
            <w:r w:rsidRPr="00A422C7">
              <w:rPr>
                <w:rFonts w:ascii="Arial Narrow" w:hAnsi="Arial Narrow"/>
                <w:sz w:val="20"/>
              </w:rPr>
              <w:t xml:space="preserve">The minimum reportable concentration of this test is 0.03 ng/mL. Testing is monitored using quality control sera (two levels); the intra-assay </w:t>
            </w:r>
            <w:r w:rsidR="00776418">
              <w:rPr>
                <w:rFonts w:ascii="Arial Narrow" w:hAnsi="Arial Narrow"/>
                <w:sz w:val="20"/>
              </w:rPr>
              <w:t>CoV</w:t>
            </w:r>
            <w:r w:rsidRPr="00A422C7">
              <w:rPr>
                <w:rFonts w:ascii="Arial Narrow" w:hAnsi="Arial Narrow"/>
                <w:sz w:val="20"/>
              </w:rPr>
              <w:t xml:space="preserve"> is &lt;6% and the inter-assay </w:t>
            </w:r>
            <w:r w:rsidR="00776418">
              <w:rPr>
                <w:rFonts w:ascii="Arial Narrow" w:hAnsi="Arial Narrow"/>
                <w:sz w:val="20"/>
              </w:rPr>
              <w:t>CoV</w:t>
            </w:r>
            <w:r w:rsidRPr="00A422C7">
              <w:rPr>
                <w:rFonts w:ascii="Arial Narrow" w:hAnsi="Arial Narrow"/>
                <w:sz w:val="20"/>
              </w:rPr>
              <w:t xml:space="preserve"> is &lt;12%.</w:t>
            </w:r>
          </w:p>
        </w:tc>
        <w:tc>
          <w:tcPr>
            <w:tcW w:w="3969" w:type="dxa"/>
            <w:tcBorders>
              <w:top w:val="single" w:sz="4" w:space="0" w:color="auto"/>
              <w:left w:val="single" w:sz="4" w:space="0" w:color="auto"/>
              <w:bottom w:val="single" w:sz="4" w:space="0" w:color="auto"/>
              <w:right w:val="single" w:sz="4" w:space="0" w:color="auto"/>
            </w:tcBorders>
          </w:tcPr>
          <w:p w14:paraId="3819D328" w14:textId="77777777" w:rsidR="00A81273" w:rsidRPr="00A422C7" w:rsidRDefault="00A81273" w:rsidP="00462566">
            <w:pPr>
              <w:pStyle w:val="Tabletext1"/>
              <w:rPr>
                <w:u w:val="single"/>
              </w:rPr>
            </w:pPr>
            <w:r w:rsidRPr="00A422C7">
              <w:rPr>
                <w:u w:val="single"/>
              </w:rPr>
              <w:t>AFC by TVUS</w:t>
            </w:r>
          </w:p>
          <w:p w14:paraId="51C6745B" w14:textId="5FCD3478" w:rsidR="00A81273" w:rsidRPr="00A422C7" w:rsidRDefault="00A81273" w:rsidP="00462566">
            <w:pPr>
              <w:pStyle w:val="Tabletext1"/>
            </w:pPr>
            <w:r w:rsidRPr="00A422C7">
              <w:t>AFC was performed by two reproductive endocrinologists. Standardi</w:t>
            </w:r>
            <w:r w:rsidR="00B023DE">
              <w:t>s</w:t>
            </w:r>
            <w:r w:rsidRPr="00A422C7">
              <w:t>ation of caliper placement for follicle measurement was confirmed before the start of the study, and was consistent with clinical AFC measurements used for standard follicle monitoring for fertility patients.</w:t>
            </w:r>
          </w:p>
          <w:p w14:paraId="456AA432" w14:textId="77777777" w:rsidR="00A81273" w:rsidRPr="00A422C7" w:rsidRDefault="00A81273" w:rsidP="00462566">
            <w:pPr>
              <w:pStyle w:val="Tabletext1"/>
            </w:pPr>
            <w:r w:rsidRPr="00A422C7">
              <w:t xml:space="preserve">Ovaries were scanned cephalad to caudad in the coronal plane, to ensure complete visualization of </w:t>
            </w:r>
            <w:r w:rsidRPr="00A422C7">
              <w:lastRenderedPageBreak/>
              <w:t>the ovary, and avoid missing follicles.</w:t>
            </w:r>
          </w:p>
        </w:tc>
        <w:tc>
          <w:tcPr>
            <w:tcW w:w="1276" w:type="dxa"/>
            <w:tcBorders>
              <w:top w:val="single" w:sz="4" w:space="0" w:color="auto"/>
              <w:left w:val="single" w:sz="4" w:space="0" w:color="auto"/>
              <w:bottom w:val="single" w:sz="4" w:space="0" w:color="auto"/>
              <w:right w:val="single" w:sz="4" w:space="0" w:color="auto"/>
            </w:tcBorders>
          </w:tcPr>
          <w:p w14:paraId="2729E38A" w14:textId="77777777" w:rsidR="00A81273" w:rsidRPr="00A422C7" w:rsidRDefault="00A81273" w:rsidP="00462566">
            <w:pPr>
              <w:pStyle w:val="Tabletext1"/>
            </w:pPr>
            <w:r w:rsidRPr="00A422C7">
              <w:lastRenderedPageBreak/>
              <w:t>Correlation: Spearman’s rank correlation test</w:t>
            </w:r>
          </w:p>
        </w:tc>
      </w:tr>
      <w:tr w:rsidR="00835BA6" w:rsidRPr="00A422C7" w14:paraId="3D9134D4" w14:textId="77777777" w:rsidTr="00462566">
        <w:trPr>
          <w:trHeight w:val="319"/>
        </w:trPr>
        <w:tc>
          <w:tcPr>
            <w:tcW w:w="0" w:type="auto"/>
            <w:tcBorders>
              <w:top w:val="single" w:sz="4" w:space="0" w:color="auto"/>
              <w:left w:val="single" w:sz="4" w:space="0" w:color="auto"/>
              <w:bottom w:val="single" w:sz="4" w:space="0" w:color="auto"/>
              <w:right w:val="single" w:sz="4" w:space="0" w:color="auto"/>
            </w:tcBorders>
          </w:tcPr>
          <w:p w14:paraId="590F815F" w14:textId="30139DAF" w:rsidR="00835BA6" w:rsidRDefault="00835BA6" w:rsidP="00835BA6">
            <w:pPr>
              <w:pStyle w:val="Tabletext1"/>
            </w:pPr>
            <w:r>
              <w:lastRenderedPageBreak/>
              <w:t xml:space="preserve">van Beek et al. </w:t>
            </w:r>
            <w:r>
              <w:fldChar w:fldCharType="begin"/>
            </w:r>
            <w:r>
              <w:instrText xml:space="preserve"> ADDIN EN.CITE &lt;EndNote&gt;&lt;Cite ExcludeAuth="1"&gt;&lt;Author&gt;van Beek&lt;/Author&gt;&lt;Year&gt;2007&lt;/Year&gt;&lt;RecNum&gt;355&lt;/RecNum&gt;&lt;IDText&gt;3869-3874&lt;/IDText&gt;&lt;DisplayText&gt;(2007)&lt;/DisplayText&gt;&lt;record&gt;&lt;rec-number&gt;355&lt;/rec-number&gt;&lt;foreign-keys&gt;&lt;key app="EN" db-id="s2dftfxw1fvsr1efx58vfvxtvfwzxea0td02" timestamp="1511748098"&gt;355&lt;/key&gt;&lt;/foreign-keys&gt;&lt;ref-type name="Journal Article"&gt;17&lt;/ref-type&gt;&lt;contributors&gt;&lt;authors&gt;&lt;author&gt;van Beek, R. D.&lt;/author&gt;&lt;author&gt;van den Heuvel-Eibrink, M. M.&lt;/author&gt;&lt;author&gt;Laven, J. S. E.&lt;/author&gt;&lt;author&gt;de Jong, F. H.&lt;/author&gt;&lt;author&gt;Themmen, A. P. N.&lt;/author&gt;&lt;author&gt;Hakvoort-Cammel, F. G.&lt;/author&gt;&lt;author&gt;van den Bos, C.&lt;/author&gt;&lt;author&gt;van den Berg, H.&lt;/author&gt;&lt;author&gt;Pieters, R.&lt;/author&gt;&lt;author&gt;Keizer-Schrama, Smpfd&lt;/author&gt;&lt;/authors&gt;&lt;/contributors&gt;&lt;titles&gt;&lt;title&gt;Anti-mullerian hormone is a sensitive serum marker for gonadal function in women treated for Hodgkin&amp;apos;s lymphoma during childhood&lt;/title&gt;&lt;secondary-title&gt;Journal of Clinical Endocrinology &amp;amp; Metabolism&lt;/secondary-title&gt;&lt;/titles&gt;&lt;periodical&gt;&lt;full-title&gt;Journal of Clinical Endocrinology &amp;amp; Metabolism&lt;/full-title&gt;&lt;/periodical&gt;&lt;pages&gt;3869-3874&lt;/pages&gt;&lt;volume&gt;92&lt;/volume&gt;&lt;number&gt;10&lt;/number&gt;&lt;keywords&gt;&lt;keyword&gt;Lymphoma&lt;/keyword&gt;&lt;keyword&gt;Drug Therapy, Combination&lt;/keyword&gt;&lt;keyword&gt;Follicle Stimulating Hormone&lt;/keyword&gt;&lt;keyword&gt;Gonads&lt;/keyword&gt;&lt;keyword&gt;Biological Markers&lt;/keyword&gt;&lt;keyword&gt;Lymphoma, Non-Hodgkin&lt;/keyword&gt;&lt;keyword&gt;Hodgkin Disease&lt;/keyword&gt;&lt;/keywords&gt;&lt;dates&gt;&lt;year&gt;2007&lt;/year&gt;&lt;pub-dates&gt;&lt;date&gt;2007-1-1&lt;/date&gt;&lt;/pub-dates&gt;&lt;/dates&gt;&lt;accession-num&gt;rayyan-6679237&lt;/accession-num&gt;&lt;urls&gt;&lt;related-urls&gt;&lt;url&gt;&amp;lt;Go to ISI&amp;gt;://WOS:000250148400018&lt;/url&gt;&lt;/related-urls&gt;&lt;/urls&gt;&lt;custom1&gt;RAYYAN-INCLUSION: {&amp;quot;Sharon&amp;quot;=&amp;gt;true, &amp;quot;Joanne&amp;quot;=&amp;gt;true}&lt;/custom1&gt;&lt;/record&gt;&lt;/Cite&gt;&lt;/EndNote&gt;</w:instrText>
            </w:r>
            <w:r>
              <w:fldChar w:fldCharType="separate"/>
            </w:r>
            <w:r>
              <w:rPr>
                <w:noProof/>
              </w:rPr>
              <w:t>(</w:t>
            </w:r>
            <w:hyperlink w:anchor="_ENREF_71" w:tooltip="van Beek, 2007 #355" w:history="1">
              <w:r>
                <w:rPr>
                  <w:noProof/>
                </w:rPr>
                <w:t>2007</w:t>
              </w:r>
            </w:hyperlink>
            <w:r>
              <w:rPr>
                <w:noProof/>
              </w:rPr>
              <w:t>)</w:t>
            </w:r>
            <w:r>
              <w:fldChar w:fldCharType="end"/>
            </w:r>
          </w:p>
          <w:p w14:paraId="768338B4" w14:textId="42E30436" w:rsidR="00835BA6" w:rsidRPr="00A422C7" w:rsidRDefault="00835BA6" w:rsidP="00835BA6">
            <w:pPr>
              <w:pStyle w:val="Tabletext1"/>
            </w:pPr>
            <w:r>
              <w:t>the Netherlands</w:t>
            </w:r>
          </w:p>
        </w:tc>
        <w:tc>
          <w:tcPr>
            <w:tcW w:w="1445" w:type="dxa"/>
            <w:tcBorders>
              <w:top w:val="single" w:sz="4" w:space="0" w:color="auto"/>
              <w:left w:val="single" w:sz="4" w:space="0" w:color="auto"/>
              <w:bottom w:val="single" w:sz="4" w:space="0" w:color="auto"/>
            </w:tcBorders>
          </w:tcPr>
          <w:p w14:paraId="232351E5" w14:textId="77777777" w:rsidR="00835BA6" w:rsidRPr="00A422C7" w:rsidRDefault="00835BA6" w:rsidP="00835BA6">
            <w:pPr>
              <w:pStyle w:val="Tabletext1"/>
            </w:pPr>
            <w:r w:rsidRPr="00A422C7">
              <w:t>Case series</w:t>
            </w:r>
          </w:p>
          <w:p w14:paraId="1D098573" w14:textId="77777777" w:rsidR="00835BA6" w:rsidRPr="00A422C7" w:rsidRDefault="00835BA6" w:rsidP="00835BA6">
            <w:pPr>
              <w:pStyle w:val="Tabletext1"/>
            </w:pPr>
            <w:r w:rsidRPr="00A422C7">
              <w:t>Quality: Low risk of bias</w:t>
            </w:r>
          </w:p>
        </w:tc>
        <w:tc>
          <w:tcPr>
            <w:tcW w:w="3375" w:type="dxa"/>
            <w:tcBorders>
              <w:top w:val="single" w:sz="4" w:space="0" w:color="auto"/>
              <w:left w:val="single" w:sz="4" w:space="0" w:color="auto"/>
              <w:bottom w:val="single" w:sz="4" w:space="0" w:color="auto"/>
              <w:right w:val="single" w:sz="4" w:space="0" w:color="auto"/>
            </w:tcBorders>
          </w:tcPr>
          <w:p w14:paraId="11515CA7" w14:textId="77777777" w:rsidR="00835BA6" w:rsidRPr="00A422C7" w:rsidRDefault="00835BA6" w:rsidP="00835BA6">
            <w:pPr>
              <w:pStyle w:val="Tabletext1"/>
            </w:pPr>
            <w:r w:rsidRPr="00A422C7">
              <w:t>32 women treated with chemotherapy for Hodgkin's lymphoma during childhood</w:t>
            </w:r>
          </w:p>
          <w:p w14:paraId="795C3E44" w14:textId="77777777" w:rsidR="00835BA6" w:rsidRPr="00A422C7" w:rsidRDefault="00835BA6" w:rsidP="00835BA6">
            <w:pPr>
              <w:pStyle w:val="Tabletext1"/>
            </w:pPr>
            <w:r w:rsidRPr="00A422C7">
              <w:t>Median age at diagnosis = 14 years (range 5.0–17.2)</w:t>
            </w:r>
          </w:p>
          <w:p w14:paraId="62CDC178" w14:textId="528DD100" w:rsidR="00835BA6" w:rsidRPr="00A422C7" w:rsidRDefault="00835BA6" w:rsidP="00835BA6">
            <w:pPr>
              <w:pStyle w:val="Tabletext1"/>
            </w:pPr>
            <w:r w:rsidRPr="00A422C7">
              <w:t>Median age at follow-up = 25 years (range 19.2–40.4).</w:t>
            </w:r>
          </w:p>
        </w:tc>
        <w:tc>
          <w:tcPr>
            <w:tcW w:w="3969" w:type="dxa"/>
            <w:tcBorders>
              <w:top w:val="single" w:sz="4" w:space="0" w:color="auto"/>
              <w:left w:val="single" w:sz="4" w:space="0" w:color="auto"/>
              <w:bottom w:val="single" w:sz="4" w:space="0" w:color="auto"/>
              <w:right w:val="single" w:sz="4" w:space="0" w:color="auto"/>
            </w:tcBorders>
          </w:tcPr>
          <w:p w14:paraId="0A8401B9" w14:textId="77777777" w:rsidR="00835BA6" w:rsidRPr="00A422C7" w:rsidRDefault="00835BA6" w:rsidP="00835BA6">
            <w:pPr>
              <w:pStyle w:val="Tabletext1"/>
              <w:rPr>
                <w:u w:val="single"/>
              </w:rPr>
            </w:pPr>
            <w:r w:rsidRPr="00A422C7">
              <w:rPr>
                <w:u w:val="single"/>
              </w:rPr>
              <w:t>DSL ACTIVE® AMH ELISA</w:t>
            </w:r>
          </w:p>
          <w:p w14:paraId="0542C39E" w14:textId="7A86572B" w:rsidR="00835BA6" w:rsidRPr="00A422C7" w:rsidRDefault="00835BA6" w:rsidP="00835BA6">
            <w:pPr>
              <w:pStyle w:val="Tabletext1"/>
            </w:pPr>
            <w:r w:rsidRPr="00A422C7">
              <w:t xml:space="preserve">Intra- and inter-assay </w:t>
            </w:r>
            <w:r w:rsidR="00776418">
              <w:t>CoV</w:t>
            </w:r>
            <w:r w:rsidRPr="00A422C7">
              <w:t>s &lt;5 and &lt;</w:t>
            </w:r>
            <w:r w:rsidR="00E830B2">
              <w:t>8%.</w:t>
            </w:r>
          </w:p>
        </w:tc>
        <w:tc>
          <w:tcPr>
            <w:tcW w:w="3969" w:type="dxa"/>
            <w:tcBorders>
              <w:top w:val="single" w:sz="4" w:space="0" w:color="auto"/>
              <w:left w:val="single" w:sz="4" w:space="0" w:color="auto"/>
              <w:bottom w:val="single" w:sz="4" w:space="0" w:color="auto"/>
              <w:right w:val="single" w:sz="4" w:space="0" w:color="auto"/>
            </w:tcBorders>
          </w:tcPr>
          <w:p w14:paraId="6D573AB8" w14:textId="77777777" w:rsidR="00835BA6" w:rsidRPr="00A422C7" w:rsidRDefault="00835BA6" w:rsidP="00835BA6">
            <w:pPr>
              <w:pStyle w:val="Tabletext1"/>
              <w:rPr>
                <w:u w:val="single"/>
              </w:rPr>
            </w:pPr>
            <w:r w:rsidRPr="00A422C7">
              <w:rPr>
                <w:u w:val="single"/>
              </w:rPr>
              <w:t>Serotec inhibin B ELISA</w:t>
            </w:r>
          </w:p>
          <w:p w14:paraId="46749922" w14:textId="49127087" w:rsidR="00835BA6" w:rsidRPr="00A422C7" w:rsidRDefault="00835BA6" w:rsidP="00835BA6">
            <w:pPr>
              <w:pStyle w:val="Tabletext1"/>
            </w:pPr>
            <w:r w:rsidRPr="00A422C7">
              <w:t xml:space="preserve">Intra- and inter-assay </w:t>
            </w:r>
            <w:r w:rsidR="00776418">
              <w:t>CoV</w:t>
            </w:r>
            <w:r w:rsidRPr="00A422C7">
              <w:t>s were &lt;9 and &lt;15%</w:t>
            </w:r>
          </w:p>
          <w:p w14:paraId="02238399" w14:textId="77777777" w:rsidR="00835BA6" w:rsidRPr="00A422C7" w:rsidRDefault="00835BA6" w:rsidP="00835BA6">
            <w:pPr>
              <w:pStyle w:val="Tabletext1"/>
              <w:rPr>
                <w:u w:val="single"/>
              </w:rPr>
            </w:pPr>
            <w:r w:rsidRPr="00A422C7">
              <w:rPr>
                <w:u w:val="single"/>
              </w:rPr>
              <w:t>Immulite 2000 FSH immunoassay</w:t>
            </w:r>
          </w:p>
          <w:p w14:paraId="277C3AAF" w14:textId="6AD0A9B8" w:rsidR="00835BA6" w:rsidRPr="00A422C7" w:rsidRDefault="00835BA6" w:rsidP="00835BA6">
            <w:pPr>
              <w:pStyle w:val="Tabletext1"/>
            </w:pPr>
            <w:r w:rsidRPr="00A422C7">
              <w:t xml:space="preserve">Intra- and inter-assay </w:t>
            </w:r>
            <w:r w:rsidR="00776418">
              <w:t>CoV</w:t>
            </w:r>
            <w:r w:rsidRPr="00A422C7">
              <w:t>s were &lt;3 and &lt;8%</w:t>
            </w:r>
          </w:p>
        </w:tc>
        <w:tc>
          <w:tcPr>
            <w:tcW w:w="1276" w:type="dxa"/>
            <w:tcBorders>
              <w:top w:val="single" w:sz="4" w:space="0" w:color="auto"/>
              <w:left w:val="single" w:sz="4" w:space="0" w:color="auto"/>
              <w:bottom w:val="single" w:sz="4" w:space="0" w:color="auto"/>
              <w:right w:val="single" w:sz="4" w:space="0" w:color="auto"/>
            </w:tcBorders>
          </w:tcPr>
          <w:p w14:paraId="63E40498" w14:textId="77777777" w:rsidR="00835BA6" w:rsidRPr="00A422C7" w:rsidRDefault="00835BA6" w:rsidP="00835BA6">
            <w:pPr>
              <w:pStyle w:val="Tabletext1"/>
            </w:pPr>
            <w:r w:rsidRPr="00A422C7">
              <w:t>Correlation: Spearman’s rank correlation test</w:t>
            </w:r>
          </w:p>
        </w:tc>
      </w:tr>
    </w:tbl>
    <w:p w14:paraId="06A47B4A" w14:textId="798FAC39" w:rsidR="00A81273" w:rsidRDefault="00A81273" w:rsidP="009D0A93">
      <w:pPr>
        <w:pStyle w:val="Tablenotes0"/>
        <w:spacing w:after="0"/>
      </w:pPr>
      <w:r>
        <w:t>AFC = antral follicle count; AMH = anti-Müllerian hormone; ASRM = American Society for Reproductive Medicine classification of endometriosis; BMT = bone marro</w:t>
      </w:r>
      <w:r w:rsidR="009D0F25">
        <w:t xml:space="preserve">w transplant; </w:t>
      </w:r>
      <w:r w:rsidR="00205BD5">
        <w:t xml:space="preserve">CoV = coefficient(s) of variation; </w:t>
      </w:r>
      <w:r w:rsidR="009D0F25">
        <w:t xml:space="preserve">E2 = </w:t>
      </w:r>
      <w:r w:rsidR="00A70795">
        <w:t>estradiol</w:t>
      </w:r>
      <w:r>
        <w:t>; EIA = enzyme Immunoassay; ELISA = enzyme-linked immunosorbent assay; FSH = follicle-stimulating hormone; HRT = hormone replacement therapy; LH = luteinising hormone; MIS = Mü</w:t>
      </w:r>
      <w:r w:rsidR="005070FC">
        <w:t>llerian-inhibiting</w:t>
      </w:r>
      <w:r>
        <w:t xml:space="preserve"> substance; OTC = o</w:t>
      </w:r>
      <w:r w:rsidRPr="009A4F4C">
        <w:t>varian tissue cryopreservation</w:t>
      </w:r>
      <w:r>
        <w:t>; TVUS = transvaginal ultrasound examination</w:t>
      </w:r>
    </w:p>
    <w:p w14:paraId="142ED04A" w14:textId="55E35785" w:rsidR="009D0A93" w:rsidRPr="00835BA6" w:rsidRDefault="00A81273" w:rsidP="00835BA6">
      <w:pPr>
        <w:pStyle w:val="Tablenotes0"/>
        <w:spacing w:after="0"/>
        <w:rPr>
          <w:rStyle w:val="Hyperlink"/>
          <w:color w:val="auto"/>
          <w:u w:val="none"/>
        </w:rPr>
      </w:pPr>
      <w:r w:rsidRPr="00835BA6">
        <w:rPr>
          <w:vertAlign w:val="superscript"/>
        </w:rPr>
        <w:t>a</w:t>
      </w:r>
      <w:r w:rsidR="009D0A93" w:rsidRPr="00835BA6">
        <w:rPr>
          <w:vertAlign w:val="superscript"/>
        </w:rPr>
        <w:t xml:space="preserve"> </w:t>
      </w:r>
      <w:r w:rsidR="009D0A93" w:rsidRPr="00835BA6">
        <w:t>S</w:t>
      </w:r>
      <w:r w:rsidRPr="00835BA6">
        <w:t xml:space="preserve">ource: </w:t>
      </w:r>
      <w:r w:rsidR="007102C6" w:rsidRPr="00835BA6">
        <w:t>See</w:t>
      </w:r>
      <w:r w:rsidRPr="00835BA6">
        <w:t xml:space="preserve"> </w:t>
      </w:r>
      <w:hyperlink r:id="rId104" w:history="1">
        <w:r w:rsidRPr="00835BA6">
          <w:rPr>
            <w:rStyle w:val="Hyperlink"/>
            <w:color w:val="auto"/>
            <w:u w:val="none"/>
          </w:rPr>
          <w:t>NHMRC hierarchy of evidence</w:t>
        </w:r>
      </w:hyperlink>
    </w:p>
    <w:p w14:paraId="41004E82" w14:textId="57022E8F" w:rsidR="007518CF" w:rsidRDefault="00A81273" w:rsidP="009D0A93">
      <w:pPr>
        <w:pStyle w:val="Tablenotes0"/>
        <w:spacing w:after="240"/>
      </w:pPr>
      <w:r w:rsidRPr="00BA56CC">
        <w:rPr>
          <w:vertAlign w:val="superscript"/>
        </w:rPr>
        <w:t>b</w:t>
      </w:r>
      <w:r w:rsidR="009D0A93">
        <w:t xml:space="preserve"> R</w:t>
      </w:r>
      <w:r w:rsidRPr="00BA56CC">
        <w:t>isk of bias as it relates to primary outcomes of the systematic review</w:t>
      </w:r>
    </w:p>
    <w:p w14:paraId="61A2303E" w14:textId="1AF2D996" w:rsidR="0085234D" w:rsidRPr="0085234D" w:rsidRDefault="0085234D" w:rsidP="003F767A">
      <w:pPr>
        <w:pStyle w:val="Caption"/>
        <w:rPr>
          <w:lang w:eastAsia="en-US"/>
        </w:rPr>
      </w:pPr>
      <w:bookmarkStart w:id="515" w:name="_Toc502833103"/>
      <w:r w:rsidRPr="0085234D">
        <w:rPr>
          <w:lang w:eastAsia="en-US"/>
        </w:rPr>
        <w:t xml:space="preserve">Table </w:t>
      </w:r>
      <w:r w:rsidRPr="0085234D">
        <w:rPr>
          <w:lang w:eastAsia="en-US"/>
        </w:rPr>
        <w:fldChar w:fldCharType="begin"/>
      </w:r>
      <w:r w:rsidRPr="0085234D">
        <w:rPr>
          <w:lang w:eastAsia="en-US"/>
        </w:rPr>
        <w:instrText xml:space="preserve"> SEQ Table \* ARABIC </w:instrText>
      </w:r>
      <w:r w:rsidRPr="0085234D">
        <w:rPr>
          <w:lang w:eastAsia="en-US"/>
        </w:rPr>
        <w:fldChar w:fldCharType="separate"/>
      </w:r>
      <w:r w:rsidR="00AC4BE5">
        <w:rPr>
          <w:noProof/>
          <w:lang w:eastAsia="en-US"/>
        </w:rPr>
        <w:t>85</w:t>
      </w:r>
      <w:r w:rsidRPr="0085234D">
        <w:rPr>
          <w:noProof/>
          <w:lang w:eastAsia="en-US"/>
        </w:rPr>
        <w:fldChar w:fldCharType="end"/>
      </w:r>
      <w:r w:rsidR="009D0A93">
        <w:rPr>
          <w:lang w:eastAsia="en-US"/>
        </w:rPr>
        <w:tab/>
      </w:r>
      <w:r w:rsidRPr="0085234D">
        <w:rPr>
          <w:lang w:eastAsia="en-US"/>
        </w:rPr>
        <w:t>Prognostic evidence on ovarian function / amenorrhea / menses</w:t>
      </w:r>
      <w:bookmarkEnd w:id="515"/>
    </w:p>
    <w:tbl>
      <w:tblPr>
        <w:tblStyle w:val="TableGrid111"/>
        <w:tblW w:w="5000" w:type="pct"/>
        <w:tblLayout w:type="fixed"/>
        <w:tblLook w:val="04A0" w:firstRow="1" w:lastRow="0" w:firstColumn="1" w:lastColumn="0" w:noHBand="0" w:noVBand="1"/>
        <w:tblCaption w:val="Table 60 Profiles of comparative studies of MTA vs RFA in patients with primary liver tumours (Population 1) included in this assessment"/>
        <w:tblDescription w:val="Six comparative studies reporting on safety and effectiveness outcomes for Population 1 were included. This table indicates details on study design and quality, the study population, inclusion/ exclusion criteria, setting and technical details of the index test, and outcomes assessed."/>
      </w:tblPr>
      <w:tblGrid>
        <w:gridCol w:w="2336"/>
        <w:gridCol w:w="2807"/>
        <w:gridCol w:w="3120"/>
        <w:gridCol w:w="4525"/>
        <w:gridCol w:w="2564"/>
      </w:tblGrid>
      <w:tr w:rsidR="0085234D" w:rsidRPr="0085234D" w14:paraId="3FDB796A" w14:textId="77777777" w:rsidTr="000F1B86">
        <w:trPr>
          <w:cnfStyle w:val="100000000000" w:firstRow="1" w:lastRow="0" w:firstColumn="0" w:lastColumn="0" w:oddVBand="0" w:evenVBand="0" w:oddHBand="0" w:evenHBand="0" w:firstRowFirstColumn="0" w:firstRowLastColumn="0" w:lastRowFirstColumn="0" w:lastRowLastColumn="0"/>
          <w:trHeight w:val="792"/>
          <w:tblHeader/>
        </w:trPr>
        <w:tc>
          <w:tcPr>
            <w:tcW w:w="2302" w:type="dxa"/>
          </w:tcPr>
          <w:p w14:paraId="2621A72C" w14:textId="51166E24" w:rsidR="0085234D" w:rsidRPr="007102C6" w:rsidRDefault="00E74EB5" w:rsidP="007102C6">
            <w:pPr>
              <w:pStyle w:val="TableText0"/>
              <w:rPr>
                <w:b/>
              </w:rPr>
            </w:pPr>
            <w:r w:rsidRPr="007102C6">
              <w:rPr>
                <w:b/>
              </w:rPr>
              <w:t>Author, year, c</w:t>
            </w:r>
            <w:r w:rsidR="0085234D" w:rsidRPr="007102C6">
              <w:rPr>
                <w:b/>
              </w:rPr>
              <w:t>ountry</w:t>
            </w:r>
          </w:p>
          <w:p w14:paraId="741704FE" w14:textId="77777777" w:rsidR="0085234D" w:rsidRPr="007102C6" w:rsidRDefault="0085234D" w:rsidP="007102C6">
            <w:pPr>
              <w:pStyle w:val="TableText0"/>
              <w:rPr>
                <w:b/>
              </w:rPr>
            </w:pPr>
            <w:r w:rsidRPr="007102C6">
              <w:rPr>
                <w:b/>
              </w:rPr>
              <w:t>Study design</w:t>
            </w:r>
          </w:p>
          <w:p w14:paraId="32278573" w14:textId="77777777" w:rsidR="0085234D" w:rsidRPr="007102C6" w:rsidRDefault="0085234D" w:rsidP="007102C6">
            <w:pPr>
              <w:pStyle w:val="TableText0"/>
              <w:rPr>
                <w:b/>
              </w:rPr>
            </w:pPr>
            <w:r w:rsidRPr="007102C6">
              <w:rPr>
                <w:b/>
              </w:rPr>
              <w:t>Level of evidence</w:t>
            </w:r>
          </w:p>
          <w:p w14:paraId="31376C50" w14:textId="77777777" w:rsidR="0085234D" w:rsidRPr="007102C6" w:rsidRDefault="0085234D" w:rsidP="007102C6">
            <w:pPr>
              <w:pStyle w:val="TableText0"/>
              <w:rPr>
                <w:b/>
              </w:rPr>
            </w:pPr>
            <w:r w:rsidRPr="007102C6">
              <w:rPr>
                <w:b/>
              </w:rPr>
              <w:t>Quality appraisal</w:t>
            </w:r>
          </w:p>
        </w:tc>
        <w:tc>
          <w:tcPr>
            <w:tcW w:w="2766" w:type="dxa"/>
          </w:tcPr>
          <w:p w14:paraId="3643033E" w14:textId="77777777" w:rsidR="0085234D" w:rsidRPr="007102C6" w:rsidRDefault="0085234D" w:rsidP="007102C6">
            <w:pPr>
              <w:pStyle w:val="TableText0"/>
              <w:rPr>
                <w:b/>
              </w:rPr>
            </w:pPr>
            <w:r w:rsidRPr="007102C6">
              <w:rPr>
                <w:b/>
              </w:rPr>
              <w:t>Population characteristics</w:t>
            </w:r>
          </w:p>
        </w:tc>
        <w:tc>
          <w:tcPr>
            <w:tcW w:w="3074" w:type="dxa"/>
          </w:tcPr>
          <w:p w14:paraId="43E0349E" w14:textId="77777777" w:rsidR="0085234D" w:rsidRPr="007102C6" w:rsidRDefault="0085234D" w:rsidP="007102C6">
            <w:pPr>
              <w:pStyle w:val="TableText0"/>
              <w:rPr>
                <w:b/>
              </w:rPr>
            </w:pPr>
            <w:r w:rsidRPr="007102C6">
              <w:rPr>
                <w:b/>
              </w:rPr>
              <w:t>Objectives</w:t>
            </w:r>
          </w:p>
          <w:p w14:paraId="0B4F7C1A" w14:textId="77777777" w:rsidR="0085234D" w:rsidRPr="007102C6" w:rsidRDefault="0085234D" w:rsidP="007102C6">
            <w:pPr>
              <w:pStyle w:val="TableText0"/>
              <w:rPr>
                <w:b/>
              </w:rPr>
            </w:pPr>
            <w:r w:rsidRPr="007102C6">
              <w:rPr>
                <w:b/>
              </w:rPr>
              <w:t>Eligibility criteria</w:t>
            </w:r>
          </w:p>
        </w:tc>
        <w:tc>
          <w:tcPr>
            <w:tcW w:w="4458" w:type="dxa"/>
          </w:tcPr>
          <w:p w14:paraId="035897BD" w14:textId="77777777" w:rsidR="0085234D" w:rsidRPr="007102C6" w:rsidRDefault="0085234D" w:rsidP="007102C6">
            <w:pPr>
              <w:pStyle w:val="TableText0"/>
              <w:rPr>
                <w:b/>
              </w:rPr>
            </w:pPr>
            <w:r w:rsidRPr="007102C6">
              <w:rPr>
                <w:b/>
              </w:rPr>
              <w:t>AMH test and comparator</w:t>
            </w:r>
          </w:p>
        </w:tc>
        <w:tc>
          <w:tcPr>
            <w:tcW w:w="2526" w:type="dxa"/>
          </w:tcPr>
          <w:p w14:paraId="78C1DA2A" w14:textId="77777777" w:rsidR="0085234D" w:rsidRPr="007102C6" w:rsidRDefault="0085234D" w:rsidP="007102C6">
            <w:pPr>
              <w:pStyle w:val="TableText0"/>
              <w:rPr>
                <w:b/>
              </w:rPr>
            </w:pPr>
            <w:r w:rsidRPr="007102C6">
              <w:rPr>
                <w:b/>
              </w:rPr>
              <w:t>Prognostic outcomes assessed</w:t>
            </w:r>
          </w:p>
        </w:tc>
      </w:tr>
      <w:tr w:rsidR="0085234D" w:rsidRPr="0085234D" w14:paraId="246AE6C2" w14:textId="77777777" w:rsidTr="000F1B86">
        <w:trPr>
          <w:trHeight w:val="293"/>
        </w:trPr>
        <w:tc>
          <w:tcPr>
            <w:tcW w:w="2302" w:type="dxa"/>
          </w:tcPr>
          <w:p w14:paraId="61CDB099" w14:textId="7BA9644F" w:rsidR="0085234D" w:rsidRPr="00A422C7" w:rsidRDefault="0085234D" w:rsidP="007102C6">
            <w:pPr>
              <w:pStyle w:val="Tabletext1"/>
            </w:pPr>
            <w:r w:rsidRPr="00A422C7">
              <w:t xml:space="preserve">Anders et al. </w:t>
            </w:r>
            <w:r w:rsidR="00577E24" w:rsidRPr="00A422C7">
              <w:fldChar w:fldCharType="begin"/>
            </w:r>
            <w:r w:rsidR="00577E24" w:rsidRPr="00A422C7">
              <w:instrText xml:space="preserve"> ADDIN EN.CITE &lt;EndNote&gt;&lt;Cite ExcludeAuth="1"&gt;&lt;Author&gt;Anders&lt;/Author&gt;&lt;Year&gt;2008&lt;/Year&gt;&lt;RecNum&gt;25&lt;/RecNum&gt;&lt;IDText&gt;286-295&lt;/IDText&gt;&lt;DisplayText&gt;(2008)&lt;/DisplayText&gt;&lt;record&gt;&lt;rec-number&gt;25&lt;/rec-number&gt;&lt;foreign-keys&gt;&lt;key app="EN" db-id="s2dftfxw1fvsr1efx58vfvxtvfwzxea0td02" timestamp="1511748062"&gt;25&lt;/key&gt;&lt;/foreign-keys&gt;&lt;ref-type name="Journal Article"&gt;17&lt;/ref-type&gt;&lt;contributors&gt;&lt;authors&gt;&lt;author&gt;Anders, C.&lt;/author&gt;&lt;author&gt;Marcom, P. K.&lt;/author&gt;&lt;author&gt;Peterson, B.&lt;/author&gt;&lt;author&gt;Gu, L.&lt;/author&gt;&lt;author&gt;Unruhe, S.&lt;/author&gt;&lt;author&gt;Welch, R.&lt;/author&gt;&lt;author&gt;Lyons, P.&lt;/author&gt;&lt;author&gt;Kimmick, G.&lt;/author&gt;&lt;author&gt;Shaw, H.&lt;/author&gt;&lt;author&gt;Snyder, S.&lt;/author&gt;&lt;author&gt;Antenos, M.&lt;/author&gt;&lt;author&gt;Woodruff, T.&lt;/author&gt;&lt;author&gt;Blackwell, K.&lt;/author&gt;&lt;/authors&gt;&lt;/contributors&gt;&lt;titles&gt;&lt;title&gt;A pilot study of predictive markers of chemotherapy-related amenorrhea among premenopausal women with early stage breast cancer&lt;/title&gt;&lt;secondary-title&gt;Cancer Investigation&lt;/secondary-title&gt;&lt;/titles&gt;&lt;periodical&gt;&lt;full-title&gt;Cancer Investigation&lt;/full-title&gt;&lt;/periodical&gt;&lt;pages&gt;286-295&lt;/pages&gt;&lt;volume&gt;26&lt;/volume&gt;&lt;number&gt;3&lt;/number&gt;&lt;keywords&gt;&lt;keyword&gt;Follicle Stimulating Hormone&lt;/keyword&gt;&lt;keyword&gt;Estradiol&lt;/keyword&gt;&lt;keyword&gt;Premenopause&lt;/keyword&gt;&lt;keyword&gt;Amenorrhea&lt;/keyword&gt;&lt;keyword&gt;Breast Neoplasms&lt;/keyword&gt;&lt;keyword&gt;Pilot Projects&lt;/keyword&gt;&lt;/keywords&gt;&lt;dates&gt;&lt;year&gt;2008&lt;/year&gt;&lt;pub-dates&gt;&lt;date&gt;2008-1-1&lt;/date&gt;&lt;/pub-dates&gt;&lt;/dates&gt;&lt;isbn&gt;0735-7907 1532-4192&lt;/isbn&gt;&lt;accession-num&gt;rayyan-6671976&lt;/accession-num&gt;&lt;urls&gt;&lt;related-urls&gt;&lt;url&gt;http://www.embase.com/search/results?subaction=viewrecord&amp;amp;from=export&amp;amp;id=L351329008 http://dx.doi.org/10.1080/07357900701829777&lt;/url&gt;&lt;url&gt;http://www.tandfonline.com/doi/pdf/10.1080/07357900701829777?needAccess=true&lt;/url&gt;&lt;/related-urls&gt;&lt;/urls&gt;&lt;custom1&gt;adriamycin herceptin(Genentech) taxotere(Sanofi Aventis) RAYYAN-INCLUSION: {&amp;quot;Sharon&amp;quot;=&amp;gt;true, &amp;quot;Joanne&amp;quot;=&amp;gt;true}&lt;/custom1&gt;&lt;/record&gt;&lt;/Cite&gt;&lt;/EndNote&gt;</w:instrText>
            </w:r>
            <w:r w:rsidR="00577E24" w:rsidRPr="00A422C7">
              <w:fldChar w:fldCharType="separate"/>
            </w:r>
            <w:r w:rsidR="00577E24" w:rsidRPr="00A422C7">
              <w:rPr>
                <w:noProof/>
              </w:rPr>
              <w:t>(</w:t>
            </w:r>
            <w:hyperlink w:anchor="_ENREF_5" w:tooltip="Anders, 2008 #25" w:history="1">
              <w:r w:rsidR="00835BA6" w:rsidRPr="00A422C7">
                <w:rPr>
                  <w:noProof/>
                </w:rPr>
                <w:t>2008</w:t>
              </w:r>
            </w:hyperlink>
            <w:r w:rsidR="00577E24" w:rsidRPr="00A422C7">
              <w:rPr>
                <w:noProof/>
              </w:rPr>
              <w:t>)</w:t>
            </w:r>
            <w:r w:rsidR="00577E24" w:rsidRPr="00A422C7">
              <w:fldChar w:fldCharType="end"/>
            </w:r>
            <w:r w:rsidRPr="00A422C7">
              <w:br/>
              <w:t>USA</w:t>
            </w:r>
          </w:p>
          <w:p w14:paraId="2AFCB64C" w14:textId="43E2C759" w:rsidR="0085234D" w:rsidRPr="00A422C7" w:rsidRDefault="0085234D" w:rsidP="007102C6">
            <w:pPr>
              <w:pStyle w:val="Tabletext1"/>
            </w:pPr>
            <w:r w:rsidRPr="00A422C7">
              <w:rPr>
                <w:u w:val="single"/>
              </w:rPr>
              <w:t>Level</w:t>
            </w:r>
            <w:r w:rsidR="009D0A93" w:rsidRPr="00A422C7">
              <w:t>:</w:t>
            </w:r>
            <w:r w:rsidR="00835BA6">
              <w:t xml:space="preserve"> </w:t>
            </w:r>
            <w:r w:rsidRPr="00A422C7">
              <w:t>IV (prospective study)</w:t>
            </w:r>
          </w:p>
          <w:p w14:paraId="3BEA5DD9" w14:textId="2741AC9A" w:rsidR="0085234D" w:rsidRPr="00A422C7" w:rsidRDefault="0085234D" w:rsidP="007102C6">
            <w:pPr>
              <w:pStyle w:val="Tabletext1"/>
            </w:pPr>
            <w:r w:rsidRPr="00A422C7">
              <w:rPr>
                <w:u w:val="single"/>
              </w:rPr>
              <w:t>Quality</w:t>
            </w:r>
            <w:r w:rsidR="009D0A93" w:rsidRPr="00A422C7">
              <w:t>:</w:t>
            </w:r>
          </w:p>
          <w:p w14:paraId="291F1850" w14:textId="77777777" w:rsidR="0085234D" w:rsidRPr="00A422C7" w:rsidRDefault="0085234D" w:rsidP="007102C6">
            <w:pPr>
              <w:pStyle w:val="Tabletext1"/>
            </w:pPr>
            <w:r w:rsidRPr="00A422C7">
              <w:t>Moderate risk of bias</w:t>
            </w:r>
          </w:p>
        </w:tc>
        <w:tc>
          <w:tcPr>
            <w:tcW w:w="2766" w:type="dxa"/>
          </w:tcPr>
          <w:p w14:paraId="28F47DAB" w14:textId="25429E12" w:rsidR="0085234D" w:rsidRPr="00A422C7" w:rsidRDefault="0085234D" w:rsidP="007102C6">
            <w:pPr>
              <w:pStyle w:val="Tabletext1"/>
            </w:pPr>
            <w:r w:rsidRPr="00A422C7">
              <w:rPr>
                <w:u w:val="single"/>
              </w:rPr>
              <w:t>Population</w:t>
            </w:r>
            <w:r w:rsidR="009D0A93" w:rsidRPr="00A422C7">
              <w:t>:</w:t>
            </w:r>
            <w:r w:rsidR="001539A5" w:rsidRPr="00A422C7">
              <w:t xml:space="preserve"> 44 pre</w:t>
            </w:r>
            <w:r w:rsidR="003036C4">
              <w:t>-menopausal</w:t>
            </w:r>
            <w:r w:rsidR="001539A5" w:rsidRPr="00A422C7">
              <w:t xml:space="preserve"> women aged 18–</w:t>
            </w:r>
            <w:r w:rsidRPr="00A422C7">
              <w:t>55, with hi</w:t>
            </w:r>
            <w:r w:rsidR="001539A5" w:rsidRPr="00A422C7">
              <w:t>stologically confirmed, stage I–</w:t>
            </w:r>
            <w:r w:rsidRPr="00A422C7">
              <w:t>II diagnosis of operable breast adenocarcinoma.</w:t>
            </w:r>
          </w:p>
          <w:p w14:paraId="4685E356" w14:textId="77777777" w:rsidR="0085234D" w:rsidRPr="00A422C7" w:rsidRDefault="0085234D" w:rsidP="007102C6">
            <w:pPr>
              <w:pStyle w:val="Tabletext1"/>
            </w:pPr>
            <w:r w:rsidRPr="00A422C7">
              <w:t>Age: 40 (range 21-51)</w:t>
            </w:r>
          </w:p>
          <w:p w14:paraId="196F2865" w14:textId="048E05AA" w:rsidR="0085234D" w:rsidRPr="00A422C7" w:rsidRDefault="0085234D" w:rsidP="007102C6">
            <w:pPr>
              <w:pStyle w:val="Tabletext1"/>
            </w:pPr>
            <w:r w:rsidRPr="00A422C7">
              <w:rPr>
                <w:u w:val="single"/>
              </w:rPr>
              <w:t>Treatment</w:t>
            </w:r>
            <w:r w:rsidR="009D0A93" w:rsidRPr="00A422C7">
              <w:t>:</w:t>
            </w:r>
            <w:r w:rsidRPr="00A422C7">
              <w:rPr>
                <w:u w:val="single"/>
              </w:rPr>
              <w:t xml:space="preserve"> </w:t>
            </w:r>
            <w:r w:rsidRPr="00A422C7">
              <w:t>a planned course of chemotherapy with a ≥25% risk of permanent amenorrhea.</w:t>
            </w:r>
          </w:p>
        </w:tc>
        <w:tc>
          <w:tcPr>
            <w:tcW w:w="3074" w:type="dxa"/>
          </w:tcPr>
          <w:p w14:paraId="586D6F79" w14:textId="73858A77" w:rsidR="0085234D" w:rsidRPr="00A422C7" w:rsidRDefault="0085234D" w:rsidP="007102C6">
            <w:pPr>
              <w:pStyle w:val="Tabletext1"/>
            </w:pPr>
            <w:r w:rsidRPr="00A422C7">
              <w:rPr>
                <w:u w:val="single"/>
              </w:rPr>
              <w:t>Objective</w:t>
            </w:r>
            <w:r w:rsidR="009D0A93" w:rsidRPr="00A422C7">
              <w:t>:</w:t>
            </w:r>
            <w:r w:rsidRPr="00A422C7">
              <w:t xml:space="preserve"> to determine prospectively-validated, predictive markers of </w:t>
            </w:r>
            <w:r w:rsidR="0076789D">
              <w:t>CRA</w:t>
            </w:r>
            <w:r w:rsidRPr="00A422C7">
              <w:t>.</w:t>
            </w:r>
          </w:p>
          <w:p w14:paraId="795A6B6A" w14:textId="4D794F18" w:rsidR="0085234D" w:rsidRPr="00A422C7" w:rsidRDefault="0085234D" w:rsidP="007102C6">
            <w:pPr>
              <w:pStyle w:val="Tabletext1"/>
            </w:pPr>
            <w:r w:rsidRPr="00A422C7">
              <w:rPr>
                <w:u w:val="single"/>
              </w:rPr>
              <w:t>Inclusion criteria</w:t>
            </w:r>
            <w:r w:rsidR="009D0A93" w:rsidRPr="00A422C7">
              <w:t>:</w:t>
            </w:r>
            <w:r w:rsidR="0050123B" w:rsidRPr="00A422C7">
              <w:t xml:space="preserve"> Karnofsky score ≥70,</w:t>
            </w:r>
            <w:r w:rsidRPr="00A422C7">
              <w:t xml:space="preserve"> ability to provide informed consent, planned follow-up at Duke University</w:t>
            </w:r>
          </w:p>
          <w:p w14:paraId="1CD7C862" w14:textId="27D2A711" w:rsidR="0085234D" w:rsidRPr="00A422C7" w:rsidRDefault="0085234D" w:rsidP="007102C6">
            <w:pPr>
              <w:pStyle w:val="Tabletext1"/>
            </w:pPr>
            <w:r w:rsidRPr="00A422C7">
              <w:rPr>
                <w:u w:val="single"/>
              </w:rPr>
              <w:t>Exclusion criteria</w:t>
            </w:r>
            <w:r w:rsidR="009D0A93" w:rsidRPr="00A422C7">
              <w:t>:</w:t>
            </w:r>
            <w:r w:rsidRPr="00A422C7">
              <w:t xml:space="preserve"> history of ovarian tumo</w:t>
            </w:r>
            <w:r w:rsidR="00B023DE">
              <w:t>ur</w:t>
            </w:r>
            <w:r w:rsidRPr="00A422C7">
              <w:t>, current pregnancy, oral contraceptives within 30 days of study enrolment.</w:t>
            </w:r>
          </w:p>
        </w:tc>
        <w:tc>
          <w:tcPr>
            <w:tcW w:w="4458" w:type="dxa"/>
          </w:tcPr>
          <w:p w14:paraId="1D2F0948" w14:textId="35533321" w:rsidR="0085234D" w:rsidRPr="00A422C7" w:rsidRDefault="0085234D" w:rsidP="007102C6">
            <w:pPr>
              <w:pStyle w:val="Tabletext1"/>
            </w:pPr>
            <w:r w:rsidRPr="00A422C7">
              <w:rPr>
                <w:u w:val="single"/>
              </w:rPr>
              <w:t>Test characteristics</w:t>
            </w:r>
            <w:r w:rsidR="009D0A93" w:rsidRPr="00A422C7">
              <w:t>:</w:t>
            </w:r>
            <w:r w:rsidRPr="00A422C7">
              <w:t xml:space="preserve"> AMH was measured via ELISA (Diagnostic Systems Laboratories, Inc). Sensitivity was 0.017 ng/mL for AMH.</w:t>
            </w:r>
          </w:p>
          <w:p w14:paraId="3083D30B" w14:textId="77777777" w:rsidR="0085234D" w:rsidRPr="00A422C7" w:rsidRDefault="0085234D" w:rsidP="007102C6">
            <w:pPr>
              <w:pStyle w:val="Tabletext1"/>
            </w:pPr>
          </w:p>
          <w:p w14:paraId="4C441633" w14:textId="4E9ACBC4" w:rsidR="0085234D" w:rsidRPr="00A422C7" w:rsidRDefault="0085234D" w:rsidP="007102C6">
            <w:pPr>
              <w:pStyle w:val="Tabletext1"/>
            </w:pPr>
            <w:r w:rsidRPr="00A422C7">
              <w:rPr>
                <w:u w:val="single"/>
              </w:rPr>
              <w:t>Comparator</w:t>
            </w:r>
            <w:r w:rsidR="009D0A93" w:rsidRPr="00A422C7">
              <w:t>:</w:t>
            </w:r>
            <w:r w:rsidRPr="00A422C7">
              <w:t xml:space="preserve"> </w:t>
            </w:r>
            <w:r w:rsidR="003C2616" w:rsidRPr="00A422C7">
              <w:t>inhibin B</w:t>
            </w:r>
            <w:r w:rsidRPr="00A422C7">
              <w:t xml:space="preserve">, FSH, </w:t>
            </w:r>
            <w:r w:rsidR="003C2616" w:rsidRPr="00A422C7">
              <w:t>estradiol</w:t>
            </w:r>
            <w:r w:rsidRPr="00A422C7">
              <w:t>, Inhibin A</w:t>
            </w:r>
          </w:p>
          <w:p w14:paraId="6B148E1F" w14:textId="77777777" w:rsidR="0085234D" w:rsidRPr="00A422C7" w:rsidRDefault="0085234D" w:rsidP="007102C6">
            <w:pPr>
              <w:pStyle w:val="Tabletext1"/>
            </w:pPr>
          </w:p>
          <w:p w14:paraId="0E9D352C" w14:textId="6B5AC108" w:rsidR="0085234D" w:rsidRPr="00A422C7" w:rsidRDefault="0085234D" w:rsidP="007102C6">
            <w:pPr>
              <w:pStyle w:val="Tabletext1"/>
            </w:pPr>
            <w:r w:rsidRPr="00A422C7">
              <w:rPr>
                <w:u w:val="single"/>
              </w:rPr>
              <w:t>Analysis</w:t>
            </w:r>
            <w:r w:rsidR="009D0A93" w:rsidRPr="00A422C7">
              <w:t>:</w:t>
            </w:r>
            <w:r w:rsidRPr="00A422C7">
              <w:t xml:space="preserve"> Medians of each serum marker at each visit on all 6 end</w:t>
            </w:r>
            <w:r w:rsidR="00916047">
              <w:t>-points</w:t>
            </w:r>
            <w:r w:rsidRPr="00A422C7">
              <w:t xml:space="preserve"> were calculated according to menstrual status and according to age group. Differences between CRA and age subgroups on all end</w:t>
            </w:r>
            <w:r w:rsidR="00916047">
              <w:t>-points</w:t>
            </w:r>
            <w:r w:rsidRPr="00A422C7">
              <w:t xml:space="preserve"> were tested with the non-parametric Wilcoxon two-sample test using a two-sided alpha of 0.10. The Wilcoxon test was also used to test for subgroup differences on change in hormone level </w:t>
            </w:r>
            <w:r w:rsidRPr="00A422C7">
              <w:lastRenderedPageBreak/>
              <w:t>from pre-chemotherapy to post-chemotherapy.</w:t>
            </w:r>
          </w:p>
          <w:p w14:paraId="43D0B149" w14:textId="77777777" w:rsidR="007518CF" w:rsidRPr="00A422C7" w:rsidRDefault="007518CF" w:rsidP="007102C6">
            <w:pPr>
              <w:pStyle w:val="Tabletext1"/>
            </w:pPr>
          </w:p>
          <w:p w14:paraId="65E0395C" w14:textId="6DC16366" w:rsidR="0085234D" w:rsidRPr="00A422C7" w:rsidRDefault="0085234D" w:rsidP="007102C6">
            <w:pPr>
              <w:pStyle w:val="Tabletext1"/>
            </w:pPr>
            <w:r w:rsidRPr="00A422C7">
              <w:rPr>
                <w:u w:val="single"/>
              </w:rPr>
              <w:t>Follow-up period</w:t>
            </w:r>
            <w:r w:rsidR="009D0A93" w:rsidRPr="00A422C7">
              <w:t>:</w:t>
            </w:r>
            <w:r w:rsidRPr="00A422C7">
              <w:t xml:space="preserve"> Patients were evaluated at four study time points: pre-chemotherapy (≤3 weeks of chemotherapy), post-chemotherapy (3 to 7 weeks post-chemotherapy), 6 months post-chemotherapy (18–30 weeks post-chemotherapy), and one year post-chemotherapy (48–60 weeks post-chemotherapy).</w:t>
            </w:r>
          </w:p>
        </w:tc>
        <w:tc>
          <w:tcPr>
            <w:tcW w:w="2526" w:type="dxa"/>
          </w:tcPr>
          <w:p w14:paraId="660575C8" w14:textId="23C23CCC" w:rsidR="0085234D" w:rsidRPr="00A422C7" w:rsidRDefault="0085234D" w:rsidP="007102C6">
            <w:pPr>
              <w:pStyle w:val="Tabletext1"/>
            </w:pPr>
            <w:r w:rsidRPr="00A422C7">
              <w:rPr>
                <w:u w:val="single"/>
              </w:rPr>
              <w:lastRenderedPageBreak/>
              <w:t>CRA defined as</w:t>
            </w:r>
            <w:r w:rsidR="009D0A93" w:rsidRPr="00A422C7">
              <w:t>:</w:t>
            </w:r>
            <w:r w:rsidR="0050123B" w:rsidRPr="00A422C7">
              <w:t xml:space="preserve"> absence of menses one </w:t>
            </w:r>
            <w:r w:rsidRPr="00A422C7">
              <w:t>year post-chemotherapy.</w:t>
            </w:r>
          </w:p>
          <w:p w14:paraId="7A84610E" w14:textId="77777777" w:rsidR="0085234D" w:rsidRPr="00A422C7" w:rsidRDefault="0085234D" w:rsidP="007102C6">
            <w:pPr>
              <w:pStyle w:val="Tabletext1"/>
              <w:rPr>
                <w:u w:val="single"/>
              </w:rPr>
            </w:pPr>
          </w:p>
          <w:p w14:paraId="438C4967" w14:textId="08F5360C" w:rsidR="0085234D" w:rsidRPr="00A422C7" w:rsidRDefault="0085234D" w:rsidP="007102C6">
            <w:pPr>
              <w:pStyle w:val="Tabletext1"/>
            </w:pPr>
            <w:r w:rsidRPr="00A422C7">
              <w:rPr>
                <w:u w:val="single"/>
              </w:rPr>
              <w:t>Outcomes</w:t>
            </w:r>
            <w:r w:rsidR="009D0A93" w:rsidRPr="00A422C7">
              <w:t>:</w:t>
            </w:r>
          </w:p>
          <w:p w14:paraId="77E8BCDF" w14:textId="2BE2AFB6" w:rsidR="0085234D" w:rsidRPr="00A422C7" w:rsidRDefault="0085234D" w:rsidP="007102C6">
            <w:pPr>
              <w:pStyle w:val="Tabletext1"/>
            </w:pPr>
            <w:r w:rsidRPr="00A422C7">
              <w:t xml:space="preserve">Baseline median serum hormone values (FSH, </w:t>
            </w:r>
            <w:r w:rsidR="003C2616" w:rsidRPr="00A422C7">
              <w:t>estradiol</w:t>
            </w:r>
            <w:r w:rsidR="0050123B" w:rsidRPr="00A422C7">
              <w:t>, i</w:t>
            </w:r>
            <w:r w:rsidRPr="00A422C7">
              <w:t xml:space="preserve">nhibin A, </w:t>
            </w:r>
            <w:r w:rsidR="003C2616" w:rsidRPr="00A422C7">
              <w:t>inhibin B</w:t>
            </w:r>
            <w:r w:rsidRPr="00A422C7">
              <w:t>, AMH).</w:t>
            </w:r>
          </w:p>
          <w:p w14:paraId="36A2A9A7" w14:textId="77777777" w:rsidR="0085234D" w:rsidRPr="00A422C7" w:rsidRDefault="0085234D" w:rsidP="007102C6">
            <w:pPr>
              <w:pStyle w:val="Tabletext1"/>
            </w:pPr>
          </w:p>
          <w:p w14:paraId="5A79BF25" w14:textId="77777777" w:rsidR="007518CF" w:rsidRPr="00A422C7" w:rsidRDefault="0085234D" w:rsidP="007102C6">
            <w:pPr>
              <w:pStyle w:val="Tabletext1"/>
            </w:pPr>
            <w:r w:rsidRPr="00A422C7">
              <w:t>Subgroups of baseline median serum hormone values: CRA and no CRA one year post-</w:t>
            </w:r>
            <w:r w:rsidRPr="00A422C7">
              <w:lastRenderedPageBreak/>
              <w:t>chemotherapy.</w:t>
            </w:r>
          </w:p>
          <w:p w14:paraId="2A1FE397" w14:textId="56C803F1" w:rsidR="0085234D" w:rsidRPr="00A422C7" w:rsidRDefault="0085234D" w:rsidP="00E830B2">
            <w:pPr>
              <w:pStyle w:val="Tabletext1"/>
            </w:pPr>
            <w:r w:rsidRPr="00A422C7">
              <w:t xml:space="preserve">Relative risk of CRA </w:t>
            </w:r>
            <w:r w:rsidR="0050123B" w:rsidRPr="00A422C7">
              <w:t>based on median hormone values</w:t>
            </w:r>
            <w:r w:rsidR="0048183F">
              <w:t>.</w:t>
            </w:r>
          </w:p>
        </w:tc>
      </w:tr>
      <w:tr w:rsidR="0085234D" w:rsidRPr="0085234D" w14:paraId="705C4EAE" w14:textId="77777777" w:rsidTr="000F1B86">
        <w:trPr>
          <w:trHeight w:val="293"/>
        </w:trPr>
        <w:tc>
          <w:tcPr>
            <w:tcW w:w="2302" w:type="dxa"/>
          </w:tcPr>
          <w:p w14:paraId="34235E38" w14:textId="77777777" w:rsidR="0085234D" w:rsidRPr="00A422C7" w:rsidRDefault="0085234D" w:rsidP="007102C6">
            <w:pPr>
              <w:pStyle w:val="Tabletext1"/>
            </w:pPr>
            <w:r w:rsidRPr="00A422C7">
              <w:lastRenderedPageBreak/>
              <w:t>Anderson &amp; Cameron.</w:t>
            </w:r>
          </w:p>
          <w:p w14:paraId="4BE25798" w14:textId="48F44EC6" w:rsidR="0085234D" w:rsidRPr="00A422C7" w:rsidRDefault="00577E24" w:rsidP="007102C6">
            <w:pPr>
              <w:pStyle w:val="Tabletext1"/>
            </w:pPr>
            <w:r w:rsidRPr="00A422C7">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Pr="00A422C7">
              <w:instrText xml:space="preserve"> ADDIN EN.CITE </w:instrText>
            </w:r>
            <w:r w:rsidRPr="00A422C7">
              <w:fldChar w:fldCharType="begin">
                <w:fldData xml:space="preserve">PEVuZE5vdGU+PENpdGUgRXhjbHVkZUF1dGg9IjEiPjxBdXRob3I+QW5kZXJzb248L0F1dGhvcj48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</w:fldData>
              </w:fldChar>
            </w:r>
            <w:r w:rsidRPr="00A422C7">
              <w:instrText xml:space="preserve"> ADDIN EN.CITE.DATA </w:instrText>
            </w:r>
            <w:r w:rsidRPr="00A422C7">
              <w:fldChar w:fldCharType="end"/>
            </w:r>
            <w:r w:rsidRPr="00A422C7">
              <w:fldChar w:fldCharType="separate"/>
            </w:r>
            <w:r w:rsidRPr="00A422C7">
              <w:rPr>
                <w:noProof/>
              </w:rPr>
              <w:t>(</w:t>
            </w:r>
            <w:hyperlink w:anchor="_ENREF_6" w:tooltip="Anderson, 2011 #27" w:history="1">
              <w:r w:rsidR="00835BA6" w:rsidRPr="00A422C7">
                <w:rPr>
                  <w:noProof/>
                </w:rPr>
                <w:t>2011</w:t>
              </w:r>
            </w:hyperlink>
            <w:r w:rsidRPr="00A422C7">
              <w:rPr>
                <w:noProof/>
              </w:rPr>
              <w:t>)</w:t>
            </w:r>
            <w:r w:rsidRPr="00A422C7">
              <w:fldChar w:fldCharType="end"/>
            </w:r>
          </w:p>
          <w:p w14:paraId="45474679" w14:textId="77777777" w:rsidR="0085234D" w:rsidRPr="00A422C7" w:rsidRDefault="0085234D" w:rsidP="007102C6">
            <w:pPr>
              <w:pStyle w:val="Tabletext1"/>
            </w:pPr>
            <w:r w:rsidRPr="00A422C7">
              <w:t>UK</w:t>
            </w:r>
          </w:p>
          <w:p w14:paraId="5A676B25" w14:textId="73E3D310" w:rsidR="0085234D" w:rsidRPr="00A422C7" w:rsidRDefault="0085234D" w:rsidP="007102C6">
            <w:pPr>
              <w:pStyle w:val="Tabletext1"/>
            </w:pPr>
            <w:r w:rsidRPr="00A422C7">
              <w:rPr>
                <w:u w:val="single"/>
              </w:rPr>
              <w:t>Level</w:t>
            </w:r>
            <w:r w:rsidR="009D0A93" w:rsidRPr="00A422C7">
              <w:t>:</w:t>
            </w:r>
            <w:r w:rsidRPr="00A422C7">
              <w:t xml:space="preserve"> II (prospective study)</w:t>
            </w:r>
          </w:p>
          <w:p w14:paraId="1B49A235" w14:textId="560F6899" w:rsidR="007518CF" w:rsidRPr="00A422C7" w:rsidRDefault="0085234D" w:rsidP="007102C6">
            <w:pPr>
              <w:pStyle w:val="Tabletext1"/>
            </w:pPr>
            <w:r w:rsidRPr="00A422C7">
              <w:rPr>
                <w:u w:val="single"/>
              </w:rPr>
              <w:t>Quality</w:t>
            </w:r>
            <w:r w:rsidR="009D0A93" w:rsidRPr="00A422C7">
              <w:t>:</w:t>
            </w:r>
          </w:p>
          <w:p w14:paraId="5649AC14" w14:textId="0BA6DBC4" w:rsidR="0085234D" w:rsidRPr="00A422C7" w:rsidRDefault="0085234D" w:rsidP="007102C6">
            <w:pPr>
              <w:pStyle w:val="Tabletext1"/>
            </w:pPr>
            <w:r w:rsidRPr="00A422C7">
              <w:t>Low risk of bias</w:t>
            </w:r>
          </w:p>
        </w:tc>
        <w:tc>
          <w:tcPr>
            <w:tcW w:w="2766" w:type="dxa"/>
          </w:tcPr>
          <w:p w14:paraId="635B503C" w14:textId="5CB20041" w:rsidR="0085234D" w:rsidRPr="00A422C7" w:rsidRDefault="0085234D" w:rsidP="007102C6">
            <w:pPr>
              <w:pStyle w:val="Tabletext1"/>
            </w:pPr>
            <w:r w:rsidRPr="00A422C7">
              <w:rPr>
                <w:u w:val="single"/>
              </w:rPr>
              <w:t>Population</w:t>
            </w:r>
            <w:r w:rsidR="009D0A93" w:rsidRPr="00A422C7">
              <w:t>:</w:t>
            </w:r>
            <w:r w:rsidRPr="00A422C7">
              <w:t xml:space="preserve"> 56 pre</w:t>
            </w:r>
            <w:r w:rsidR="003036C4">
              <w:t>-menopausal</w:t>
            </w:r>
            <w:r w:rsidRPr="00A422C7">
              <w:t xml:space="preserve"> women with early operable breast cancer.</w:t>
            </w:r>
          </w:p>
          <w:p w14:paraId="4121E6E3" w14:textId="77777777" w:rsidR="0085234D" w:rsidRPr="00A422C7" w:rsidRDefault="0085234D" w:rsidP="007102C6">
            <w:pPr>
              <w:pStyle w:val="Tabletext1"/>
              <w:rPr>
                <w:u w:val="single"/>
              </w:rPr>
            </w:pPr>
          </w:p>
          <w:p w14:paraId="4CA36B2E" w14:textId="1DEAF27B" w:rsidR="0085234D" w:rsidRPr="00A422C7" w:rsidRDefault="0085234D" w:rsidP="007102C6">
            <w:pPr>
              <w:pStyle w:val="Tabletext1"/>
            </w:pPr>
            <w:r w:rsidRPr="00A422C7">
              <w:rPr>
                <w:u w:val="single"/>
              </w:rPr>
              <w:t>Treatment</w:t>
            </w:r>
            <w:r w:rsidR="009D0A93" w:rsidRPr="00A422C7">
              <w:t>:</w:t>
            </w:r>
            <w:r w:rsidRPr="00A422C7">
              <w:t xml:space="preserve"> Three received neo-adjuvant adriamycin and cyclophosphamide</w:t>
            </w:r>
            <w:r w:rsidR="0050123B" w:rsidRPr="00A422C7">
              <w:t xml:space="preserve"> for six cycles, and 38 had post-</w:t>
            </w:r>
            <w:r w:rsidRPr="00A422C7">
              <w:t xml:space="preserve">operative chemotherapy of which three received six cycles of cyclophosphamide, methotrexate, and 5-fluorouracil (CMF), 25 received sequential anthracycline-CMF for eight to 12 cycles, and 11 were given eight cycles of sequential anthracyclines and taxanes. Thereafter, four women received no hormonal treatment, with the remainder generally treated with tamoxifen with additional goserelin in eight. One woman was treated with the aromatase inhibitor (AI) letrozole throughout the study after completion of chemotherapy. An </w:t>
            </w:r>
            <w:r w:rsidRPr="00A422C7">
              <w:lastRenderedPageBreak/>
              <w:t>additional 11 women were treated with an AI during the second half of the study, generally changing from tamoxifen at between 36 and 56 months of the study except in one case who changed at month 18.</w:t>
            </w:r>
          </w:p>
        </w:tc>
        <w:tc>
          <w:tcPr>
            <w:tcW w:w="3074" w:type="dxa"/>
          </w:tcPr>
          <w:p w14:paraId="34539FF3" w14:textId="4437681C" w:rsidR="0085234D" w:rsidRPr="00A422C7" w:rsidRDefault="0085234D" w:rsidP="007102C6">
            <w:pPr>
              <w:pStyle w:val="Tabletext1"/>
            </w:pPr>
            <w:r w:rsidRPr="00A422C7">
              <w:rPr>
                <w:u w:val="single"/>
              </w:rPr>
              <w:lastRenderedPageBreak/>
              <w:t>Objective</w:t>
            </w:r>
            <w:r w:rsidR="009D0A93" w:rsidRPr="00A422C7">
              <w:t>:</w:t>
            </w:r>
            <w:r w:rsidRPr="00A422C7">
              <w:t xml:space="preserve"> Determine whether pre</w:t>
            </w:r>
            <w:r w:rsidR="00814320" w:rsidRPr="00A422C7">
              <w:t>-</w:t>
            </w:r>
            <w:r w:rsidRPr="00A422C7">
              <w:t>treatment AMH concentration predicts long-term ovarian function in women treated with chemotherapy for early breast cancer more accurately than age.</w:t>
            </w:r>
          </w:p>
          <w:p w14:paraId="072BF7C3" w14:textId="77777777" w:rsidR="0085234D" w:rsidRPr="00A422C7" w:rsidRDefault="0085234D" w:rsidP="007102C6">
            <w:pPr>
              <w:pStyle w:val="Tabletext1"/>
              <w:rPr>
                <w:u w:val="single"/>
              </w:rPr>
            </w:pPr>
          </w:p>
          <w:p w14:paraId="0FA67DD9" w14:textId="73ADCA2C" w:rsidR="0085234D" w:rsidRPr="00A422C7" w:rsidRDefault="0085234D" w:rsidP="007102C6">
            <w:pPr>
              <w:pStyle w:val="Tabletext1"/>
            </w:pPr>
            <w:r w:rsidRPr="00A422C7">
              <w:rPr>
                <w:u w:val="single"/>
              </w:rPr>
              <w:t>Inclusion criteria</w:t>
            </w:r>
            <w:r w:rsidR="009D0A93" w:rsidRPr="00A422C7">
              <w:t>:</w:t>
            </w:r>
            <w:r w:rsidRPr="00A422C7">
              <w:t xml:space="preserve"> ability to provide informed consent, operable breast cancer, regular menses, no hormonal contraception.</w:t>
            </w:r>
          </w:p>
        </w:tc>
        <w:tc>
          <w:tcPr>
            <w:tcW w:w="4458" w:type="dxa"/>
          </w:tcPr>
          <w:p w14:paraId="013695A0" w14:textId="3271F9E7" w:rsidR="0085234D" w:rsidRPr="00A422C7" w:rsidRDefault="0085234D" w:rsidP="007102C6">
            <w:pPr>
              <w:pStyle w:val="Tabletext1"/>
            </w:pPr>
            <w:r w:rsidRPr="00A422C7">
              <w:rPr>
                <w:u w:val="single"/>
              </w:rPr>
              <w:t>Test characteristics</w:t>
            </w:r>
            <w:r w:rsidR="009D0A93" w:rsidRPr="00A422C7">
              <w:t>:</w:t>
            </w:r>
            <w:r w:rsidRPr="00A422C7">
              <w:t xml:space="preserve"> AMH was measured by ELISA (Active MIS/AMH; Beckman Coulter, Chaska, MN),</w:t>
            </w:r>
            <w:r w:rsidR="009D0A93" w:rsidRPr="00A422C7">
              <w:t xml:space="preserve"> </w:t>
            </w:r>
            <w:r w:rsidRPr="00A422C7">
              <w:t>with a sensitivity of 0.05 ng/</w:t>
            </w:r>
            <w:r w:rsidR="00023800" w:rsidRPr="00A422C7">
              <w:t>mL</w:t>
            </w:r>
            <w:r w:rsidRPr="00A422C7">
              <w:t>, and inter</w:t>
            </w:r>
            <w:r w:rsidR="00916047">
              <w:t>-assay</w:t>
            </w:r>
            <w:r w:rsidRPr="00A422C7">
              <w:t xml:space="preserve"> and intra</w:t>
            </w:r>
            <w:r w:rsidR="00916047">
              <w:t>-assay</w:t>
            </w:r>
            <w:r w:rsidRPr="00A422C7">
              <w:t xml:space="preserve"> </w:t>
            </w:r>
            <w:r w:rsidR="00205BD5">
              <w:t>CoV</w:t>
            </w:r>
            <w:r w:rsidRPr="00A422C7">
              <w:t xml:space="preserve"> were 4.0 and 3.6%, respectively.</w:t>
            </w:r>
          </w:p>
          <w:p w14:paraId="2616B98C" w14:textId="77777777" w:rsidR="0085234D" w:rsidRPr="00A422C7" w:rsidRDefault="0085234D" w:rsidP="007102C6">
            <w:pPr>
              <w:pStyle w:val="Tabletext1"/>
              <w:rPr>
                <w:u w:val="single"/>
              </w:rPr>
            </w:pPr>
          </w:p>
          <w:p w14:paraId="50D8FFF5" w14:textId="5A9F411E" w:rsidR="0085234D" w:rsidRPr="00A422C7" w:rsidRDefault="0085234D" w:rsidP="007102C6">
            <w:pPr>
              <w:pStyle w:val="Tabletext1"/>
            </w:pPr>
            <w:r w:rsidRPr="00A422C7">
              <w:rPr>
                <w:u w:val="single"/>
              </w:rPr>
              <w:t>Analysis</w:t>
            </w:r>
            <w:r w:rsidR="009D0A93" w:rsidRPr="00A422C7">
              <w:t>:</w:t>
            </w:r>
            <w:r w:rsidRPr="00A422C7">
              <w:t xml:space="preserve"> Proportions of women with amenorrhea were analysed by Fisher’s exact test. Initial analysis of hormonal potential predictors of amenorrhea was analysed by Student’s t</w:t>
            </w:r>
            <w:r w:rsidR="00916047">
              <w:t>-</w:t>
            </w:r>
            <w:r w:rsidRPr="00A422C7">
              <w:t>test after log transformation to correct for heterogeneity of variance. Where this indicated a significant relationship between the pre-treatment hormone variable and late amenorrhea (i.e. AMH and FSH but not inhibin B or estradiol), multivariate logistic regression analysis was performed to determine which factors independently predicted amenorrhea.</w:t>
            </w:r>
          </w:p>
          <w:p w14:paraId="2FE04604" w14:textId="77777777" w:rsidR="0085234D" w:rsidRPr="00A422C7" w:rsidRDefault="0085234D" w:rsidP="007102C6">
            <w:pPr>
              <w:pStyle w:val="Tabletext1"/>
              <w:rPr>
                <w:u w:val="single"/>
              </w:rPr>
            </w:pPr>
          </w:p>
          <w:p w14:paraId="49EAC7BE" w14:textId="60086E61" w:rsidR="0085234D" w:rsidRPr="00A422C7" w:rsidRDefault="0085234D" w:rsidP="007102C6">
            <w:pPr>
              <w:pStyle w:val="Tabletext1"/>
            </w:pPr>
            <w:r w:rsidRPr="00A422C7">
              <w:rPr>
                <w:u w:val="single"/>
              </w:rPr>
              <w:t>Follow-up period</w:t>
            </w:r>
            <w:r w:rsidR="009D0A93" w:rsidRPr="00A422C7">
              <w:t>:</w:t>
            </w:r>
            <w:r w:rsidRPr="00A422C7">
              <w:t xml:space="preserve"> Patients re</w:t>
            </w:r>
            <w:r w:rsidR="009D0A93" w:rsidRPr="00A422C7">
              <w:t>-</w:t>
            </w:r>
            <w:r w:rsidRPr="00A422C7">
              <w:t>attended at 2, 3, 4, and 5 y</w:t>
            </w:r>
            <w:r w:rsidR="009D0A93" w:rsidRPr="00A422C7">
              <w:t>ears</w:t>
            </w:r>
            <w:r w:rsidRPr="00A422C7">
              <w:t xml:space="preserve"> after starting chemotherapy for their breast cancer. Return visits were scheduled to be in the early follicular phase (d</w:t>
            </w:r>
            <w:r w:rsidR="009D0A93" w:rsidRPr="00A422C7">
              <w:t>ay</w:t>
            </w:r>
            <w:r w:rsidRPr="00A422C7">
              <w:t xml:space="preserve"> 2–5) if patients continued to have menstrual cycles.</w:t>
            </w:r>
          </w:p>
        </w:tc>
        <w:tc>
          <w:tcPr>
            <w:tcW w:w="2526" w:type="dxa"/>
          </w:tcPr>
          <w:p w14:paraId="29C0D9BA" w14:textId="00CED99C" w:rsidR="007518CF" w:rsidRPr="00A422C7" w:rsidRDefault="0085234D" w:rsidP="007102C6">
            <w:pPr>
              <w:pStyle w:val="Tabletext1"/>
            </w:pPr>
            <w:r w:rsidRPr="00A422C7">
              <w:rPr>
                <w:u w:val="single"/>
              </w:rPr>
              <w:t>CRA defined as</w:t>
            </w:r>
            <w:r w:rsidR="009D0A93" w:rsidRPr="00A422C7">
              <w:t>:</w:t>
            </w:r>
            <w:r w:rsidR="008C724F" w:rsidRPr="00A422C7">
              <w:t xml:space="preserve"> P</w:t>
            </w:r>
            <w:r w:rsidRPr="00A422C7">
              <w:t>atients kept a menstrual diary. Amenorrhea was defined as no further bleeding subsequently over 6 months.</w:t>
            </w:r>
          </w:p>
          <w:p w14:paraId="71BDC30B" w14:textId="72E080FA" w:rsidR="0085234D" w:rsidRPr="00A422C7" w:rsidRDefault="0085234D" w:rsidP="007102C6">
            <w:pPr>
              <w:pStyle w:val="Tabletext1"/>
              <w:rPr>
                <w:u w:val="single"/>
              </w:rPr>
            </w:pPr>
          </w:p>
          <w:p w14:paraId="17F064ED" w14:textId="3592E9BF" w:rsidR="0085234D" w:rsidRPr="00A422C7" w:rsidRDefault="0085234D" w:rsidP="007102C6">
            <w:pPr>
              <w:pStyle w:val="Tabletext1"/>
            </w:pPr>
            <w:r w:rsidRPr="00A422C7">
              <w:rPr>
                <w:u w:val="single"/>
              </w:rPr>
              <w:t>Outcomes</w:t>
            </w:r>
            <w:r w:rsidR="009D0A93" w:rsidRPr="00A422C7">
              <w:t>:</w:t>
            </w:r>
          </w:p>
          <w:p w14:paraId="7C5C892C" w14:textId="4AE5B9A3" w:rsidR="0085234D" w:rsidRPr="00A422C7" w:rsidRDefault="0085234D" w:rsidP="007102C6">
            <w:pPr>
              <w:pStyle w:val="Tabletext1"/>
            </w:pPr>
            <w:r w:rsidRPr="00A422C7">
              <w:t>Mean pre-treatment hormone concentrations co</w:t>
            </w:r>
            <w:r w:rsidR="00942D7F" w:rsidRPr="00A422C7">
              <w:t>mpared to ovarian function at 4–</w:t>
            </w:r>
            <w:r w:rsidRPr="00A422C7">
              <w:t>5 years.</w:t>
            </w:r>
          </w:p>
          <w:p w14:paraId="05075C37" w14:textId="77777777" w:rsidR="0085234D" w:rsidRPr="00A422C7" w:rsidRDefault="0085234D" w:rsidP="007102C6">
            <w:pPr>
              <w:pStyle w:val="Tabletext1"/>
            </w:pPr>
            <w:r w:rsidRPr="00A422C7">
              <w:t>Relationships between pre-chemotherapy age, AMH, and FSH with later ongoing menses (multivariate regression analysis).</w:t>
            </w:r>
          </w:p>
          <w:p w14:paraId="15AB86BA" w14:textId="36F2EC4B" w:rsidR="0085234D" w:rsidRPr="00A422C7" w:rsidRDefault="0085234D" w:rsidP="007102C6">
            <w:pPr>
              <w:pStyle w:val="Tabletext1"/>
            </w:pPr>
            <w:r w:rsidRPr="00A422C7">
              <w:t>Sensitivity and specificity of AMH for predict</w:t>
            </w:r>
            <w:r w:rsidR="009D0A93" w:rsidRPr="00A422C7">
              <w:t xml:space="preserve">ing amenorrhea (ROC </w:t>
            </w:r>
            <w:r w:rsidR="00E830B2">
              <w:t>analysis).</w:t>
            </w:r>
          </w:p>
        </w:tc>
      </w:tr>
      <w:tr w:rsidR="0085234D" w:rsidRPr="0085234D" w14:paraId="2DD35AC6" w14:textId="77777777" w:rsidTr="000F1B86">
        <w:trPr>
          <w:trHeight w:val="293"/>
        </w:trPr>
        <w:tc>
          <w:tcPr>
            <w:tcW w:w="2302" w:type="dxa"/>
          </w:tcPr>
          <w:p w14:paraId="2043637F" w14:textId="214A2F2C" w:rsidR="0085234D" w:rsidRPr="00A422C7" w:rsidRDefault="0085234D" w:rsidP="007102C6">
            <w:pPr>
              <w:pStyle w:val="Tabletext1"/>
            </w:pPr>
            <w:r w:rsidRPr="00A422C7">
              <w:lastRenderedPageBreak/>
              <w:t xml:space="preserve">Anderson et al. </w:t>
            </w:r>
            <w:r w:rsidR="00577E24" w:rsidRPr="00A422C7">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sidRPr="00A422C7">
              <w:instrText xml:space="preserve"> ADDIN EN.CITE </w:instrText>
            </w:r>
            <w:r w:rsidR="00577E24" w:rsidRPr="00A422C7">
              <w:fldChar w:fldCharType="begin">
                <w:fldData xml:space="preserve">PEVuZE5vdGU+PENpdGUgRXhjbHVkZUF1dGg9IjEiPjxBdXRob3I+QW5kZXJzb248L0F1dGhvcj48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==
</w:fldData>
              </w:fldChar>
            </w:r>
            <w:r w:rsidR="00577E24" w:rsidRPr="00A422C7">
              <w:instrText xml:space="preserve"> ADDIN EN.CITE.DATA </w:instrText>
            </w:r>
            <w:r w:rsidR="00577E24" w:rsidRPr="00A422C7">
              <w:fldChar w:fldCharType="end"/>
            </w:r>
            <w:r w:rsidR="00577E24" w:rsidRPr="00A422C7">
              <w:fldChar w:fldCharType="separate"/>
            </w:r>
            <w:r w:rsidR="00577E24" w:rsidRPr="00A422C7">
              <w:rPr>
                <w:noProof/>
              </w:rPr>
              <w:t>(</w:t>
            </w:r>
            <w:hyperlink w:anchor="_ENREF_7" w:tooltip="Anderson, 2013 #28" w:history="1">
              <w:r w:rsidR="00835BA6" w:rsidRPr="00A422C7">
                <w:rPr>
                  <w:noProof/>
                </w:rPr>
                <w:t>2013</w:t>
              </w:r>
            </w:hyperlink>
            <w:r w:rsidR="00577E24" w:rsidRPr="00A422C7">
              <w:rPr>
                <w:noProof/>
              </w:rPr>
              <w:t>)</w:t>
            </w:r>
            <w:r w:rsidR="00577E24" w:rsidRPr="00A422C7">
              <w:fldChar w:fldCharType="end"/>
            </w:r>
          </w:p>
          <w:p w14:paraId="544CC365" w14:textId="77777777" w:rsidR="0085234D" w:rsidRPr="00A422C7" w:rsidRDefault="0085234D" w:rsidP="007102C6">
            <w:pPr>
              <w:pStyle w:val="Tabletext1"/>
            </w:pPr>
            <w:r w:rsidRPr="00A422C7">
              <w:t>UK</w:t>
            </w:r>
          </w:p>
          <w:p w14:paraId="1FF0E5BE" w14:textId="7D74D482" w:rsidR="0085234D" w:rsidRPr="00A422C7" w:rsidRDefault="0085234D" w:rsidP="007102C6">
            <w:pPr>
              <w:pStyle w:val="Tabletext1"/>
            </w:pPr>
            <w:r w:rsidRPr="00A422C7">
              <w:rPr>
                <w:u w:val="single"/>
              </w:rPr>
              <w:t>Level</w:t>
            </w:r>
            <w:r w:rsidR="009D0A93" w:rsidRPr="00A422C7">
              <w:t>:</w:t>
            </w:r>
            <w:r w:rsidRPr="00A422C7">
              <w:t xml:space="preserve"> II (prospective study)</w:t>
            </w:r>
          </w:p>
          <w:p w14:paraId="12A43357" w14:textId="340EA06F" w:rsidR="007518CF" w:rsidRPr="00A422C7" w:rsidRDefault="0085234D" w:rsidP="007102C6">
            <w:pPr>
              <w:pStyle w:val="Tabletext1"/>
            </w:pPr>
            <w:r w:rsidRPr="00A422C7">
              <w:rPr>
                <w:u w:val="single"/>
              </w:rPr>
              <w:t>Quality</w:t>
            </w:r>
            <w:r w:rsidR="009D0A93" w:rsidRPr="00A422C7">
              <w:t>:</w:t>
            </w:r>
          </w:p>
          <w:p w14:paraId="5D648E16" w14:textId="666D856A" w:rsidR="0085234D" w:rsidRPr="00A422C7" w:rsidRDefault="0085234D" w:rsidP="007102C6">
            <w:pPr>
              <w:pStyle w:val="Tabletext1"/>
            </w:pPr>
            <w:r w:rsidRPr="00A422C7">
              <w:t>Low risk of bias</w:t>
            </w:r>
          </w:p>
        </w:tc>
        <w:tc>
          <w:tcPr>
            <w:tcW w:w="2766" w:type="dxa"/>
          </w:tcPr>
          <w:p w14:paraId="75ABBE87" w14:textId="359FC717" w:rsidR="0085234D" w:rsidRPr="00A422C7" w:rsidRDefault="0085234D" w:rsidP="007102C6">
            <w:pPr>
              <w:pStyle w:val="Tabletext1"/>
            </w:pPr>
            <w:r w:rsidRPr="00A422C7">
              <w:rPr>
                <w:u w:val="single"/>
              </w:rPr>
              <w:t>Population</w:t>
            </w:r>
            <w:r w:rsidR="009D0A93" w:rsidRPr="00A422C7">
              <w:t>:</w:t>
            </w:r>
            <w:r w:rsidRPr="00A422C7">
              <w:t xml:space="preserve"> 59 pre</w:t>
            </w:r>
            <w:r w:rsidR="003036C4">
              <w:t>-menopausal</w:t>
            </w:r>
            <w:r w:rsidRPr="00A422C7">
              <w:t xml:space="preserve"> women with early breast cancer (data available from n=55 at 1 year and n=46 at 2 years)</w:t>
            </w:r>
          </w:p>
          <w:p w14:paraId="58B92765" w14:textId="4961C63E" w:rsidR="0085234D" w:rsidRPr="00A422C7" w:rsidRDefault="0085234D" w:rsidP="007102C6">
            <w:pPr>
              <w:pStyle w:val="Tabletext1"/>
            </w:pPr>
            <w:r w:rsidRPr="00A422C7">
              <w:t>Mean age: 42.6 years (range 23.3</w:t>
            </w:r>
            <w:r w:rsidR="00924526" w:rsidRPr="00A422C7">
              <w:t>–</w:t>
            </w:r>
            <w:r w:rsidRPr="00A422C7">
              <w:t>52.5)</w:t>
            </w:r>
          </w:p>
          <w:p w14:paraId="52292C53" w14:textId="0ECAFBE5" w:rsidR="0085234D" w:rsidRPr="00A422C7" w:rsidRDefault="0085234D" w:rsidP="007102C6">
            <w:pPr>
              <w:pStyle w:val="Tabletext1"/>
            </w:pPr>
            <w:r w:rsidRPr="00A422C7">
              <w:rPr>
                <w:u w:val="single"/>
              </w:rPr>
              <w:t>Treatment</w:t>
            </w:r>
            <w:r w:rsidR="009D0A93" w:rsidRPr="00A422C7">
              <w:t>:</w:t>
            </w:r>
            <w:r w:rsidRPr="00A422C7">
              <w:t>44 women received tamoxifen treatment following chemotherapy, and seven received goserelin (only one woman received goserelin but not tamoxifen) and one woman was treated with anastrozole in addition to tamoxifen</w:t>
            </w:r>
            <w:r w:rsidR="00E830B2">
              <w:t>.</w:t>
            </w:r>
          </w:p>
        </w:tc>
        <w:tc>
          <w:tcPr>
            <w:tcW w:w="3074" w:type="dxa"/>
          </w:tcPr>
          <w:p w14:paraId="109655CE" w14:textId="17CB580C" w:rsidR="0085234D" w:rsidRPr="00A422C7" w:rsidRDefault="0085234D" w:rsidP="007102C6">
            <w:pPr>
              <w:pStyle w:val="Tabletext1"/>
            </w:pPr>
            <w:r w:rsidRPr="00A422C7">
              <w:rPr>
                <w:u w:val="single"/>
              </w:rPr>
              <w:t>Objective</w:t>
            </w:r>
            <w:r w:rsidR="009D0A93" w:rsidRPr="00A422C7">
              <w:t>:</w:t>
            </w:r>
            <w:r w:rsidRPr="00A422C7">
              <w:t xml:space="preserve"> test whether AMH measured at the time of diagnosis would be a clinically useful predictor of amenorrhea after chemotherapy for early breast cancer, in comparison to age at diagnosis or other biochemical markers of ovarian reserve.</w:t>
            </w:r>
          </w:p>
          <w:p w14:paraId="726677A8" w14:textId="77777777" w:rsidR="0085234D" w:rsidRPr="00A422C7" w:rsidRDefault="0085234D" w:rsidP="007102C6">
            <w:pPr>
              <w:pStyle w:val="Tabletext1"/>
              <w:rPr>
                <w:u w:val="single"/>
              </w:rPr>
            </w:pPr>
          </w:p>
          <w:p w14:paraId="2E587352" w14:textId="57309859" w:rsidR="007518CF" w:rsidRPr="00A422C7" w:rsidRDefault="0085234D" w:rsidP="007102C6">
            <w:pPr>
              <w:pStyle w:val="Tabletext1"/>
            </w:pPr>
            <w:r w:rsidRPr="00A422C7">
              <w:rPr>
                <w:u w:val="single"/>
              </w:rPr>
              <w:t>Inclusion criteria</w:t>
            </w:r>
            <w:r w:rsidR="009D0A93" w:rsidRPr="00A422C7">
              <w:t>:</w:t>
            </w:r>
            <w:r w:rsidRPr="00A422C7">
              <w:t xml:space="preserve"> primary operable breast cancer without evidence of metastases, being pre</w:t>
            </w:r>
            <w:r w:rsidR="003036C4">
              <w:t>-menopausal</w:t>
            </w:r>
            <w:r w:rsidRPr="00A422C7">
              <w:t>, absence of sex steroid contraception, or pre</w:t>
            </w:r>
            <w:r w:rsidR="003036C4">
              <w:t>-menopausal</w:t>
            </w:r>
            <w:r w:rsidRPr="00A422C7">
              <w:t xml:space="preserve"> gonadotrophin and estradiol concentrations.</w:t>
            </w:r>
          </w:p>
          <w:p w14:paraId="600B2458" w14:textId="53846ABE" w:rsidR="0085234D" w:rsidRPr="00A422C7" w:rsidRDefault="0085234D" w:rsidP="007102C6">
            <w:pPr>
              <w:pStyle w:val="Tabletext1"/>
            </w:pPr>
            <w:r w:rsidRPr="00A422C7">
              <w:rPr>
                <w:u w:val="single"/>
              </w:rPr>
              <w:t>Exclusion criteria</w:t>
            </w:r>
            <w:r w:rsidR="009D0A93" w:rsidRPr="00A422C7">
              <w:t>:</w:t>
            </w:r>
            <w:r w:rsidRPr="00A422C7">
              <w:t xml:space="preserve"> previous surgery to either ovary or previously received chemotherapy.</w:t>
            </w:r>
          </w:p>
        </w:tc>
        <w:tc>
          <w:tcPr>
            <w:tcW w:w="4458" w:type="dxa"/>
          </w:tcPr>
          <w:p w14:paraId="267E27ED" w14:textId="7A7F39F7" w:rsidR="0085234D" w:rsidRPr="00A422C7" w:rsidRDefault="0085234D" w:rsidP="007102C6">
            <w:pPr>
              <w:pStyle w:val="Tabletext1"/>
            </w:pPr>
            <w:r w:rsidRPr="00A422C7">
              <w:rPr>
                <w:u w:val="single"/>
              </w:rPr>
              <w:t>Test characteristics</w:t>
            </w:r>
            <w:r w:rsidR="009D0A93" w:rsidRPr="00A422C7">
              <w:t>:</w:t>
            </w:r>
            <w:r w:rsidRPr="00A422C7">
              <w:t xml:space="preserve"> AMH was measured by the Gen II </w:t>
            </w:r>
            <w:r w:rsidR="00B023DE">
              <w:t>ELISA</w:t>
            </w:r>
            <w:r w:rsidRPr="00A422C7">
              <w:t xml:space="preserve"> kit (Beckman Coulter, Chaska, MN). This has a sensitivity of 0.16 ng/</w:t>
            </w:r>
            <w:r w:rsidR="00023800" w:rsidRPr="00A422C7">
              <w:t>mL</w:t>
            </w:r>
            <w:r w:rsidRPr="00A422C7">
              <w:t xml:space="preserve"> (1.1 pmol/L) and in-house intra- and inter-assay </w:t>
            </w:r>
            <w:r w:rsidR="00205BD5">
              <w:t>CoV</w:t>
            </w:r>
            <w:r w:rsidRPr="00A422C7">
              <w:t xml:space="preserve"> of &lt;6%.</w:t>
            </w:r>
          </w:p>
          <w:p w14:paraId="1A6E9EA5" w14:textId="3F39468E" w:rsidR="0085234D" w:rsidRPr="00A422C7" w:rsidRDefault="0085234D" w:rsidP="007102C6">
            <w:pPr>
              <w:pStyle w:val="Tabletext1"/>
            </w:pPr>
            <w:r w:rsidRPr="00A422C7">
              <w:rPr>
                <w:u w:val="single"/>
              </w:rPr>
              <w:t>Analysis</w:t>
            </w:r>
            <w:r w:rsidR="009D0A93" w:rsidRPr="00A422C7">
              <w:t>:</w:t>
            </w:r>
            <w:r w:rsidRPr="00A422C7">
              <w:t xml:space="preserve"> Initial analysis of predictors of amenorrhoea (i.e. the primary objective of the study) was performed by Student’s t</w:t>
            </w:r>
            <w:r w:rsidR="00916047">
              <w:t>-</w:t>
            </w:r>
            <w:r w:rsidRPr="00A422C7">
              <w:t>test, with</w:t>
            </w:r>
            <w:r w:rsidR="00924526" w:rsidRPr="00A422C7">
              <w:t xml:space="preserve"> </w:t>
            </w:r>
            <w:r w:rsidRPr="00A422C7">
              <w:t>log transformation of hormonal data to correct for heterogeneity of variance. Because of relationships between the variables, a multivariate logistic regression analysis was performed to determine which factors independently predicted amenorrhoea.</w:t>
            </w:r>
          </w:p>
          <w:p w14:paraId="20C8D405" w14:textId="77777777" w:rsidR="0085234D" w:rsidRPr="00A422C7" w:rsidRDefault="0085234D" w:rsidP="007102C6">
            <w:pPr>
              <w:pStyle w:val="Tabletext1"/>
            </w:pPr>
          </w:p>
          <w:p w14:paraId="537A8082" w14:textId="2A57115E" w:rsidR="0085234D" w:rsidRPr="00A422C7" w:rsidRDefault="0085234D" w:rsidP="007102C6">
            <w:pPr>
              <w:pStyle w:val="Tabletext1"/>
            </w:pPr>
            <w:r w:rsidRPr="00A422C7">
              <w:t xml:space="preserve">Data of this study was combined with data from Anderson &amp; Cameron (2011), giving a cohort of n=75, and analysis of the </w:t>
            </w:r>
            <w:r w:rsidR="0076789D">
              <w:t>AUC</w:t>
            </w:r>
            <w:r w:rsidRPr="00A422C7">
              <w:t xml:space="preserve"> of </w:t>
            </w:r>
            <w:r w:rsidR="00205BD5">
              <w:t>ROC</w:t>
            </w:r>
            <w:r w:rsidRPr="00A422C7">
              <w:t xml:space="preserve"> </w:t>
            </w:r>
            <w:r w:rsidR="00916047">
              <w:t xml:space="preserve">curve </w:t>
            </w:r>
            <w:r w:rsidRPr="00A422C7">
              <w:t>plots for age and AMH as separate predictors were done. Furthermore, the relative importance of age and AMH was calculated by the use of Random Forests to derive 2000 classification trees each of which uses AMH and age to predict amenorrhea.</w:t>
            </w:r>
          </w:p>
          <w:p w14:paraId="1DA0DA03" w14:textId="77777777" w:rsidR="0085234D" w:rsidRPr="00A422C7" w:rsidRDefault="0085234D" w:rsidP="007102C6">
            <w:pPr>
              <w:pStyle w:val="Tabletext1"/>
              <w:rPr>
                <w:u w:val="single"/>
              </w:rPr>
            </w:pPr>
          </w:p>
          <w:p w14:paraId="3ED87650" w14:textId="05C658DB" w:rsidR="0085234D" w:rsidRPr="00A422C7" w:rsidRDefault="0085234D" w:rsidP="007102C6">
            <w:pPr>
              <w:pStyle w:val="Tabletext1"/>
            </w:pPr>
            <w:r w:rsidRPr="00A422C7">
              <w:rPr>
                <w:u w:val="single"/>
              </w:rPr>
              <w:t>Follow-up period</w:t>
            </w:r>
            <w:r w:rsidR="009D0A93" w:rsidRPr="00A422C7">
              <w:t>:</w:t>
            </w:r>
            <w:r w:rsidR="00924526" w:rsidRPr="00A422C7">
              <w:t xml:space="preserve"> </w:t>
            </w:r>
            <w:r w:rsidRPr="00A422C7">
              <w:t>2 years</w:t>
            </w:r>
            <w:r w:rsidR="00E830B2">
              <w:t>.</w:t>
            </w:r>
          </w:p>
        </w:tc>
        <w:tc>
          <w:tcPr>
            <w:tcW w:w="2526" w:type="dxa"/>
          </w:tcPr>
          <w:p w14:paraId="113FB102" w14:textId="176B5063" w:rsidR="0085234D" w:rsidRPr="00A422C7" w:rsidRDefault="0085234D" w:rsidP="007102C6">
            <w:pPr>
              <w:pStyle w:val="Tabletext1"/>
            </w:pPr>
            <w:r w:rsidRPr="00A422C7">
              <w:rPr>
                <w:u w:val="single"/>
              </w:rPr>
              <w:t>CRA defined as</w:t>
            </w:r>
            <w:r w:rsidR="009D0A93" w:rsidRPr="00A422C7">
              <w:t>:</w:t>
            </w:r>
            <w:r w:rsidRPr="00A422C7">
              <w:t xml:space="preserve"> patients kept a menstrual diary. Amenorrhea was defined as no bleeding for the previous 6 months.</w:t>
            </w:r>
          </w:p>
          <w:p w14:paraId="53765A50" w14:textId="77777777" w:rsidR="0085234D" w:rsidRPr="00A422C7" w:rsidRDefault="0085234D" w:rsidP="007102C6">
            <w:pPr>
              <w:pStyle w:val="Tabletext1"/>
              <w:rPr>
                <w:u w:val="single"/>
              </w:rPr>
            </w:pPr>
          </w:p>
          <w:p w14:paraId="0F33C5F8" w14:textId="77777777" w:rsidR="008C724F" w:rsidRPr="00A422C7" w:rsidRDefault="0085234D" w:rsidP="007102C6">
            <w:pPr>
              <w:pStyle w:val="Tabletext1"/>
            </w:pPr>
            <w:r w:rsidRPr="00A422C7">
              <w:rPr>
                <w:u w:val="single"/>
              </w:rPr>
              <w:t>Outcomes</w:t>
            </w:r>
            <w:r w:rsidR="009D0A93" w:rsidRPr="00A422C7">
              <w:t>:</w:t>
            </w:r>
          </w:p>
          <w:p w14:paraId="34A4F192" w14:textId="503E6624" w:rsidR="0085234D" w:rsidRPr="00A422C7" w:rsidRDefault="0085234D" w:rsidP="007102C6">
            <w:pPr>
              <w:pStyle w:val="Tabletext1"/>
            </w:pPr>
            <w:r w:rsidRPr="00A422C7">
              <w:t>Mean pre-treatment hormone concentrations compared to ovarian function at 1 and 2 years.</w:t>
            </w:r>
          </w:p>
          <w:p w14:paraId="36D4311A" w14:textId="34A188F8" w:rsidR="0085234D" w:rsidRPr="00A422C7" w:rsidRDefault="0085234D" w:rsidP="007102C6">
            <w:pPr>
              <w:pStyle w:val="Tabletext1"/>
            </w:pPr>
            <w:r w:rsidRPr="00A422C7">
              <w:t xml:space="preserve">Relationships between pre-chemotherapy age, AMH, </w:t>
            </w:r>
            <w:r w:rsidR="003C2616" w:rsidRPr="00A422C7">
              <w:t>inhibin B</w:t>
            </w:r>
            <w:r w:rsidRPr="00A422C7">
              <w:t xml:space="preserve"> and FSH with amenorrhea (logistic regression).</w:t>
            </w:r>
          </w:p>
          <w:p w14:paraId="056C7BBB" w14:textId="524C228B" w:rsidR="0085234D" w:rsidRPr="00A422C7" w:rsidRDefault="0085234D" w:rsidP="00E830B2">
            <w:pPr>
              <w:pStyle w:val="Tabletext1"/>
            </w:pPr>
            <w:r w:rsidRPr="00A422C7">
              <w:t>AUC of AMH and age predicting amenorrhea at 2 year follow-up</w:t>
            </w:r>
            <w:r w:rsidR="0048183F">
              <w:t>.</w:t>
            </w:r>
          </w:p>
        </w:tc>
      </w:tr>
      <w:tr w:rsidR="0085234D" w:rsidRPr="0085234D" w14:paraId="400F7B41" w14:textId="77777777" w:rsidTr="000F1B86">
        <w:trPr>
          <w:trHeight w:val="293"/>
        </w:trPr>
        <w:tc>
          <w:tcPr>
            <w:tcW w:w="2302" w:type="dxa"/>
          </w:tcPr>
          <w:p w14:paraId="204E2D5B" w14:textId="7768F050" w:rsidR="0085234D" w:rsidRPr="00A422C7" w:rsidRDefault="0085234D" w:rsidP="007102C6">
            <w:pPr>
              <w:pStyle w:val="Tabletext1"/>
            </w:pPr>
            <w:r w:rsidRPr="00A422C7">
              <w:t xml:space="preserve">Chai et al. </w:t>
            </w:r>
            <w:r w:rsidR="00577E24" w:rsidRPr="00A422C7">
              <w:fldChar w:fldCharType="begin"/>
            </w:r>
            <w:r w:rsidR="00835BA6">
              <w:instrText xml:space="preserve"> ADDIN EN.CITE &lt;EndNote&gt;&lt;Cite ExcludeAuth="1"&gt;&lt;Author&gt;Chai&lt;/Author&gt;&lt;Year&gt;2014&lt;/Year&gt;&lt;RecNum&gt;88&lt;/RecNum&gt;&lt;IDText&gt;2367-2374&lt;/IDText&gt;&lt;DisplayText&gt;(2014)&lt;/DisplayText&gt;&lt;record&gt;&lt;rec-number&gt;88&lt;/rec-number&gt;&lt;foreign-keys&gt;&lt;key app="EN" db-id="s2dftfxw1fvsr1efx58vfvxtvfwzxea0td02" timestamp="1511748068"&gt;88&lt;/key&gt;&lt;/foreign-keys&gt;&lt;ref-type name="Journal Article"&gt;17&lt;/ref-type&gt;&lt;contributors&gt;&lt;authors&gt;&lt;author&gt;Chai, J.&lt;/author&gt;&lt;author&gt;Howie, A. F.&lt;/author&gt;&lt;author&gt;Cameron, D. A.&lt;/author&gt;&lt;author&gt;Anderson, R. A.&lt;/author&gt;&lt;/authors&gt;&lt;/contributors&gt;&lt;titles&gt;&lt;title&gt;A highly-sensitive anti-Müllerian hormone assay improves analysis of ovarian function following chemotherapy for early breast cancer&lt;/title&gt;&lt;secondary-title&gt;European Journal of Cancer&lt;/secondary-title&gt;&lt;/titles&gt;&lt;periodical&gt;&lt;full-title&gt;European Journal of Cancer&lt;/full-title&gt;&lt;/periodical&gt;&lt;pages&gt;2367-2374&lt;/pages&gt;&lt;volume&gt;50&lt;/volume&gt;&lt;number&gt;14&lt;/number&gt;&lt;keywords&gt;&lt;keyword&gt;Follicle Stimulating Hormone&lt;/keyword&gt;&lt;keyword&gt;Breast Neoplasms&lt;/keyword&gt;&lt;/keywords&gt;&lt;dates&gt;&lt;year&gt;2014&lt;/year&gt;&lt;pub-dates&gt;&lt;date&gt;2014-1-1&lt;/date&gt;&lt;/pub-dates&gt;&lt;/dates&gt;&lt;accession-num&gt;rayyan-6673085&lt;/accession-num&gt;&lt;urls&gt;&lt;related-urls&gt;&lt;url&gt;http://www.embase.com/search/results?subaction=viewrecord&amp;amp;from=export&amp;amp;id=L53237712 http://dx.doi.org/10.1016/j.ejca.2014.06.011&lt;/url&gt;&lt;/related-urls&gt;&lt;/urls&gt;&lt;custom1&gt;RAYYAN-INCLUSION: {&amp;quot;Sharon&amp;quot;=&amp;gt;true}&lt;/custom1&gt;&lt;/record&gt;&lt;/Cite&gt;&lt;/EndNote&gt;</w:instrText>
            </w:r>
            <w:r w:rsidR="00577E24" w:rsidRPr="00A422C7">
              <w:fldChar w:fldCharType="separate"/>
            </w:r>
            <w:r w:rsidR="00835BA6">
              <w:rPr>
                <w:noProof/>
              </w:rPr>
              <w:t>(</w:t>
            </w:r>
            <w:hyperlink w:anchor="_ENREF_14" w:tooltip="Chai, 2014 #88" w:history="1">
              <w:r w:rsidR="00835BA6">
                <w:rPr>
                  <w:noProof/>
                </w:rPr>
                <w:t>2014</w:t>
              </w:r>
            </w:hyperlink>
            <w:r w:rsidR="00835BA6">
              <w:rPr>
                <w:noProof/>
              </w:rPr>
              <w:t>)</w:t>
            </w:r>
            <w:r w:rsidR="00577E24" w:rsidRPr="00A422C7">
              <w:fldChar w:fldCharType="end"/>
            </w:r>
          </w:p>
          <w:p w14:paraId="722EC436" w14:textId="77777777" w:rsidR="0085234D" w:rsidRPr="00A422C7" w:rsidRDefault="0085234D" w:rsidP="007102C6">
            <w:pPr>
              <w:pStyle w:val="Tabletext1"/>
            </w:pPr>
            <w:r w:rsidRPr="00A422C7">
              <w:t>UK</w:t>
            </w:r>
          </w:p>
          <w:p w14:paraId="072A48C0" w14:textId="1F30D8D4" w:rsidR="0085234D" w:rsidRPr="00A422C7" w:rsidRDefault="0085234D" w:rsidP="007102C6">
            <w:pPr>
              <w:pStyle w:val="Tabletext1"/>
            </w:pPr>
            <w:r w:rsidRPr="00A422C7">
              <w:rPr>
                <w:u w:val="single"/>
              </w:rPr>
              <w:t>Level</w:t>
            </w:r>
            <w:r w:rsidR="009D0A93" w:rsidRPr="00A422C7">
              <w:t>:</w:t>
            </w:r>
            <w:r w:rsidRPr="00A422C7">
              <w:t xml:space="preserve"> IV (prospective study)</w:t>
            </w:r>
          </w:p>
          <w:p w14:paraId="3270E8FB" w14:textId="6759D56C" w:rsidR="0085234D" w:rsidRPr="00A422C7" w:rsidRDefault="0085234D" w:rsidP="007102C6">
            <w:pPr>
              <w:pStyle w:val="Tabletext1"/>
            </w:pPr>
            <w:r w:rsidRPr="00A422C7">
              <w:rPr>
                <w:u w:val="single"/>
              </w:rPr>
              <w:t>Quality</w:t>
            </w:r>
            <w:r w:rsidR="009D0A93" w:rsidRPr="00A422C7">
              <w:t>:</w:t>
            </w:r>
            <w:r w:rsidRPr="00A422C7">
              <w:t>Low risk of bias</w:t>
            </w:r>
          </w:p>
        </w:tc>
        <w:tc>
          <w:tcPr>
            <w:tcW w:w="2766" w:type="dxa"/>
          </w:tcPr>
          <w:p w14:paraId="30A6C252" w14:textId="1EFA7682" w:rsidR="0085234D" w:rsidRPr="00A422C7" w:rsidRDefault="0085234D" w:rsidP="007102C6">
            <w:pPr>
              <w:pStyle w:val="Tabletext1"/>
            </w:pPr>
            <w:r w:rsidRPr="00A422C7">
              <w:rPr>
                <w:u w:val="single"/>
              </w:rPr>
              <w:t>Population</w:t>
            </w:r>
            <w:r w:rsidR="009D0A93" w:rsidRPr="00A422C7">
              <w:t>:</w:t>
            </w:r>
            <w:r w:rsidRPr="00A422C7">
              <w:t xml:space="preserve"> Pre</w:t>
            </w:r>
            <w:r w:rsidR="003036C4">
              <w:t>-menopausal</w:t>
            </w:r>
            <w:r w:rsidRPr="00A422C7">
              <w:t xml:space="preserve"> women with early operable breast cancer, two cohorts (n=53 and n=42).</w:t>
            </w:r>
          </w:p>
          <w:p w14:paraId="0879952A" w14:textId="77777777" w:rsidR="0085234D" w:rsidRPr="00A422C7" w:rsidRDefault="0085234D" w:rsidP="007102C6">
            <w:pPr>
              <w:pStyle w:val="Tabletext1"/>
            </w:pPr>
          </w:p>
          <w:p w14:paraId="058299F1" w14:textId="308ABA9F" w:rsidR="00A00B06" w:rsidRPr="00A422C7" w:rsidRDefault="0085234D" w:rsidP="007102C6">
            <w:pPr>
              <w:pStyle w:val="Tabletext1"/>
            </w:pPr>
            <w:r w:rsidRPr="00A422C7">
              <w:lastRenderedPageBreak/>
              <w:t>Age (mean</w:t>
            </w:r>
            <w:r w:rsidR="00FF109D" w:rsidRPr="00A422C7">
              <w:t> </w:t>
            </w:r>
            <w:r w:rsidRPr="00A422C7">
              <w:t>±</w:t>
            </w:r>
            <w:r w:rsidR="00FF109D" w:rsidRPr="00A422C7">
              <w:t> </w:t>
            </w:r>
            <w:r w:rsidRPr="00A422C7">
              <w:t>SEM):</w:t>
            </w:r>
          </w:p>
          <w:p w14:paraId="59BB6FA3" w14:textId="18D84A67" w:rsidR="0085234D" w:rsidRPr="00A422C7" w:rsidRDefault="0085234D" w:rsidP="007102C6">
            <w:pPr>
              <w:pStyle w:val="Tabletext1"/>
            </w:pPr>
            <w:r w:rsidRPr="00A422C7">
              <w:t>Cohort 1 (n=53): 42.5</w:t>
            </w:r>
            <w:r w:rsidR="00FF109D" w:rsidRPr="00A422C7">
              <w:t> </w:t>
            </w:r>
            <w:r w:rsidRPr="00A422C7">
              <w:t>±</w:t>
            </w:r>
            <w:r w:rsidR="00FF109D" w:rsidRPr="00A422C7">
              <w:t> </w:t>
            </w:r>
            <w:r w:rsidRPr="00A422C7">
              <w:t>0.9 years</w:t>
            </w:r>
          </w:p>
          <w:p w14:paraId="06B6B0D6" w14:textId="16343993" w:rsidR="0085234D" w:rsidRPr="00A422C7" w:rsidRDefault="0085234D" w:rsidP="007102C6">
            <w:pPr>
              <w:pStyle w:val="Tabletext1"/>
            </w:pPr>
            <w:r w:rsidRPr="00A422C7">
              <w:t>Cohort 2 (n=42): 43.0</w:t>
            </w:r>
            <w:r w:rsidR="00FF109D" w:rsidRPr="00A422C7">
              <w:t> </w:t>
            </w:r>
            <w:r w:rsidRPr="00A422C7">
              <w:t>±</w:t>
            </w:r>
            <w:r w:rsidR="00FF109D" w:rsidRPr="00A422C7">
              <w:t> </w:t>
            </w:r>
            <w:r w:rsidRPr="00A422C7">
              <w:t>0.9 years</w:t>
            </w:r>
          </w:p>
          <w:p w14:paraId="29AAB572" w14:textId="77777777" w:rsidR="0085234D" w:rsidRPr="00A422C7" w:rsidRDefault="0085234D" w:rsidP="007102C6">
            <w:pPr>
              <w:pStyle w:val="Tabletext1"/>
              <w:rPr>
                <w:u w:val="single"/>
              </w:rPr>
            </w:pPr>
          </w:p>
          <w:p w14:paraId="14FF96A1" w14:textId="1C2E29A1" w:rsidR="0085234D" w:rsidRPr="00A422C7" w:rsidRDefault="0085234D" w:rsidP="007102C6">
            <w:pPr>
              <w:pStyle w:val="Tabletext1"/>
            </w:pPr>
            <w:r w:rsidRPr="00A422C7">
              <w:rPr>
                <w:u w:val="single"/>
              </w:rPr>
              <w:t>Treatment</w:t>
            </w:r>
            <w:r w:rsidR="009D0A93" w:rsidRPr="00A422C7">
              <w:t>:</w:t>
            </w:r>
            <w:r w:rsidRPr="00A422C7">
              <w:t xml:space="preserve"> chemotherapy regimens: sequential anthracycline-CMF or anthracyclines and taxanes in most, with 14 women in cohort 1 not given any chemotherapy; therapeutic decisions were not influenced by this study</w:t>
            </w:r>
            <w:r w:rsidR="00E830B2">
              <w:t>.</w:t>
            </w:r>
          </w:p>
        </w:tc>
        <w:tc>
          <w:tcPr>
            <w:tcW w:w="3074" w:type="dxa"/>
          </w:tcPr>
          <w:p w14:paraId="2C426B84" w14:textId="3CC8E851" w:rsidR="0085234D" w:rsidRPr="00A422C7" w:rsidRDefault="0085234D" w:rsidP="007102C6">
            <w:pPr>
              <w:pStyle w:val="Tabletext1"/>
            </w:pPr>
            <w:r w:rsidRPr="00A422C7">
              <w:rPr>
                <w:u w:val="single"/>
              </w:rPr>
              <w:lastRenderedPageBreak/>
              <w:t>Objective</w:t>
            </w:r>
            <w:r w:rsidR="009D0A93" w:rsidRPr="00A422C7">
              <w:t xml:space="preserve">: </w:t>
            </w:r>
            <w:r w:rsidRPr="00A422C7">
              <w:t>to investigate AMH assay in the assessment of ovarian function after chemotherapy in women with early breast cancer, in combination with other current markers of ovarian reserve.</w:t>
            </w:r>
          </w:p>
          <w:p w14:paraId="0B23764E" w14:textId="77777777" w:rsidR="0085234D" w:rsidRPr="00A422C7" w:rsidRDefault="0085234D" w:rsidP="007102C6">
            <w:pPr>
              <w:pStyle w:val="Tabletext1"/>
              <w:rPr>
                <w:u w:val="single"/>
              </w:rPr>
            </w:pPr>
          </w:p>
          <w:p w14:paraId="6A7E4F85" w14:textId="194FF749" w:rsidR="0085234D" w:rsidRPr="00A422C7" w:rsidRDefault="0085234D" w:rsidP="007102C6">
            <w:pPr>
              <w:pStyle w:val="Tabletext1"/>
            </w:pPr>
            <w:r w:rsidRPr="00A422C7">
              <w:rPr>
                <w:u w:val="single"/>
              </w:rPr>
              <w:t>Inclusion criteria</w:t>
            </w:r>
            <w:r w:rsidR="009D0A93" w:rsidRPr="00A422C7">
              <w:t>:</w:t>
            </w:r>
            <w:r w:rsidRPr="00A422C7">
              <w:t xml:space="preserve"> regular menses, absence of hormonal contraception.</w:t>
            </w:r>
          </w:p>
          <w:p w14:paraId="0ABDA292" w14:textId="274D2C3E" w:rsidR="0085234D" w:rsidRPr="00A422C7" w:rsidRDefault="0085234D" w:rsidP="007102C6">
            <w:pPr>
              <w:pStyle w:val="Tabletext1"/>
            </w:pPr>
            <w:r w:rsidRPr="00A422C7">
              <w:rPr>
                <w:u w:val="single"/>
              </w:rPr>
              <w:t>Exclusion criteria</w:t>
            </w:r>
            <w:r w:rsidR="009D0A93" w:rsidRPr="00A422C7">
              <w:t>:</w:t>
            </w:r>
            <w:r w:rsidRPr="00A422C7">
              <w:t>-</w:t>
            </w:r>
          </w:p>
        </w:tc>
        <w:tc>
          <w:tcPr>
            <w:tcW w:w="4458" w:type="dxa"/>
          </w:tcPr>
          <w:p w14:paraId="28127B2E" w14:textId="605E51D3" w:rsidR="0085234D" w:rsidRPr="00A422C7" w:rsidRDefault="0085234D" w:rsidP="007102C6">
            <w:pPr>
              <w:pStyle w:val="Tabletext1"/>
            </w:pPr>
            <w:r w:rsidRPr="00A422C7">
              <w:rPr>
                <w:u w:val="single"/>
              </w:rPr>
              <w:lastRenderedPageBreak/>
              <w:t>Test characteristics</w:t>
            </w:r>
            <w:r w:rsidR="009D0A93" w:rsidRPr="00A422C7">
              <w:t>:</w:t>
            </w:r>
            <w:r w:rsidRPr="00A422C7">
              <w:rPr>
                <w:u w:val="single"/>
              </w:rPr>
              <w:t xml:space="preserve"> </w:t>
            </w:r>
            <w:r w:rsidRPr="00A422C7">
              <w:t xml:space="preserve">AMH was assayed using the Ansh labs pico-AMH ELISA kit (Ansh Catalog no. AL-124, Webster, TX). For comparison with previous assays, serum samples taken at 2 years in cohort 1 also analysed using the Active MIS/AMH ELSIA (Beckman Coulter, Chaska, </w:t>
            </w:r>
            <w:r w:rsidRPr="00A422C7">
              <w:lastRenderedPageBreak/>
              <w:t>MN), sensitivity 0.05 ng/</w:t>
            </w:r>
            <w:r w:rsidR="00023800" w:rsidRPr="00A422C7">
              <w:t>mL</w:t>
            </w:r>
          </w:p>
          <w:p w14:paraId="680C59C4" w14:textId="77777777" w:rsidR="0085234D" w:rsidRPr="00A422C7" w:rsidRDefault="0085234D" w:rsidP="007102C6">
            <w:pPr>
              <w:pStyle w:val="Tabletext1"/>
              <w:rPr>
                <w:u w:val="single"/>
              </w:rPr>
            </w:pPr>
          </w:p>
          <w:p w14:paraId="3CDCAE09" w14:textId="3CDE501A" w:rsidR="0085234D" w:rsidRPr="00A422C7" w:rsidRDefault="0085234D" w:rsidP="007102C6">
            <w:pPr>
              <w:pStyle w:val="Tabletext1"/>
            </w:pPr>
            <w:r w:rsidRPr="00A422C7">
              <w:rPr>
                <w:u w:val="single"/>
              </w:rPr>
              <w:t>Analysis</w:t>
            </w:r>
            <w:r w:rsidR="009D0A93" w:rsidRPr="00A422C7">
              <w:t>:</w:t>
            </w:r>
            <w:r w:rsidRPr="00A422C7">
              <w:t xml:space="preserve"> The primary analysis was comparison of hormone concentrations versus menstrual function at 2 years post diagnosis, with groups compared by ANOVA; in longitudinal analyses time points were compared to data at 2 years using Dunn’s post</w:t>
            </w:r>
            <w:r w:rsidR="00415491">
              <w:t>-hoc</w:t>
            </w:r>
            <w:r w:rsidRPr="00A422C7">
              <w:t xml:space="preserve"> test.</w:t>
            </w:r>
          </w:p>
          <w:p w14:paraId="790D7671" w14:textId="77777777" w:rsidR="0085234D" w:rsidRPr="00A422C7" w:rsidRDefault="0085234D" w:rsidP="007102C6">
            <w:pPr>
              <w:pStyle w:val="Tabletext1"/>
              <w:rPr>
                <w:b/>
                <w:u w:val="single"/>
              </w:rPr>
            </w:pPr>
          </w:p>
          <w:p w14:paraId="1485D1D4" w14:textId="28A97818" w:rsidR="0085234D" w:rsidRPr="00A422C7" w:rsidRDefault="0085234D" w:rsidP="007102C6">
            <w:pPr>
              <w:pStyle w:val="Tabletext1"/>
            </w:pPr>
            <w:r w:rsidRPr="00A422C7">
              <w:rPr>
                <w:u w:val="single"/>
              </w:rPr>
              <w:t>Follow-up period</w:t>
            </w:r>
            <w:r w:rsidR="009D0A93" w:rsidRPr="00A422C7">
              <w:t>:</w:t>
            </w:r>
            <w:r w:rsidRPr="00A422C7">
              <w:t xml:space="preserve"> patients were evaluated at 2, 3, 4, and 5 years after diagnosis in cohort 1, and after 1 and 3 years in cohort 2.</w:t>
            </w:r>
          </w:p>
        </w:tc>
        <w:tc>
          <w:tcPr>
            <w:tcW w:w="2526" w:type="dxa"/>
          </w:tcPr>
          <w:p w14:paraId="6CCF6065" w14:textId="6F3DB7EB" w:rsidR="0085234D" w:rsidRPr="00A422C7" w:rsidRDefault="0085234D" w:rsidP="007102C6">
            <w:pPr>
              <w:pStyle w:val="Tabletext1"/>
            </w:pPr>
            <w:r w:rsidRPr="00A422C7">
              <w:rPr>
                <w:u w:val="single"/>
              </w:rPr>
              <w:lastRenderedPageBreak/>
              <w:t>CRA defined as</w:t>
            </w:r>
            <w:r w:rsidR="009D0A93" w:rsidRPr="00A422C7">
              <w:t xml:space="preserve">: </w:t>
            </w:r>
            <w:r w:rsidR="008C724F" w:rsidRPr="00A422C7">
              <w:t>no ongoing menses</w:t>
            </w:r>
            <w:r w:rsidRPr="00A422C7">
              <w:t xml:space="preserve"> (amenorrhea)</w:t>
            </w:r>
          </w:p>
          <w:p w14:paraId="6AB1ED3D" w14:textId="77777777" w:rsidR="0085234D" w:rsidRPr="00A422C7" w:rsidRDefault="0085234D" w:rsidP="007102C6">
            <w:pPr>
              <w:pStyle w:val="Tabletext1"/>
              <w:rPr>
                <w:u w:val="single"/>
              </w:rPr>
            </w:pPr>
          </w:p>
          <w:p w14:paraId="06D4A39A" w14:textId="77777777" w:rsidR="009D0A93" w:rsidRPr="00A422C7" w:rsidRDefault="0085234D" w:rsidP="007102C6">
            <w:pPr>
              <w:pStyle w:val="Tabletext1"/>
            </w:pPr>
            <w:r w:rsidRPr="00A422C7">
              <w:rPr>
                <w:u w:val="single"/>
              </w:rPr>
              <w:t>Outcomes</w:t>
            </w:r>
            <w:r w:rsidR="009D0A93" w:rsidRPr="00A422C7">
              <w:t>:</w:t>
            </w:r>
          </w:p>
          <w:p w14:paraId="2C1F1904" w14:textId="4DD62136" w:rsidR="0085234D" w:rsidRPr="00A422C7" w:rsidRDefault="0085234D" w:rsidP="00E830B2">
            <w:pPr>
              <w:pStyle w:val="Tabletext1"/>
            </w:pPr>
            <w:r w:rsidRPr="00A422C7">
              <w:t xml:space="preserve">AMH levels in patients with </w:t>
            </w:r>
            <w:r w:rsidRPr="00A422C7">
              <w:lastRenderedPageBreak/>
              <w:t>CRA compared to AMH levels in patients with</w:t>
            </w:r>
            <w:r w:rsidR="008C724F" w:rsidRPr="00A422C7">
              <w:t xml:space="preserve"> ongoing menses</w:t>
            </w:r>
            <w:r w:rsidR="0048183F">
              <w:t>.</w:t>
            </w:r>
          </w:p>
        </w:tc>
      </w:tr>
      <w:tr w:rsidR="0085234D" w:rsidRPr="0085234D" w14:paraId="66057155" w14:textId="77777777" w:rsidTr="000F1B86">
        <w:trPr>
          <w:trHeight w:val="293"/>
        </w:trPr>
        <w:tc>
          <w:tcPr>
            <w:tcW w:w="2302" w:type="dxa"/>
          </w:tcPr>
          <w:p w14:paraId="2CF84D6C" w14:textId="6DD33E27" w:rsidR="0085234D" w:rsidRPr="00A422C7" w:rsidRDefault="0085234D" w:rsidP="007102C6">
            <w:pPr>
              <w:pStyle w:val="Tabletext1"/>
            </w:pPr>
            <w:r w:rsidRPr="00A422C7">
              <w:lastRenderedPageBreak/>
              <w:t xml:space="preserve">D’avila et al. </w:t>
            </w:r>
            <w:r w:rsidR="00577E24" w:rsidRPr="00A422C7">
              <w:fldChar w:fldCharType="begin"/>
            </w:r>
            <w:r w:rsidR="004308C4">
              <w:instrText xml:space="preserve"> ADDIN EN.CITE &lt;EndNote&gt;&lt;Cite ExcludeAuth="1"&gt;&lt;Author&gt;D&amp;apos;Avila&lt;/Author&gt;&lt;Year&gt;2015&lt;/Year&gt;&lt;RecNum&gt;110&lt;/RecNum&gt;&lt;DisplayText&gt;(2015)&lt;/DisplayText&gt;&lt;record&gt;&lt;rec-number&gt;110&lt;/rec-number&gt;&lt;foreign-keys&gt;&lt;key app="EN" db-id="s2dftfxw1fvsr1efx58vfvxtvfwzxea0td02" timestamp="1511748069"&gt;110&lt;/key&gt;&lt;/foreign-keys&gt;&lt;ref-type name="Journal Article"&gt;17&lt;/ref-type&gt;&lt;contributors&gt;&lt;authors&gt;&lt;author&gt;D&amp;apos;Avila, Â. M.&lt;/author&gt;&lt;author&gt;Biolchi, V.&lt;/author&gt;&lt;author&gt;Capp, E.&lt;/author&gt;&lt;author&gt;Corleta, H. V. E.&lt;/author&gt;&lt;/authors&gt;&lt;/contributors&gt;&lt;titles&gt;&lt;title&gt;Age, anti-müllerian hormone, antral follicles count to predict amenorrhea or oligomenorrhea after chemotherapy with cyclophosphamide&lt;/title&gt;&lt;secondary-title&gt;Journal of Ovarian Research&lt;/secondary-title&gt;&lt;/titles&gt;&lt;periodical&gt;&lt;full-title&gt;Journal of Ovarian Research&lt;/full-title&gt;&lt;/periodical&gt;&lt;volume&gt;8&lt;/volume&gt;&lt;number&gt;1&lt;/number&gt;&lt;keywords&gt;&lt;keyword&gt;Logistic Models&lt;/keyword&gt;&lt;keyword&gt;Cyclophosphamide&lt;/keyword&gt;&lt;keyword&gt;Oligomenorrhea&lt;/keyword&gt;&lt;keyword&gt;Breast Neoplasms&lt;/keyword&gt;&lt;keyword&gt;Area Under Curve&lt;/keyword&gt;&lt;keyword&gt;Amenorrhea&lt;/keyword&gt;&lt;/keywords&gt;&lt;dates&gt;&lt;year&gt;2015&lt;/year&gt;&lt;pub-dates&gt;&lt;date&gt;2015-1-1&lt;/date&gt;&lt;/pub-dates&gt;&lt;/dates&gt;&lt;isbn&gt;1757-2215&lt;/isbn&gt;&lt;accession-num&gt;rayyan-6673516&lt;/accession-num&gt;&lt;urls&gt;&lt;related-urls&gt;&lt;url&gt;http://www.embase.com/search/results?subaction=viewrecord&amp;amp;from=export&amp;amp;id=L607244547 http://dx.doi.org/10.1186/s13048-015-0209-4&lt;/url&gt;&lt;/related-urls&gt;&lt;/urls&gt;&lt;custom1&gt;RAYYAN-INCLUSION: {&amp;quot;Sharon&amp;quot;=&amp;gt;true}&lt;/custom1&gt;&lt;/record&gt;&lt;/Cite&gt;&lt;/EndNote&gt;</w:instrText>
            </w:r>
            <w:r w:rsidR="00577E24" w:rsidRPr="00A422C7">
              <w:fldChar w:fldCharType="separate"/>
            </w:r>
            <w:r w:rsidR="00577E24" w:rsidRPr="00A422C7">
              <w:rPr>
                <w:noProof/>
              </w:rPr>
              <w:t>(</w:t>
            </w:r>
            <w:hyperlink w:anchor="_ENREF_15" w:tooltip="D'Avila, 2015 #110" w:history="1">
              <w:r w:rsidR="00835BA6" w:rsidRPr="00A422C7">
                <w:rPr>
                  <w:noProof/>
                </w:rPr>
                <w:t>2015</w:t>
              </w:r>
            </w:hyperlink>
            <w:r w:rsidR="00577E24" w:rsidRPr="00A422C7">
              <w:rPr>
                <w:noProof/>
              </w:rPr>
              <w:t>)</w:t>
            </w:r>
            <w:r w:rsidR="00577E24" w:rsidRPr="00A422C7">
              <w:fldChar w:fldCharType="end"/>
            </w:r>
          </w:p>
          <w:p w14:paraId="4CBEF5C9" w14:textId="77777777" w:rsidR="0085234D" w:rsidRPr="00A422C7" w:rsidRDefault="0085234D" w:rsidP="007102C6">
            <w:pPr>
              <w:pStyle w:val="Tabletext1"/>
            </w:pPr>
            <w:r w:rsidRPr="00A422C7">
              <w:t>Brazil</w:t>
            </w:r>
          </w:p>
          <w:p w14:paraId="54E7F9C8" w14:textId="4C41B506" w:rsidR="0085234D" w:rsidRPr="00A422C7" w:rsidRDefault="0085234D" w:rsidP="007102C6">
            <w:pPr>
              <w:pStyle w:val="Tabletext1"/>
            </w:pPr>
            <w:r w:rsidRPr="00A422C7">
              <w:rPr>
                <w:u w:val="single"/>
              </w:rPr>
              <w:t>Level</w:t>
            </w:r>
            <w:r w:rsidR="009D0A93" w:rsidRPr="00A422C7">
              <w:t>:</w:t>
            </w:r>
            <w:r w:rsidRPr="00A422C7">
              <w:t xml:space="preserve"> IV </w:t>
            </w:r>
            <w:r w:rsidRPr="00A422C7">
              <w:rPr>
                <w:u w:val="single"/>
              </w:rPr>
              <w:t>(</w:t>
            </w:r>
            <w:r w:rsidRPr="00A422C7">
              <w:t>prospective study)</w:t>
            </w:r>
          </w:p>
          <w:p w14:paraId="3D665CE6" w14:textId="6828DE73" w:rsidR="007518CF" w:rsidRPr="00A422C7" w:rsidRDefault="0085234D" w:rsidP="007102C6">
            <w:pPr>
              <w:pStyle w:val="Tabletext1"/>
            </w:pPr>
            <w:r w:rsidRPr="00A422C7">
              <w:rPr>
                <w:u w:val="single"/>
              </w:rPr>
              <w:t>Quality</w:t>
            </w:r>
            <w:r w:rsidR="009D0A93" w:rsidRPr="00A422C7">
              <w:t>:</w:t>
            </w:r>
          </w:p>
          <w:p w14:paraId="0C4CBCB9" w14:textId="170F34B9" w:rsidR="0085234D" w:rsidRPr="00A422C7" w:rsidRDefault="0085234D" w:rsidP="007102C6">
            <w:pPr>
              <w:pStyle w:val="Tabletext1"/>
            </w:pPr>
            <w:r w:rsidRPr="00A422C7">
              <w:t>Moderate risk of bias</w:t>
            </w:r>
          </w:p>
        </w:tc>
        <w:tc>
          <w:tcPr>
            <w:tcW w:w="2766" w:type="dxa"/>
          </w:tcPr>
          <w:p w14:paraId="76F0ACB1" w14:textId="060381D8" w:rsidR="0085234D" w:rsidRPr="00A422C7" w:rsidRDefault="0085234D" w:rsidP="007102C6">
            <w:pPr>
              <w:pStyle w:val="Tabletext1"/>
            </w:pPr>
            <w:r w:rsidRPr="00A422C7">
              <w:rPr>
                <w:u w:val="single"/>
              </w:rPr>
              <w:t>Population</w:t>
            </w:r>
            <w:r w:rsidR="009D0A93" w:rsidRPr="00A422C7">
              <w:t>:</w:t>
            </w:r>
            <w:r w:rsidRPr="00A422C7">
              <w:t xml:space="preserve"> 52 women with breast cancer, undergoing chemotherapy with cyclophosphamide</w:t>
            </w:r>
          </w:p>
          <w:p w14:paraId="0A1DF7F1" w14:textId="3CAFFAA5" w:rsidR="0085234D" w:rsidRPr="00A422C7" w:rsidRDefault="0085234D" w:rsidP="007102C6">
            <w:pPr>
              <w:pStyle w:val="Tabletext1"/>
            </w:pPr>
            <w:r w:rsidRPr="00A422C7">
              <w:t>Mean age: 35.3</w:t>
            </w:r>
            <w:r w:rsidR="00FF109D" w:rsidRPr="00A422C7">
              <w:t> </w:t>
            </w:r>
            <w:r w:rsidRPr="00A422C7">
              <w:t>±</w:t>
            </w:r>
            <w:r w:rsidR="00FF109D" w:rsidRPr="00A422C7">
              <w:t> </w:t>
            </w:r>
            <w:r w:rsidRPr="00A422C7">
              <w:t>3.8 years (range 2</w:t>
            </w:r>
            <w:r w:rsidR="008C724F" w:rsidRPr="00A422C7">
              <w:t>7–</w:t>
            </w:r>
            <w:r w:rsidRPr="00A422C7">
              <w:t>40 years)</w:t>
            </w:r>
          </w:p>
          <w:p w14:paraId="3ABD92EC" w14:textId="77777777" w:rsidR="0085234D" w:rsidRPr="00A422C7" w:rsidRDefault="0085234D" w:rsidP="007102C6">
            <w:pPr>
              <w:pStyle w:val="Tabletext1"/>
            </w:pPr>
          </w:p>
          <w:p w14:paraId="15BA2E52" w14:textId="3A839207" w:rsidR="0085234D" w:rsidRPr="00A422C7" w:rsidRDefault="0085234D" w:rsidP="007102C6">
            <w:pPr>
              <w:pStyle w:val="Tabletext1"/>
            </w:pPr>
            <w:r w:rsidRPr="00A422C7">
              <w:rPr>
                <w:u w:val="single"/>
              </w:rPr>
              <w:t>Treatment</w:t>
            </w:r>
            <w:r w:rsidR="009D0A93" w:rsidRPr="00A422C7">
              <w:t>:</w:t>
            </w:r>
            <w:r w:rsidRPr="00A422C7">
              <w:t xml:space="preserve"> chemotherapy with cyclophosphamide. 40% of patients underwent breast-conserving surgery prior to or followed by chemotherapy treatments and 75% underwent adjuvant radiotherapy.</w:t>
            </w:r>
          </w:p>
        </w:tc>
        <w:tc>
          <w:tcPr>
            <w:tcW w:w="3074" w:type="dxa"/>
          </w:tcPr>
          <w:p w14:paraId="228FB750" w14:textId="7F1C2B86" w:rsidR="0085234D" w:rsidRPr="00A422C7" w:rsidRDefault="0085234D" w:rsidP="007102C6">
            <w:pPr>
              <w:pStyle w:val="Tabletext1"/>
            </w:pPr>
            <w:r w:rsidRPr="00A422C7">
              <w:rPr>
                <w:u w:val="single"/>
              </w:rPr>
              <w:t>Objective</w:t>
            </w:r>
            <w:r w:rsidR="009D0A93" w:rsidRPr="00A422C7">
              <w:t>:</w:t>
            </w:r>
            <w:r w:rsidRPr="00A422C7">
              <w:rPr>
                <w:i/>
              </w:rPr>
              <w:t xml:space="preserve"> </w:t>
            </w:r>
            <w:r w:rsidRPr="00A422C7">
              <w:t>Determine which ovarian reserve measurement can be used as a predictor for anovulation 6 months after chemotherapy with cyclophosphamide in women with breast cancer.</w:t>
            </w:r>
          </w:p>
          <w:p w14:paraId="7E784263" w14:textId="77777777" w:rsidR="0085234D" w:rsidRPr="00A422C7" w:rsidRDefault="0085234D" w:rsidP="007102C6">
            <w:pPr>
              <w:pStyle w:val="Tabletext1"/>
              <w:rPr>
                <w:u w:val="single"/>
              </w:rPr>
            </w:pPr>
          </w:p>
          <w:p w14:paraId="6697D75C" w14:textId="0BD9E482" w:rsidR="0085234D" w:rsidRPr="00A422C7" w:rsidRDefault="0085234D" w:rsidP="007102C6">
            <w:pPr>
              <w:pStyle w:val="Tabletext1"/>
            </w:pPr>
            <w:r w:rsidRPr="00A422C7">
              <w:rPr>
                <w:u w:val="single"/>
              </w:rPr>
              <w:t>Inclusion criteria</w:t>
            </w:r>
            <w:r w:rsidR="009D0A93" w:rsidRPr="00A422C7">
              <w:t>:</w:t>
            </w:r>
            <w:r w:rsidRPr="00A422C7">
              <w:t xml:space="preserve"> younger than 40 years of age, requiring chemotherapy containing cyclophosphamide, no previous chemotherapy treatment.</w:t>
            </w:r>
          </w:p>
          <w:p w14:paraId="6A2DC6F3" w14:textId="2B72CC6E" w:rsidR="0085234D" w:rsidRPr="00A422C7" w:rsidRDefault="0085234D" w:rsidP="007102C6">
            <w:pPr>
              <w:pStyle w:val="Tabletext1"/>
            </w:pPr>
            <w:r w:rsidRPr="00A422C7">
              <w:rPr>
                <w:u w:val="single"/>
              </w:rPr>
              <w:t>Exclusion criteria</w:t>
            </w:r>
            <w:r w:rsidR="009D0A93" w:rsidRPr="00A422C7">
              <w:t>:</w:t>
            </w:r>
            <w:r w:rsidR="008C724F" w:rsidRPr="00A422C7">
              <w:t xml:space="preserve"> -</w:t>
            </w:r>
          </w:p>
        </w:tc>
        <w:tc>
          <w:tcPr>
            <w:tcW w:w="4458" w:type="dxa"/>
          </w:tcPr>
          <w:p w14:paraId="79365302" w14:textId="77777777" w:rsidR="0085234D" w:rsidRPr="00A422C7" w:rsidRDefault="0085234D" w:rsidP="007102C6">
            <w:pPr>
              <w:pStyle w:val="Tabletext1"/>
            </w:pPr>
            <w:r w:rsidRPr="00A422C7">
              <w:rPr>
                <w:u w:val="single"/>
              </w:rPr>
              <w:t>Test characteristics</w:t>
            </w:r>
            <w:r w:rsidRPr="00A422C7">
              <w:t>: AMH was measured through ELISA (Beckman Coulter, Genese</w:t>
            </w:r>
          </w:p>
          <w:p w14:paraId="341B61CC" w14:textId="77777777" w:rsidR="0085234D" w:rsidRPr="00A422C7" w:rsidRDefault="0085234D" w:rsidP="007102C6">
            <w:pPr>
              <w:pStyle w:val="Tabletext1"/>
            </w:pPr>
            <w:r w:rsidRPr="00A422C7">
              <w:t>Imunotech®, France)</w:t>
            </w:r>
          </w:p>
          <w:p w14:paraId="1983A282" w14:textId="77777777" w:rsidR="0085234D" w:rsidRPr="00A422C7" w:rsidRDefault="0085234D" w:rsidP="007102C6">
            <w:pPr>
              <w:pStyle w:val="Tabletext1"/>
              <w:rPr>
                <w:u w:val="single"/>
              </w:rPr>
            </w:pPr>
          </w:p>
          <w:p w14:paraId="69FE0F12" w14:textId="5C3B02FF" w:rsidR="0085234D" w:rsidRPr="00A422C7" w:rsidRDefault="0085234D" w:rsidP="007102C6">
            <w:pPr>
              <w:pStyle w:val="Tabletext1"/>
            </w:pPr>
            <w:r w:rsidRPr="00A422C7">
              <w:rPr>
                <w:u w:val="single"/>
              </w:rPr>
              <w:t>Comparator</w:t>
            </w:r>
            <w:r w:rsidR="009D0A93" w:rsidRPr="00A422C7">
              <w:t>:</w:t>
            </w:r>
            <w:r w:rsidRPr="007102C6">
              <w:t xml:space="preserve"> </w:t>
            </w:r>
            <w:r w:rsidRPr="00A422C7">
              <w:t>AFC and FSH</w:t>
            </w:r>
          </w:p>
          <w:p w14:paraId="52950812" w14:textId="77777777" w:rsidR="0085234D" w:rsidRPr="00A422C7" w:rsidRDefault="0085234D" w:rsidP="007102C6">
            <w:pPr>
              <w:pStyle w:val="Tabletext1"/>
              <w:rPr>
                <w:u w:val="single"/>
              </w:rPr>
            </w:pPr>
          </w:p>
          <w:p w14:paraId="3A636EE9" w14:textId="3B3D2875" w:rsidR="0085234D" w:rsidRPr="00A422C7" w:rsidRDefault="0085234D" w:rsidP="007102C6">
            <w:pPr>
              <w:pStyle w:val="Tabletext1"/>
            </w:pPr>
            <w:r w:rsidRPr="00A422C7">
              <w:rPr>
                <w:u w:val="single"/>
              </w:rPr>
              <w:t>Analysis</w:t>
            </w:r>
            <w:r w:rsidR="009D0A93" w:rsidRPr="00A422C7">
              <w:t>:</w:t>
            </w:r>
            <w:r w:rsidRPr="007102C6">
              <w:t xml:space="preserve"> </w:t>
            </w:r>
            <w:r w:rsidR="007102C6">
              <w:t>R</w:t>
            </w:r>
            <w:r w:rsidRPr="00A422C7">
              <w:t>esults are presented as median and interquartile range (25–75 %) because the data of this study do not show Gaussian normal distribution. The</w:t>
            </w:r>
            <w:r w:rsidR="008C724F" w:rsidRPr="00A422C7">
              <w:t xml:space="preserve"> data were tested with the Mann-</w:t>
            </w:r>
            <w:r w:rsidRPr="00A422C7">
              <w:t>Whitney test and the multiple comparisons were corrected through Bonferroni. The categorical variables were analysed through Pearson Chi-</w:t>
            </w:r>
            <w:r w:rsidR="0064098D">
              <w:t>s</w:t>
            </w:r>
            <w:r w:rsidRPr="00A422C7">
              <w:t>quare test. A logistic regression for independent samples and determination of the ROC curve were performed.</w:t>
            </w:r>
          </w:p>
          <w:p w14:paraId="13A2A85B" w14:textId="77777777" w:rsidR="0085234D" w:rsidRPr="00A422C7" w:rsidRDefault="0085234D" w:rsidP="007102C6">
            <w:pPr>
              <w:pStyle w:val="Tabletext1"/>
              <w:rPr>
                <w:b/>
                <w:u w:val="single"/>
              </w:rPr>
            </w:pPr>
          </w:p>
          <w:p w14:paraId="62215804" w14:textId="7DE72BEA" w:rsidR="0085234D" w:rsidRPr="00A422C7" w:rsidRDefault="0085234D" w:rsidP="007102C6">
            <w:pPr>
              <w:pStyle w:val="Tabletext1"/>
            </w:pPr>
            <w:r w:rsidRPr="00A422C7">
              <w:rPr>
                <w:u w:val="single"/>
              </w:rPr>
              <w:t>Follow-up period</w:t>
            </w:r>
            <w:r w:rsidR="009D0A93" w:rsidRPr="00A422C7">
              <w:t>:</w:t>
            </w:r>
            <w:r w:rsidR="007102C6">
              <w:t xml:space="preserve"> M</w:t>
            </w:r>
            <w:r w:rsidRPr="00A422C7">
              <w:t>edian 14</w:t>
            </w:r>
            <w:r w:rsidR="00FF109D" w:rsidRPr="00A422C7">
              <w:t> </w:t>
            </w:r>
            <w:r w:rsidRPr="00A422C7">
              <w:t>±</w:t>
            </w:r>
            <w:r w:rsidR="00FF109D" w:rsidRPr="00A422C7">
              <w:t> </w:t>
            </w:r>
            <w:r w:rsidRPr="00A422C7">
              <w:t>3 months (results were based on 6 month follow-up)</w:t>
            </w:r>
          </w:p>
        </w:tc>
        <w:tc>
          <w:tcPr>
            <w:tcW w:w="2526" w:type="dxa"/>
          </w:tcPr>
          <w:p w14:paraId="343A6AB2" w14:textId="324E9978" w:rsidR="0085234D" w:rsidRPr="00A422C7" w:rsidRDefault="0085234D" w:rsidP="007102C6">
            <w:pPr>
              <w:pStyle w:val="Tabletext1"/>
            </w:pPr>
            <w:r w:rsidRPr="00A422C7">
              <w:rPr>
                <w:u w:val="single"/>
              </w:rPr>
              <w:t>Outcomes</w:t>
            </w:r>
            <w:r w:rsidR="009D0A93" w:rsidRPr="00A422C7">
              <w:t>:</w:t>
            </w:r>
          </w:p>
          <w:p w14:paraId="401BEEF4" w14:textId="77777777" w:rsidR="0085234D" w:rsidRPr="00A422C7" w:rsidRDefault="0085234D" w:rsidP="007102C6">
            <w:pPr>
              <w:pStyle w:val="Tabletext1"/>
            </w:pPr>
            <w:r w:rsidRPr="00A422C7">
              <w:t>Baseline AMH and AFC values and menstrual outcomes 6 months after chemotherapy</w:t>
            </w:r>
          </w:p>
          <w:p w14:paraId="0AAADAA4" w14:textId="77777777" w:rsidR="0085234D" w:rsidRPr="00A422C7" w:rsidRDefault="0085234D" w:rsidP="007102C6">
            <w:pPr>
              <w:pStyle w:val="Tabletext1"/>
            </w:pPr>
          </w:p>
          <w:p w14:paraId="57926A71" w14:textId="77777777" w:rsidR="0085234D" w:rsidRPr="00A422C7" w:rsidRDefault="0085234D" w:rsidP="007102C6">
            <w:pPr>
              <w:pStyle w:val="Tabletext1"/>
            </w:pPr>
            <w:r w:rsidRPr="00A422C7">
              <w:t>OR, sensitivity and specificity of AMH, AFC and FSH when certain cut-off values are used for predicting amenorrhea or oligomenorrhea.</w:t>
            </w:r>
          </w:p>
          <w:p w14:paraId="270A58FA" w14:textId="77777777" w:rsidR="0085234D" w:rsidRPr="00A422C7" w:rsidRDefault="0085234D" w:rsidP="007102C6">
            <w:pPr>
              <w:pStyle w:val="Tabletext1"/>
            </w:pPr>
          </w:p>
          <w:p w14:paraId="53044630" w14:textId="2AC4F1FB" w:rsidR="0085234D" w:rsidRPr="00A422C7" w:rsidRDefault="0085234D" w:rsidP="00E830B2">
            <w:pPr>
              <w:pStyle w:val="Tabletext1"/>
            </w:pPr>
            <w:r w:rsidRPr="00A422C7">
              <w:t>ROC AUC of AMH, AFC and FSH for predicting amenorrhea or oligomenorrhea</w:t>
            </w:r>
            <w:r w:rsidR="0048183F">
              <w:t>.</w:t>
            </w:r>
          </w:p>
        </w:tc>
      </w:tr>
      <w:tr w:rsidR="0085234D" w:rsidRPr="0085234D" w14:paraId="1FFDD638" w14:textId="77777777" w:rsidTr="000F1B86">
        <w:trPr>
          <w:trHeight w:val="293"/>
        </w:trPr>
        <w:tc>
          <w:tcPr>
            <w:tcW w:w="2302" w:type="dxa"/>
          </w:tcPr>
          <w:p w14:paraId="79D9B82C" w14:textId="6CF4F23D" w:rsidR="0085234D" w:rsidRPr="00A422C7" w:rsidRDefault="0085234D" w:rsidP="007102C6">
            <w:pPr>
              <w:pStyle w:val="Tabletext1"/>
            </w:pPr>
            <w:r w:rsidRPr="00A422C7">
              <w:t xml:space="preserve">Dezellus et al. </w:t>
            </w:r>
            <w:r w:rsidR="00577E24" w:rsidRPr="00A422C7">
              <w:fldChar w:fldCharType="begin"/>
            </w:r>
            <w:r w:rsidR="00577E24" w:rsidRPr="00A422C7">
              <w:instrText xml:space="preserve"> ADDIN EN.CITE &lt;EndNote&gt;&lt;Cite ExcludeAuth="1"&gt;&lt;Author&gt;Dezellus&lt;/Author&gt;&lt;Year&gt;2017&lt;/Year&gt;&lt;RecNum&gt;117&lt;/RecNum&gt;&lt;IDText&gt;72-80&lt;/IDText&gt;&lt;DisplayText&gt;(2017)&lt;/DisplayText&gt;&lt;record&gt;&lt;rec-number&gt;117&lt;/rec-number&gt;&lt;foreign-keys&gt;&lt;key app="EN" db-id="s2dftfxw1fvsr1efx58vfvxtvfwzxea0td02" timestamp="1511748070"&gt;117&lt;/key&gt;&lt;/foreign-keys&gt;&lt;ref-type name="Journal Article"&gt;17&lt;/ref-type&gt;&lt;contributors&gt;&lt;authors&gt;&lt;author&gt;Dezellus, A.&lt;/author&gt;&lt;author&gt;Barriere, P.&lt;/author&gt;&lt;author&gt;Campone, M.&lt;/author&gt;&lt;author&gt;Lemanski, C.&lt;/author&gt;&lt;author&gt;Vanlemmens, L.&lt;/author&gt;&lt;author&gt;Mignot, L.&lt;/author&gt;&lt;author&gt;Delozier, T.&lt;/author&gt;&lt;author&gt;Levy, C.&lt;/author&gt;&lt;author&gt;Bendavid, C.&lt;/author&gt;&lt;author&gt;Debled, M.&lt;/author&gt;&lt;author&gt;Bachelot, T.&lt;/author&gt;&lt;author&gt;Jouannaud, C.&lt;/author&gt;&lt;author&gt;Loustalot, C.&lt;/author&gt;&lt;author&gt;Mouret-Reynier, M. A.&lt;/author&gt;&lt;author&gt;Gallais-Umbert, A.&lt;/author&gt;&lt;author&gt;Masson, D.&lt;/author&gt;&lt;author&gt;Freour, T.&lt;/author&gt;&lt;/authors&gt;&lt;/contributors&gt;&lt;titles&gt;&lt;title&gt;Prospective evaluation of serum anti-Mullerian hormone dynamics in 250 women of reproductive age treated with chemotherapy for breast cancer&lt;/title&gt;&lt;secondary-title&gt;Eur J Cancer&lt;/secondary-title&gt;&lt;/titles&gt;&lt;periodical&gt;&lt;full-title&gt;Eur J Cancer&lt;/full-title&gt;&lt;/periodical&gt;&lt;pages&gt;72-80&lt;/pages&gt;&lt;volume&gt;79&lt;/volume&gt;&lt;keywords&gt;&lt;keyword&gt;Breast Neoplasms&lt;/keyword&gt;&lt;/keywords&gt;&lt;dates&gt;&lt;year&gt;2017&lt;/year&gt;&lt;pub-dates&gt;&lt;date&gt;2017-1-1&lt;/date&gt;&lt;/pub-dates&gt;&lt;/dates&gt;&lt;isbn&gt;0959-8049 (Print) 0959-8049&lt;/isbn&gt;&lt;accession-num&gt;rayyan-6673689&lt;/accession-num&gt;&lt;urls&gt;&lt;/urls&gt;&lt;custom1&gt;RAYYAN-INCLUSION: {&amp;quot;Sharon&amp;quot;=&amp;gt;true, &amp;quot;Joanne&amp;quot;=&amp;gt;true}&lt;/custom1&gt;&lt;language&gt;eng&lt;/language&gt;&lt;/record&gt;&lt;/Cite&gt;&lt;/EndNote&gt;</w:instrText>
            </w:r>
            <w:r w:rsidR="00577E24" w:rsidRPr="00A422C7">
              <w:fldChar w:fldCharType="separate"/>
            </w:r>
            <w:r w:rsidR="00577E24" w:rsidRPr="00A422C7">
              <w:rPr>
                <w:noProof/>
              </w:rPr>
              <w:t>(</w:t>
            </w:r>
            <w:hyperlink w:anchor="_ENREF_20" w:tooltip="Dezellus, 2017 #117" w:history="1">
              <w:r w:rsidR="00835BA6" w:rsidRPr="00A422C7">
                <w:rPr>
                  <w:noProof/>
                </w:rPr>
                <w:t>2017</w:t>
              </w:r>
            </w:hyperlink>
            <w:r w:rsidR="00577E24" w:rsidRPr="00A422C7">
              <w:rPr>
                <w:noProof/>
              </w:rPr>
              <w:t>)</w:t>
            </w:r>
            <w:r w:rsidR="00577E24" w:rsidRPr="00A422C7">
              <w:fldChar w:fldCharType="end"/>
            </w:r>
          </w:p>
          <w:p w14:paraId="307B5836" w14:textId="77777777" w:rsidR="0085234D" w:rsidRPr="00A422C7" w:rsidRDefault="0085234D" w:rsidP="007102C6">
            <w:pPr>
              <w:pStyle w:val="Tabletext1"/>
            </w:pPr>
            <w:r w:rsidRPr="00A422C7">
              <w:t>France</w:t>
            </w:r>
          </w:p>
          <w:p w14:paraId="06F3DC93" w14:textId="3360FB1D" w:rsidR="0085234D" w:rsidRPr="00A422C7" w:rsidRDefault="0085234D" w:rsidP="007102C6">
            <w:pPr>
              <w:pStyle w:val="Tabletext1"/>
            </w:pPr>
            <w:r w:rsidRPr="00A422C7">
              <w:rPr>
                <w:u w:val="single"/>
              </w:rPr>
              <w:t>Level</w:t>
            </w:r>
            <w:r w:rsidR="009D0A93" w:rsidRPr="00A422C7">
              <w:t>:</w:t>
            </w:r>
            <w:r w:rsidRPr="00A422C7">
              <w:t xml:space="preserve"> IV (prospective </w:t>
            </w:r>
            <w:r w:rsidRPr="00A422C7">
              <w:lastRenderedPageBreak/>
              <w:t>cohort)</w:t>
            </w:r>
          </w:p>
          <w:p w14:paraId="69218574" w14:textId="322F1D93" w:rsidR="007518CF" w:rsidRPr="00A422C7" w:rsidRDefault="0085234D" w:rsidP="007102C6">
            <w:pPr>
              <w:pStyle w:val="Tabletext1"/>
            </w:pPr>
            <w:r w:rsidRPr="00A422C7">
              <w:rPr>
                <w:u w:val="single"/>
              </w:rPr>
              <w:t>Quality</w:t>
            </w:r>
            <w:r w:rsidR="009D0A93" w:rsidRPr="00A422C7">
              <w:t>:</w:t>
            </w:r>
          </w:p>
          <w:p w14:paraId="377D5003" w14:textId="648C4866" w:rsidR="0085234D" w:rsidRPr="00A422C7" w:rsidRDefault="00E74EB5" w:rsidP="007102C6">
            <w:pPr>
              <w:pStyle w:val="Tabletext1"/>
            </w:pPr>
            <w:r w:rsidRPr="00A422C7">
              <w:t>Low risk of bias</w:t>
            </w:r>
          </w:p>
        </w:tc>
        <w:tc>
          <w:tcPr>
            <w:tcW w:w="2766" w:type="dxa"/>
          </w:tcPr>
          <w:p w14:paraId="791BB7B6" w14:textId="766EFF9D" w:rsidR="007518CF" w:rsidRPr="00A422C7" w:rsidRDefault="0085234D" w:rsidP="007102C6">
            <w:pPr>
              <w:pStyle w:val="Tabletext1"/>
            </w:pPr>
            <w:r w:rsidRPr="00A422C7">
              <w:rPr>
                <w:u w:val="single"/>
              </w:rPr>
              <w:lastRenderedPageBreak/>
              <w:t>Population</w:t>
            </w:r>
            <w:r w:rsidR="009D0A93" w:rsidRPr="00A422C7">
              <w:t>:</w:t>
            </w:r>
            <w:r w:rsidRPr="00A422C7">
              <w:t xml:space="preserve"> 249 women with breast cancer undergoing chemotherapy.</w:t>
            </w:r>
          </w:p>
          <w:p w14:paraId="2A6E0E6A" w14:textId="26BD59AD" w:rsidR="0085234D" w:rsidRPr="00A422C7" w:rsidRDefault="0085234D" w:rsidP="007102C6">
            <w:pPr>
              <w:pStyle w:val="Tabletext1"/>
            </w:pPr>
            <w:r w:rsidRPr="00A422C7">
              <w:t>Mean age: 34.8</w:t>
            </w:r>
            <w:r w:rsidR="00FF109D" w:rsidRPr="00A422C7">
              <w:t> </w:t>
            </w:r>
            <w:r w:rsidRPr="00A422C7">
              <w:t>±</w:t>
            </w:r>
            <w:r w:rsidR="00FF109D" w:rsidRPr="00A422C7">
              <w:t> </w:t>
            </w:r>
            <w:r w:rsidRPr="00A422C7">
              <w:t>3.9</w:t>
            </w:r>
          </w:p>
          <w:p w14:paraId="5B2BCA1A" w14:textId="77777777" w:rsidR="0085234D" w:rsidRPr="00A422C7" w:rsidRDefault="0085234D" w:rsidP="007102C6">
            <w:pPr>
              <w:pStyle w:val="Tabletext1"/>
            </w:pPr>
          </w:p>
          <w:p w14:paraId="39F5403B" w14:textId="14C84CBC" w:rsidR="0085234D" w:rsidRPr="00A422C7" w:rsidRDefault="0085234D" w:rsidP="007102C6">
            <w:pPr>
              <w:pStyle w:val="Tabletext1"/>
            </w:pPr>
            <w:r w:rsidRPr="00A422C7">
              <w:rPr>
                <w:u w:val="single"/>
              </w:rPr>
              <w:t>Treatment</w:t>
            </w:r>
            <w:r w:rsidR="009D0A93" w:rsidRPr="00A422C7">
              <w:t>:</w:t>
            </w:r>
            <w:r w:rsidRPr="00A422C7">
              <w:t xml:space="preserve"> 75 (30.1%) had neoadjuvant chemotherapy, 174 (69.9%) had adjuvant chemotherapy. </w:t>
            </w:r>
          </w:p>
        </w:tc>
        <w:tc>
          <w:tcPr>
            <w:tcW w:w="3074" w:type="dxa"/>
          </w:tcPr>
          <w:p w14:paraId="10ADE9C8" w14:textId="6F85CC36" w:rsidR="0085234D" w:rsidRPr="00A422C7" w:rsidRDefault="0085234D" w:rsidP="007102C6">
            <w:pPr>
              <w:pStyle w:val="Tabletext1"/>
            </w:pPr>
            <w:r w:rsidRPr="00A422C7">
              <w:rPr>
                <w:u w:val="single"/>
              </w:rPr>
              <w:lastRenderedPageBreak/>
              <w:t>Objective</w:t>
            </w:r>
            <w:r w:rsidR="009D0A93" w:rsidRPr="00A422C7">
              <w:t>:</w:t>
            </w:r>
            <w:r w:rsidRPr="00A422C7">
              <w:rPr>
                <w:i/>
              </w:rPr>
              <w:t xml:space="preserve"> </w:t>
            </w:r>
            <w:r w:rsidRPr="00A422C7">
              <w:t>to evaluate the serum AMH level at diagnosis, its evolution throughout chemotherapy and its long-</w:t>
            </w:r>
            <w:r w:rsidRPr="00A422C7">
              <w:lastRenderedPageBreak/>
              <w:t>term evolution during a 24 month follow-up in women of reproductive age treated with chemotherapy in adjuvant or neoadjuvant settings for breast cancer.</w:t>
            </w:r>
          </w:p>
          <w:p w14:paraId="7AEE6908" w14:textId="77777777" w:rsidR="0085234D" w:rsidRPr="00A422C7" w:rsidRDefault="0085234D" w:rsidP="007102C6">
            <w:pPr>
              <w:pStyle w:val="Tabletext1"/>
              <w:rPr>
                <w:u w:val="single"/>
              </w:rPr>
            </w:pPr>
          </w:p>
          <w:p w14:paraId="27404DC5" w14:textId="793E17EA" w:rsidR="0085234D" w:rsidRPr="00A422C7" w:rsidRDefault="0085234D" w:rsidP="007102C6">
            <w:pPr>
              <w:pStyle w:val="Tabletext1"/>
            </w:pPr>
            <w:r w:rsidRPr="00A422C7">
              <w:rPr>
                <w:u w:val="single"/>
              </w:rPr>
              <w:t>Inclusion criteria</w:t>
            </w:r>
            <w:r w:rsidR="009D0A93" w:rsidRPr="00A422C7">
              <w:t>:</w:t>
            </w:r>
            <w:r w:rsidR="008C724F" w:rsidRPr="00A422C7">
              <w:t xml:space="preserve"> patients aged 18–</w:t>
            </w:r>
            <w:r w:rsidRPr="00A422C7">
              <w:t>39 years, diagnosed with breast cancer (T0-T4, N1-N3, M0), prior to treatment with chemotherapy in an adjuvant/neoadjuvant setting.</w:t>
            </w:r>
          </w:p>
          <w:p w14:paraId="68F44DC3" w14:textId="13858EDC" w:rsidR="0085234D" w:rsidRPr="00A422C7" w:rsidRDefault="0085234D" w:rsidP="007102C6">
            <w:pPr>
              <w:pStyle w:val="Tabletext1"/>
            </w:pPr>
            <w:r w:rsidRPr="00A422C7">
              <w:rPr>
                <w:u w:val="single"/>
              </w:rPr>
              <w:t>Exclusion criteria</w:t>
            </w:r>
            <w:r w:rsidR="009D0A93" w:rsidRPr="00A422C7">
              <w:t>:</w:t>
            </w:r>
            <w:r w:rsidRPr="00A422C7">
              <w:t xml:space="preserve"> menopause, breast cancer not treated with chemotherapy, history of previous malignancy treated with chemotherapy and comorbidities related to fertility</w:t>
            </w:r>
            <w:r w:rsidR="00E830B2">
              <w:t>.</w:t>
            </w:r>
          </w:p>
        </w:tc>
        <w:tc>
          <w:tcPr>
            <w:tcW w:w="4458" w:type="dxa"/>
          </w:tcPr>
          <w:p w14:paraId="7F5831D0" w14:textId="4F67E7A1" w:rsidR="0085234D" w:rsidRPr="00A422C7" w:rsidRDefault="0085234D" w:rsidP="007102C6">
            <w:pPr>
              <w:pStyle w:val="Tabletext1"/>
            </w:pPr>
            <w:r w:rsidRPr="00A422C7">
              <w:rPr>
                <w:u w:val="single"/>
              </w:rPr>
              <w:lastRenderedPageBreak/>
              <w:t>Test characteristics</w:t>
            </w:r>
            <w:r w:rsidRPr="00A422C7">
              <w:t>: All assays were performed in the same centralised laboratory with 1</w:t>
            </w:r>
            <w:r w:rsidRPr="00A422C7">
              <w:rPr>
                <w:vertAlign w:val="superscript"/>
              </w:rPr>
              <w:t>st</w:t>
            </w:r>
            <w:r w:rsidRPr="00A422C7">
              <w:t xml:space="preserve"> generation AMH/M</w:t>
            </w:r>
            <w:r w:rsidR="008C724F" w:rsidRPr="00A422C7">
              <w:t>ϋ</w:t>
            </w:r>
            <w:r w:rsidRPr="00A422C7">
              <w:t xml:space="preserve">llerian-Inhibiting Substance Enzyme-Immuno </w:t>
            </w:r>
            <w:r w:rsidRPr="00A422C7">
              <w:lastRenderedPageBreak/>
              <w:t>Assay (MIS EIA) Immunotech Beckman Coulter</w:t>
            </w:r>
            <w:r w:rsidRPr="00A422C7">
              <w:rPr>
                <w:vertAlign w:val="superscript"/>
              </w:rPr>
              <w:t>TM</w:t>
            </w:r>
            <w:r w:rsidRPr="00A422C7">
              <w:t xml:space="preserve"> method (Marseille, France) according to the manufacturer instructions. The lower limit of detection was 0.14 ng/mL. The lower limit of quantification was 0.42 ng/mL. The analyt</w:t>
            </w:r>
            <w:r w:rsidR="008C724F" w:rsidRPr="00A422C7">
              <w:t>ical measurement range was 0.42–</w:t>
            </w:r>
            <w:r w:rsidRPr="00A422C7">
              <w:t>21 ng/mL. Repeatability (intra-assay precision) and reproducibility (inter-assay precision) coefficients were below or equal to 12.3% and 14.2%, respectively.</w:t>
            </w:r>
          </w:p>
          <w:p w14:paraId="757C020E" w14:textId="77777777" w:rsidR="0085234D" w:rsidRPr="00A422C7" w:rsidRDefault="0085234D" w:rsidP="007102C6">
            <w:pPr>
              <w:pStyle w:val="Tabletext1"/>
              <w:rPr>
                <w:u w:val="single"/>
              </w:rPr>
            </w:pPr>
          </w:p>
          <w:p w14:paraId="3167B8EA" w14:textId="15CC23F3" w:rsidR="0085234D" w:rsidRPr="00A422C7" w:rsidRDefault="0085234D" w:rsidP="007102C6">
            <w:pPr>
              <w:pStyle w:val="Tabletext1"/>
            </w:pPr>
            <w:r w:rsidRPr="00A422C7">
              <w:rPr>
                <w:u w:val="single"/>
              </w:rPr>
              <w:t>Analysis</w:t>
            </w:r>
            <w:r w:rsidR="009D0A93" w:rsidRPr="00A422C7">
              <w:t>:</w:t>
            </w:r>
            <w:r w:rsidRPr="007102C6">
              <w:t xml:space="preserve"> </w:t>
            </w:r>
            <w:r w:rsidR="008C724F" w:rsidRPr="00A422C7">
              <w:t>Mann-</w:t>
            </w:r>
            <w:r w:rsidRPr="00A422C7">
              <w:t>Whitney and Kruskall Wallis tests were used for group comparison and Spearman coefficient for correlation studies</w:t>
            </w:r>
          </w:p>
          <w:p w14:paraId="732DBD26" w14:textId="77777777" w:rsidR="0085234D" w:rsidRPr="00A422C7" w:rsidRDefault="0085234D" w:rsidP="007102C6">
            <w:pPr>
              <w:pStyle w:val="Tabletext1"/>
              <w:rPr>
                <w:b/>
                <w:u w:val="single"/>
              </w:rPr>
            </w:pPr>
          </w:p>
          <w:p w14:paraId="3CBE5A55" w14:textId="254B6F40" w:rsidR="0085234D" w:rsidRPr="00A422C7" w:rsidRDefault="0085234D" w:rsidP="007102C6">
            <w:pPr>
              <w:pStyle w:val="Tabletext1"/>
            </w:pPr>
            <w:r w:rsidRPr="00A422C7">
              <w:rPr>
                <w:u w:val="single"/>
              </w:rPr>
              <w:t>Follow-up period</w:t>
            </w:r>
            <w:r w:rsidR="009D0A93" w:rsidRPr="00A422C7">
              <w:t>:</w:t>
            </w:r>
            <w:r w:rsidRPr="00A422C7">
              <w:t xml:space="preserve"> 6, 12 and 24 months</w:t>
            </w:r>
            <w:r w:rsidR="00E830B2">
              <w:t>.</w:t>
            </w:r>
          </w:p>
        </w:tc>
        <w:tc>
          <w:tcPr>
            <w:tcW w:w="2526" w:type="dxa"/>
          </w:tcPr>
          <w:p w14:paraId="6D9C4EB6" w14:textId="52C5916A" w:rsidR="0085234D" w:rsidRPr="00A422C7" w:rsidRDefault="0085234D" w:rsidP="007102C6">
            <w:pPr>
              <w:pStyle w:val="Tabletext1"/>
            </w:pPr>
            <w:r w:rsidRPr="00A422C7">
              <w:rPr>
                <w:u w:val="single"/>
              </w:rPr>
              <w:lastRenderedPageBreak/>
              <w:t>CRA defined as</w:t>
            </w:r>
            <w:r w:rsidR="009D0A93" w:rsidRPr="00A422C7">
              <w:t>:</w:t>
            </w:r>
            <w:r w:rsidRPr="00A422C7">
              <w:rPr>
                <w:u w:val="single"/>
              </w:rPr>
              <w:t xml:space="preserve"> </w:t>
            </w:r>
            <w:r w:rsidR="005070FC" w:rsidRPr="00A422C7">
              <w:t>chemotherapy-related</w:t>
            </w:r>
            <w:r w:rsidRPr="00A422C7">
              <w:t xml:space="preserve"> amenorrhea (not further defined)</w:t>
            </w:r>
          </w:p>
          <w:p w14:paraId="2084822C" w14:textId="77777777" w:rsidR="0085234D" w:rsidRPr="00A422C7" w:rsidRDefault="0085234D" w:rsidP="007102C6">
            <w:pPr>
              <w:pStyle w:val="Tabletext1"/>
              <w:rPr>
                <w:u w:val="single"/>
              </w:rPr>
            </w:pPr>
          </w:p>
          <w:p w14:paraId="168294C0" w14:textId="415084FC" w:rsidR="0085234D" w:rsidRPr="00A422C7" w:rsidRDefault="0085234D" w:rsidP="007102C6">
            <w:pPr>
              <w:pStyle w:val="Tabletext1"/>
            </w:pPr>
            <w:r w:rsidRPr="00A422C7">
              <w:rPr>
                <w:u w:val="single"/>
              </w:rPr>
              <w:t>Outcomes</w:t>
            </w:r>
            <w:r w:rsidR="009D0A93" w:rsidRPr="00A422C7">
              <w:t>:</w:t>
            </w:r>
          </w:p>
          <w:p w14:paraId="2A913728" w14:textId="4FB92566" w:rsidR="0085234D" w:rsidRPr="00A422C7" w:rsidRDefault="0085234D" w:rsidP="007102C6">
            <w:pPr>
              <w:pStyle w:val="Tabletext1"/>
            </w:pPr>
            <w:r w:rsidRPr="00A422C7">
              <w:t>Mean AMH scores in the CRA and no CRA groups (mean and SD, p-</w:t>
            </w:r>
            <w:r w:rsidR="00E830B2">
              <w:t>value).</w:t>
            </w:r>
          </w:p>
        </w:tc>
      </w:tr>
      <w:tr w:rsidR="0085234D" w:rsidRPr="0085234D" w14:paraId="366AACBC" w14:textId="77777777" w:rsidTr="000F1B86">
        <w:trPr>
          <w:trHeight w:val="293"/>
        </w:trPr>
        <w:tc>
          <w:tcPr>
            <w:tcW w:w="2302" w:type="dxa"/>
          </w:tcPr>
          <w:p w14:paraId="680FF044" w14:textId="090B463A" w:rsidR="0085234D" w:rsidRPr="00A422C7" w:rsidRDefault="0085234D" w:rsidP="007102C6">
            <w:pPr>
              <w:pStyle w:val="Tabletext1"/>
            </w:pPr>
            <w:r w:rsidRPr="00A422C7">
              <w:lastRenderedPageBreak/>
              <w:t xml:space="preserve">Henry et al. </w:t>
            </w:r>
            <w:r w:rsidR="00577E24" w:rsidRPr="00A422C7">
              <w:fldChar w:fldCharType="begin"/>
            </w:r>
            <w:r w:rsidR="00577E24" w:rsidRPr="00A422C7">
              <w:instrText xml:space="preserve"> ADDIN EN.CITE &lt;EndNote&gt;&lt;Cite ExcludeAuth="1"&gt;&lt;Author&gt;Henry&lt;/Author&gt;&lt;Year&gt;2014&lt;/Year&gt;&lt;RecNum&gt;178&lt;/RecNum&gt;&lt;IDText&gt;68-74&lt;/IDText&gt;&lt;DisplayText&gt;(2014)&lt;/DisplayText&gt;&lt;record&gt;&lt;rec-number&gt;178&lt;/rec-number&gt;&lt;foreign-keys&gt;&lt;key app="EN" db-id="s2dftfxw1fvsr1efx58vfvxtvfwzxea0td02" timestamp="1511748077"&gt;178&lt;/key&gt;&lt;/foreign-keys&gt;&lt;ref-type name="Journal Article"&gt;17&lt;/ref-type&gt;&lt;contributors&gt;&lt;authors&gt;&lt;author&gt;Henry, N. L.&lt;/author&gt;&lt;author&gt;Xia, R.&lt;/author&gt;&lt;author&gt;Schott, A. F.&lt;/author&gt;&lt;author&gt;McConnell, D.&lt;/author&gt;&lt;author&gt;Banerjee, M.&lt;/author&gt;&lt;author&gt;Hayes, D. F.&lt;/author&gt;&lt;/authors&gt;&lt;/contributors&gt;&lt;titles&gt;&lt;title&gt;Prediction of postchemotherapy ovarian function using markers of ovarian reserve&lt;/title&gt;&lt;secondary-title&gt;Oncologist&lt;/secondary-title&gt;&lt;/titles&gt;&lt;periodical&gt;&lt;full-title&gt;Oncologist&lt;/full-title&gt;&lt;/periodical&gt;&lt;pages&gt;68-74&lt;/pages&gt;&lt;volume&gt;19&lt;/volume&gt;&lt;number&gt;1&lt;/number&gt;&lt;keywords&gt;&lt;keyword&gt;Aged&lt;/keyword&gt;&lt;keyword&gt;Decision Making&lt;/keyword&gt;&lt;keyword&gt;Aging&lt;/keyword&gt;&lt;/keywords&gt;&lt;dates&gt;&lt;year&gt;2014&lt;/year&gt;&lt;pub-dates&gt;&lt;date&gt;2014-1-1&lt;/date&gt;&lt;/pub-dates&gt;&lt;/dates&gt;&lt;accession-num&gt;rayyan-6674952&lt;/accession-num&gt;&lt;urls&gt;&lt;related-urls&gt;&lt;url&gt;http://www.embase.com/search/results?subaction=viewrecord&amp;amp;from=export&amp;amp;id=L372137215 http://dx.doi.org/10.1634/theoncologist.2013-0145&lt;/url&gt;&lt;url&gt;https://www.ncbi.nlm.nih.gov/pmc/articles/PMC3903057/pdf/theoncologist_130145.pdf&lt;/url&gt;&lt;/related-urls&gt;&lt;/urls&gt;&lt;custom1&gt;RAYYAN-INCLUSION: {&amp;quot;Sharon&amp;quot;=&amp;gt;true, &amp;quot;Joanne&amp;quot;=&amp;gt;true}&lt;/custom1&gt;&lt;/record&gt;&lt;/Cite&gt;&lt;/EndNote&gt;</w:instrText>
            </w:r>
            <w:r w:rsidR="00577E24" w:rsidRPr="00A422C7">
              <w:fldChar w:fldCharType="separate"/>
            </w:r>
            <w:r w:rsidR="00577E24" w:rsidRPr="00A422C7">
              <w:rPr>
                <w:noProof/>
              </w:rPr>
              <w:t>(</w:t>
            </w:r>
            <w:hyperlink w:anchor="_ENREF_29" w:tooltip="Henry, 2014 #178" w:history="1">
              <w:r w:rsidR="00835BA6" w:rsidRPr="00A422C7">
                <w:rPr>
                  <w:noProof/>
                </w:rPr>
                <w:t>2014</w:t>
              </w:r>
            </w:hyperlink>
            <w:r w:rsidR="00577E24" w:rsidRPr="00A422C7">
              <w:rPr>
                <w:noProof/>
              </w:rPr>
              <w:t>)</w:t>
            </w:r>
            <w:r w:rsidR="00577E24" w:rsidRPr="00A422C7">
              <w:fldChar w:fldCharType="end"/>
            </w:r>
          </w:p>
          <w:p w14:paraId="46815D4F" w14:textId="77777777" w:rsidR="0085234D" w:rsidRPr="00A422C7" w:rsidRDefault="0085234D" w:rsidP="007102C6">
            <w:pPr>
              <w:pStyle w:val="Tabletext1"/>
            </w:pPr>
            <w:r w:rsidRPr="00A422C7">
              <w:t>USA</w:t>
            </w:r>
          </w:p>
          <w:p w14:paraId="6BE57C29" w14:textId="77777777" w:rsidR="0085234D" w:rsidRPr="00A422C7" w:rsidRDefault="0085234D" w:rsidP="007102C6">
            <w:pPr>
              <w:pStyle w:val="Tabletext1"/>
            </w:pPr>
          </w:p>
          <w:p w14:paraId="5DD91047" w14:textId="375B4D4C" w:rsidR="0085234D" w:rsidRPr="00A422C7" w:rsidRDefault="0085234D" w:rsidP="007102C6">
            <w:pPr>
              <w:pStyle w:val="Tabletext1"/>
            </w:pPr>
            <w:r w:rsidRPr="00A422C7">
              <w:rPr>
                <w:u w:val="single"/>
              </w:rPr>
              <w:t>Level</w:t>
            </w:r>
            <w:r w:rsidR="009D0A93" w:rsidRPr="00A422C7">
              <w:t>:</w:t>
            </w:r>
            <w:r w:rsidRPr="00A422C7">
              <w:t xml:space="preserve"> II (prospective study)</w:t>
            </w:r>
          </w:p>
          <w:p w14:paraId="09807297" w14:textId="5C74779B" w:rsidR="007518CF" w:rsidRPr="00A422C7" w:rsidRDefault="0085234D" w:rsidP="007102C6">
            <w:pPr>
              <w:pStyle w:val="Tabletext1"/>
            </w:pPr>
            <w:r w:rsidRPr="00A422C7">
              <w:rPr>
                <w:u w:val="single"/>
              </w:rPr>
              <w:t>Quality</w:t>
            </w:r>
            <w:r w:rsidR="009D0A93" w:rsidRPr="00A422C7">
              <w:t>:</w:t>
            </w:r>
          </w:p>
          <w:p w14:paraId="50CC4243" w14:textId="3763C4C4" w:rsidR="0085234D" w:rsidRPr="00A422C7" w:rsidRDefault="0085234D" w:rsidP="007102C6">
            <w:pPr>
              <w:pStyle w:val="Tabletext1"/>
            </w:pPr>
            <w:r w:rsidRPr="00A422C7">
              <w:t>Low risk of bias</w:t>
            </w:r>
          </w:p>
        </w:tc>
        <w:tc>
          <w:tcPr>
            <w:tcW w:w="2766" w:type="dxa"/>
          </w:tcPr>
          <w:p w14:paraId="4716EA2B" w14:textId="5CD0FDBD" w:rsidR="0085234D" w:rsidRPr="00A422C7" w:rsidRDefault="0085234D" w:rsidP="007102C6">
            <w:pPr>
              <w:pStyle w:val="Tabletext1"/>
            </w:pPr>
            <w:r w:rsidRPr="00A422C7">
              <w:rPr>
                <w:u w:val="single"/>
              </w:rPr>
              <w:t>Population</w:t>
            </w:r>
            <w:r w:rsidR="009D0A93" w:rsidRPr="00A422C7">
              <w:t>:</w:t>
            </w:r>
            <w:r w:rsidRPr="00A422C7">
              <w:t xml:space="preserve"> N</w:t>
            </w:r>
            <w:r w:rsidR="00EB382C" w:rsidRPr="00A422C7">
              <w:t>=</w:t>
            </w:r>
            <w:r w:rsidRPr="00A422C7">
              <w:t>29 pre- and peri</w:t>
            </w:r>
            <w:r w:rsidR="008C724F" w:rsidRPr="00A422C7">
              <w:t>-</w:t>
            </w:r>
            <w:r w:rsidRPr="00A422C7">
              <w:t>menopausal women with newly diagnosed breast cancer</w:t>
            </w:r>
          </w:p>
          <w:p w14:paraId="552247B1" w14:textId="11D82AA6" w:rsidR="0085234D" w:rsidRPr="00A422C7" w:rsidRDefault="0085234D" w:rsidP="007102C6">
            <w:pPr>
              <w:pStyle w:val="Tabletext1"/>
            </w:pPr>
            <w:r w:rsidRPr="00A422C7">
              <w:t>25</w:t>
            </w:r>
            <w:r w:rsidR="008C724F" w:rsidRPr="00A422C7">
              <w:t>–</w:t>
            </w:r>
            <w:r w:rsidRPr="00A422C7">
              <w:t>34 years: n=6</w:t>
            </w:r>
          </w:p>
          <w:p w14:paraId="1F252380" w14:textId="7C4700D9" w:rsidR="0085234D" w:rsidRPr="00A422C7" w:rsidRDefault="0085234D" w:rsidP="007102C6">
            <w:pPr>
              <w:pStyle w:val="Tabletext1"/>
            </w:pPr>
            <w:r w:rsidRPr="00A422C7">
              <w:t>35</w:t>
            </w:r>
            <w:r w:rsidR="008C724F" w:rsidRPr="00A422C7">
              <w:t>–</w:t>
            </w:r>
            <w:r w:rsidRPr="00A422C7">
              <w:t>39 years: n=8</w:t>
            </w:r>
          </w:p>
          <w:p w14:paraId="6ECFA2F0" w14:textId="3CBB0915" w:rsidR="0085234D" w:rsidRPr="00A422C7" w:rsidRDefault="0085234D" w:rsidP="007102C6">
            <w:pPr>
              <w:pStyle w:val="Tabletext1"/>
            </w:pPr>
            <w:r w:rsidRPr="00A422C7">
              <w:t>40</w:t>
            </w:r>
            <w:r w:rsidR="008C724F" w:rsidRPr="00A422C7">
              <w:t>–</w:t>
            </w:r>
            <w:r w:rsidRPr="00A422C7">
              <w:t>44 years: n=7</w:t>
            </w:r>
          </w:p>
          <w:p w14:paraId="69DF3EB2" w14:textId="5FD99C88" w:rsidR="0085234D" w:rsidRPr="00A422C7" w:rsidRDefault="008C724F" w:rsidP="007102C6">
            <w:pPr>
              <w:pStyle w:val="Tabletext1"/>
            </w:pPr>
            <w:r w:rsidRPr="00A422C7">
              <w:t>45–</w:t>
            </w:r>
            <w:r w:rsidR="0085234D" w:rsidRPr="00A422C7">
              <w:t>50 yea</w:t>
            </w:r>
            <w:r w:rsidRPr="00A422C7">
              <w:t>rs: n=8</w:t>
            </w:r>
          </w:p>
          <w:p w14:paraId="34751353" w14:textId="390B0002" w:rsidR="0085234D" w:rsidRPr="00A422C7" w:rsidRDefault="0085234D" w:rsidP="007102C6">
            <w:pPr>
              <w:pStyle w:val="Tabletext1"/>
            </w:pPr>
            <w:r w:rsidRPr="00A422C7">
              <w:rPr>
                <w:u w:val="single"/>
              </w:rPr>
              <w:t>Treatment</w:t>
            </w:r>
            <w:r w:rsidR="009D0A93" w:rsidRPr="00A422C7">
              <w:t>:</w:t>
            </w:r>
            <w:r w:rsidRPr="00A422C7">
              <w:t xml:space="preserve"> adjuvant or neoadjuvant chemotherapy</w:t>
            </w:r>
          </w:p>
        </w:tc>
        <w:tc>
          <w:tcPr>
            <w:tcW w:w="3074" w:type="dxa"/>
          </w:tcPr>
          <w:p w14:paraId="0A7316C5" w14:textId="36F1E315" w:rsidR="0085234D" w:rsidRPr="00A422C7" w:rsidRDefault="0085234D" w:rsidP="007102C6">
            <w:pPr>
              <w:pStyle w:val="Tabletext1"/>
            </w:pPr>
            <w:r w:rsidRPr="00A422C7">
              <w:rPr>
                <w:u w:val="single"/>
              </w:rPr>
              <w:t>Objective</w:t>
            </w:r>
            <w:r w:rsidR="009D0A93" w:rsidRPr="00A422C7">
              <w:t>:</w:t>
            </w:r>
            <w:r w:rsidRPr="00A422C7">
              <w:t xml:space="preserve"> to test the hypothesis that low pre</w:t>
            </w:r>
            <w:r w:rsidR="008C724F" w:rsidRPr="00A422C7">
              <w:t>-</w:t>
            </w:r>
            <w:r w:rsidRPr="00A422C7">
              <w:t>chemotherapy serum concentrations of AMH and inhibin B would predict lack of recovery of ovarian function following chemotherapy.</w:t>
            </w:r>
          </w:p>
          <w:p w14:paraId="7C3D3F35" w14:textId="77777777" w:rsidR="0085234D" w:rsidRPr="00A422C7" w:rsidRDefault="0085234D" w:rsidP="007102C6">
            <w:pPr>
              <w:pStyle w:val="Tabletext1"/>
              <w:rPr>
                <w:u w:val="single"/>
              </w:rPr>
            </w:pPr>
          </w:p>
          <w:p w14:paraId="54AEC492" w14:textId="1F42A3F4" w:rsidR="0085234D" w:rsidRPr="00A422C7" w:rsidRDefault="0085234D" w:rsidP="007102C6">
            <w:pPr>
              <w:pStyle w:val="Tabletext1"/>
            </w:pPr>
            <w:r w:rsidRPr="00A422C7">
              <w:rPr>
                <w:u w:val="single"/>
              </w:rPr>
              <w:t>Inclusion criteria</w:t>
            </w:r>
            <w:r w:rsidR="009D0A93" w:rsidRPr="00A422C7">
              <w:t>:</w:t>
            </w:r>
            <w:r w:rsidRPr="00A422C7">
              <w:t xml:space="preserve"> women aged 25-50 years with a menstrual cycle within 3 months prior to study entry, diagnosed with stage I</w:t>
            </w:r>
            <w:r w:rsidR="00B50CCE" w:rsidRPr="00A422C7">
              <w:t>–</w:t>
            </w:r>
            <w:r w:rsidRPr="00A422C7">
              <w:t>III breast cancer, scheduled for neoadjuvant or adjuvant chemotherapy</w:t>
            </w:r>
          </w:p>
          <w:p w14:paraId="4FB7F9AB" w14:textId="66DBE52A" w:rsidR="0085234D" w:rsidRPr="00A422C7" w:rsidRDefault="0085234D" w:rsidP="007102C6">
            <w:pPr>
              <w:pStyle w:val="Tabletext1"/>
            </w:pPr>
            <w:r w:rsidRPr="00A422C7">
              <w:rPr>
                <w:u w:val="single"/>
              </w:rPr>
              <w:t>Exclusion criteria</w:t>
            </w:r>
            <w:r w:rsidR="009D0A93" w:rsidRPr="00A422C7">
              <w:t>:</w:t>
            </w:r>
            <w:r w:rsidRPr="00A422C7">
              <w:t xml:space="preserve"> prior cytotoxic chemotherapy, bilateral oophorectomy, hysterectomy, pelvic radiat</w:t>
            </w:r>
            <w:r w:rsidR="00165B37">
              <w:t>ion.</w:t>
            </w:r>
          </w:p>
        </w:tc>
        <w:tc>
          <w:tcPr>
            <w:tcW w:w="4458" w:type="dxa"/>
          </w:tcPr>
          <w:p w14:paraId="5FF1ECC9" w14:textId="7FD03AC2" w:rsidR="0085234D" w:rsidRPr="00A422C7" w:rsidRDefault="0085234D" w:rsidP="007102C6">
            <w:pPr>
              <w:pStyle w:val="Tabletext1"/>
            </w:pPr>
            <w:r w:rsidRPr="00A422C7">
              <w:rPr>
                <w:u w:val="single"/>
              </w:rPr>
              <w:t>Test characteristics</w:t>
            </w:r>
            <w:r w:rsidRPr="00A422C7">
              <w:t xml:space="preserve">: Serum AMH concentrations were measured using the AMH Gen II ELISA (A73818; Beckman Coulter, Fullerton, CA). the minimum detectable concentration was 0.16 ng/mL, the upper </w:t>
            </w:r>
            <w:r w:rsidR="0076789D">
              <w:t>LoQ</w:t>
            </w:r>
            <w:r w:rsidRPr="00A422C7">
              <w:t xml:space="preserve"> was 22.5 ng/</w:t>
            </w:r>
            <w:r w:rsidR="0076789D">
              <w:t>mL, and the inter- and intra-as</w:t>
            </w:r>
            <w:r w:rsidRPr="00A422C7">
              <w:t xml:space="preserve">say </w:t>
            </w:r>
            <w:r w:rsidR="00776418">
              <w:t>CoV</w:t>
            </w:r>
            <w:r w:rsidR="0076789D">
              <w:t>s</w:t>
            </w:r>
            <w:r w:rsidRPr="00A422C7">
              <w:t xml:space="preserve"> were 7.1% and 2.9%, respectively</w:t>
            </w:r>
          </w:p>
          <w:p w14:paraId="5F15C8CA" w14:textId="77777777" w:rsidR="0085234D" w:rsidRPr="00A422C7" w:rsidRDefault="0085234D" w:rsidP="007102C6">
            <w:pPr>
              <w:pStyle w:val="Tabletext1"/>
              <w:rPr>
                <w:u w:val="single"/>
              </w:rPr>
            </w:pPr>
          </w:p>
          <w:p w14:paraId="0EBAE56C" w14:textId="13A19694" w:rsidR="007518CF" w:rsidRPr="00A422C7" w:rsidRDefault="0085234D" w:rsidP="007102C6">
            <w:pPr>
              <w:pStyle w:val="Tabletext1"/>
            </w:pPr>
            <w:r w:rsidRPr="00A422C7">
              <w:rPr>
                <w:u w:val="single"/>
              </w:rPr>
              <w:t>Comparator</w:t>
            </w:r>
            <w:r w:rsidR="009D0A93" w:rsidRPr="00A422C7">
              <w:t>:</w:t>
            </w:r>
            <w:r w:rsidRPr="00A422C7">
              <w:t xml:space="preserve"> </w:t>
            </w:r>
            <w:r w:rsidR="003C2616" w:rsidRPr="00A422C7">
              <w:t>inhibin B</w:t>
            </w:r>
            <w:r w:rsidRPr="00A422C7">
              <w:t xml:space="preserve"> was measured with Gen II ELISA (A81301;Beckman Coulter), the minimal detectable concentration was 10 pg/mL, the upper L</w:t>
            </w:r>
            <w:r w:rsidR="00B023DE">
              <w:t>o</w:t>
            </w:r>
            <w:r w:rsidRPr="00A422C7">
              <w:t xml:space="preserve">Q was 1,000 pg/mL, and the inter- and intra-assay </w:t>
            </w:r>
            <w:r w:rsidR="00776418">
              <w:t>CoV</w:t>
            </w:r>
            <w:r w:rsidRPr="00A422C7">
              <w:t>s were 4.3%and 2.8%, respectively.</w:t>
            </w:r>
          </w:p>
          <w:p w14:paraId="55B40086" w14:textId="45908A81" w:rsidR="0085234D" w:rsidRPr="00A422C7" w:rsidRDefault="0085234D" w:rsidP="007102C6">
            <w:pPr>
              <w:pStyle w:val="Tabletext1"/>
            </w:pPr>
            <w:r w:rsidRPr="00A422C7">
              <w:t>Serum FSH concentrations were measured usin</w:t>
            </w:r>
            <w:r w:rsidR="008C724F" w:rsidRPr="00A422C7">
              <w:t>g a two-site chemiluminescence sandwich</w:t>
            </w:r>
            <w:r w:rsidRPr="00A422C7">
              <w:t xml:space="preserve"> assay, which has a minimum detectable concentration of 0.3 mIU/mL andan upper L</w:t>
            </w:r>
            <w:r w:rsidR="00B023DE">
              <w:t>o</w:t>
            </w:r>
            <w:r w:rsidRPr="00A422C7">
              <w:t xml:space="preserve">Q of 200mIU/mL. Inter- and intra-assay </w:t>
            </w:r>
            <w:r w:rsidR="00776418">
              <w:t>CoV</w:t>
            </w:r>
            <w:r w:rsidRPr="00A422C7">
              <w:t xml:space="preserve">s </w:t>
            </w:r>
            <w:r w:rsidRPr="00A422C7">
              <w:lastRenderedPageBreak/>
              <w:t>were 8.1% and 3.5%, respectively.</w:t>
            </w:r>
          </w:p>
          <w:p w14:paraId="7584F9D4" w14:textId="77777777" w:rsidR="0085234D" w:rsidRPr="00A422C7" w:rsidRDefault="0085234D" w:rsidP="007102C6">
            <w:pPr>
              <w:pStyle w:val="Tabletext1"/>
            </w:pPr>
            <w:r w:rsidRPr="00A422C7">
              <w:t>Serum estradiol concentrations were measured using a gas chromatography tandem mass spectroscopy assay (InVentiv Health Clinical, Princeton, NJ, which has a minimal detectable concentration of 0.625 pg/mL.</w:t>
            </w:r>
          </w:p>
          <w:p w14:paraId="09714277" w14:textId="77777777" w:rsidR="0085234D" w:rsidRPr="00A422C7" w:rsidRDefault="0085234D" w:rsidP="007102C6">
            <w:pPr>
              <w:pStyle w:val="Tabletext1"/>
            </w:pPr>
          </w:p>
          <w:p w14:paraId="590F79DD" w14:textId="77777777" w:rsidR="0085234D" w:rsidRPr="00A422C7" w:rsidRDefault="0085234D" w:rsidP="007102C6">
            <w:pPr>
              <w:pStyle w:val="Tabletext1"/>
              <w:rPr>
                <w:b/>
                <w:u w:val="single"/>
              </w:rPr>
            </w:pPr>
            <w:r w:rsidRPr="00A422C7">
              <w:rPr>
                <w:u w:val="single"/>
              </w:rPr>
              <w:t>Analysis</w:t>
            </w:r>
            <w:r w:rsidRPr="00A422C7">
              <w:t>: In univariate analysis, recovery of ovarian function was the response variable and was tested against each potential covariate. The multivariate analysis included only those factors that were significant in the univariate analysis.</w:t>
            </w:r>
          </w:p>
          <w:p w14:paraId="41C2FAB0" w14:textId="5BE6424B" w:rsidR="0085234D" w:rsidRPr="00A422C7" w:rsidRDefault="0085234D" w:rsidP="007102C6">
            <w:pPr>
              <w:pStyle w:val="Tabletext1"/>
            </w:pPr>
            <w:r w:rsidRPr="00A422C7">
              <w:rPr>
                <w:u w:val="single"/>
              </w:rPr>
              <w:t>Follow-up period</w:t>
            </w:r>
            <w:r w:rsidR="009D0A93" w:rsidRPr="00A422C7">
              <w:t>:</w:t>
            </w:r>
            <w:r w:rsidRPr="00A422C7">
              <w:t xml:space="preserve"> 18 months (average 13.6 months)</w:t>
            </w:r>
          </w:p>
        </w:tc>
        <w:tc>
          <w:tcPr>
            <w:tcW w:w="2526" w:type="dxa"/>
          </w:tcPr>
          <w:p w14:paraId="7017FEE3" w14:textId="6F47966A" w:rsidR="0085234D" w:rsidRPr="00A422C7" w:rsidRDefault="0085234D" w:rsidP="007102C6">
            <w:pPr>
              <w:pStyle w:val="Tabletext1"/>
            </w:pPr>
            <w:r w:rsidRPr="00A422C7">
              <w:rPr>
                <w:u w:val="single"/>
              </w:rPr>
              <w:lastRenderedPageBreak/>
              <w:t>Ovarian function defined as</w:t>
            </w:r>
            <w:r w:rsidR="009D0A93" w:rsidRPr="00A422C7">
              <w:t>:</w:t>
            </w:r>
            <w:r w:rsidRPr="00A422C7">
              <w:rPr>
                <w:u w:val="single"/>
              </w:rPr>
              <w:t xml:space="preserve"> </w:t>
            </w:r>
            <w:r w:rsidRPr="00A422C7">
              <w:t xml:space="preserve">recurrence of menses or serum estradiol concentration </w:t>
            </w:r>
            <w:r w:rsidR="00035EEF" w:rsidRPr="00A422C7">
              <w:t>&gt;</w:t>
            </w:r>
            <w:r w:rsidRPr="00A422C7">
              <w:t>10 pg/mL</w:t>
            </w:r>
          </w:p>
          <w:p w14:paraId="639A3935" w14:textId="77777777" w:rsidR="0085234D" w:rsidRPr="00A422C7" w:rsidRDefault="0085234D" w:rsidP="007102C6">
            <w:pPr>
              <w:pStyle w:val="Tabletext1"/>
            </w:pPr>
          </w:p>
          <w:p w14:paraId="2E919214" w14:textId="5EC95305" w:rsidR="0085234D" w:rsidRPr="00A422C7" w:rsidRDefault="0085234D" w:rsidP="007102C6">
            <w:pPr>
              <w:pStyle w:val="Tabletext1"/>
            </w:pPr>
            <w:r w:rsidRPr="00A422C7">
              <w:rPr>
                <w:u w:val="single"/>
              </w:rPr>
              <w:t>Outcomes</w:t>
            </w:r>
            <w:r w:rsidR="009D0A93" w:rsidRPr="00A422C7">
              <w:t>:</w:t>
            </w:r>
          </w:p>
          <w:p w14:paraId="3D8F1D7A" w14:textId="044AF391" w:rsidR="0085234D" w:rsidRPr="00A422C7" w:rsidRDefault="0085234D" w:rsidP="007102C6">
            <w:pPr>
              <w:pStyle w:val="Tabletext1"/>
            </w:pPr>
            <w:r w:rsidRPr="00A422C7">
              <w:t>Univariate analysis of the effect of potential covariates on recovery of ovarian function after che</w:t>
            </w:r>
            <w:r w:rsidR="001539A5" w:rsidRPr="00A422C7">
              <w:t>motherapy</w:t>
            </w:r>
            <w:r w:rsidR="00E830B2">
              <w:t>.</w:t>
            </w:r>
          </w:p>
        </w:tc>
      </w:tr>
      <w:tr w:rsidR="0085234D" w:rsidRPr="0085234D" w14:paraId="402C98A7" w14:textId="77777777" w:rsidTr="000F1B86">
        <w:trPr>
          <w:trHeight w:val="293"/>
        </w:trPr>
        <w:tc>
          <w:tcPr>
            <w:tcW w:w="2302" w:type="dxa"/>
          </w:tcPr>
          <w:p w14:paraId="357172DA" w14:textId="0D730630" w:rsidR="0085234D" w:rsidRPr="00A422C7" w:rsidRDefault="0085234D" w:rsidP="007102C6">
            <w:pPr>
              <w:pStyle w:val="Tabletext1"/>
            </w:pPr>
            <w:r w:rsidRPr="00A422C7">
              <w:lastRenderedPageBreak/>
              <w:t xml:space="preserve">Ruddy et al. </w:t>
            </w:r>
            <w:r w:rsidR="00577E24" w:rsidRPr="00A422C7">
              <w:fldChar w:fldCharType="begin"/>
            </w:r>
            <w:r w:rsidR="00577E24" w:rsidRPr="00A422C7">
              <w:instrText xml:space="preserve"> ADDIN EN.CITE &lt;EndNote&gt;&lt;Cite ExcludeAuth="1"&gt;&lt;Author&gt;Ruddy&lt;/Author&gt;&lt;Year&gt;2014&lt;/Year&gt;&lt;RecNum&gt;304&lt;/RecNum&gt;&lt;IDText&gt;591-7&lt;/IDText&gt;&lt;DisplayText&gt;(2014)&lt;/DisplayText&gt;&lt;record&gt;&lt;rec-number&gt;304&lt;/rec-number&gt;&lt;foreign-keys&gt;&lt;key app="EN" db-id="s2dftfxw1fvsr1efx58vfvxtvfwzxea0td02" timestamp="1511748094"&gt;304&lt;/key&gt;&lt;/foreign-keys&gt;&lt;ref-type name="Electronic Article"&gt;43&lt;/ref-type&gt;&lt;contributors&gt;&lt;authors&gt;&lt;author&gt;Ruddy, Kj&lt;/author&gt;&lt;author&gt;O&amp;apos;Neill, A&lt;/author&gt;&lt;author&gt;Miller, Kd&lt;/author&gt;&lt;author&gt;Schneider, Bp&lt;/author&gt;&lt;author&gt;Baker, E&lt;/author&gt;&lt;author&gt;Sparano, Ja&lt;/author&gt;&lt;author&gt;Dang, C&lt;/author&gt;&lt;author&gt;Northfelt, Dw&lt;/author&gt;&lt;author&gt;Sledge, Gw&lt;/author&gt;&lt;author&gt;Partridge, Ah&lt;/author&gt;&lt;/authors&gt;&lt;/contributors&gt;&lt;titles&gt;&lt;title&gt;Biomarker prediction of chemotherapy-related amenorrhea in premenopausal women with breast cancer participating in E5103&lt;/title&gt;&lt;/titles&gt;&lt;pages&gt;591-7&lt;/pages&gt;&lt;volume&gt;144&lt;/volume&gt;&lt;number&gt;3&lt;/number&gt;&lt;keywords&gt;&lt;keyword&gt;Amenorrhea&lt;/keyword&gt;&lt;keyword&gt;Premenopause&lt;/keyword&gt;&lt;keyword&gt;Biological Markers&lt;/keyword&gt;&lt;keyword&gt;Breast Neoplasms&lt;/keyword&gt;&lt;/keywords&gt;&lt;dates&gt;&lt;year&gt;2014&lt;/year&gt;&lt;pub-dates&gt;&lt;date&gt;2014-1-1&lt;/date&gt;&lt;/pub-dates&gt;&lt;/dates&gt;&lt;isbn&gt;0167-6806&lt;/isbn&gt;&lt;accession-num&gt;rayyan-6678069&lt;/accession-num&gt;&lt;urls&gt;&lt;related-urls&gt;&lt;url&gt;http://onlinelibrary.wiley.com/o/cochrane/clcentral/articles/585/CN-00988585/frame.html&lt;/url&gt;&lt;url&gt;https://link.springer.com/content/pdf/10.1007%2Fs10549-014-2891-0.pdf&lt;/url&gt;&lt;/related-urls&gt;&lt;/urls&gt;&lt;custom1&gt;RAYYAN-INCLUSION: {&amp;quot;Sharon&amp;quot;=&amp;gt;true, &amp;quot;Joanne&amp;quot;=&amp;gt;true}&lt;/custom1&gt;&lt;/record&gt;&lt;/Cite&gt;&lt;/EndNote&gt;</w:instrText>
            </w:r>
            <w:r w:rsidR="00577E24" w:rsidRPr="00A422C7">
              <w:fldChar w:fldCharType="separate"/>
            </w:r>
            <w:r w:rsidR="00577E24" w:rsidRPr="00A422C7">
              <w:rPr>
                <w:noProof/>
              </w:rPr>
              <w:t>(</w:t>
            </w:r>
            <w:hyperlink w:anchor="_ENREF_59" w:tooltip="Ruddy, 2014 #304" w:history="1">
              <w:r w:rsidR="00835BA6" w:rsidRPr="00A422C7">
                <w:rPr>
                  <w:noProof/>
                </w:rPr>
                <w:t>2014</w:t>
              </w:r>
            </w:hyperlink>
            <w:r w:rsidR="00577E24" w:rsidRPr="00A422C7">
              <w:rPr>
                <w:noProof/>
              </w:rPr>
              <w:t>)</w:t>
            </w:r>
            <w:r w:rsidR="00577E24" w:rsidRPr="00A422C7">
              <w:fldChar w:fldCharType="end"/>
            </w:r>
          </w:p>
          <w:p w14:paraId="5C4FE4C5" w14:textId="77777777" w:rsidR="0085234D" w:rsidRPr="00A422C7" w:rsidRDefault="0085234D" w:rsidP="007102C6">
            <w:pPr>
              <w:pStyle w:val="Tabletext1"/>
            </w:pPr>
            <w:r w:rsidRPr="00A422C7">
              <w:t>USA</w:t>
            </w:r>
          </w:p>
          <w:p w14:paraId="00082FAA" w14:textId="7355EE76" w:rsidR="0085234D" w:rsidRPr="00A422C7" w:rsidRDefault="0085234D" w:rsidP="007102C6">
            <w:pPr>
              <w:pStyle w:val="Tabletext1"/>
            </w:pPr>
            <w:r w:rsidRPr="00A422C7">
              <w:rPr>
                <w:u w:val="single"/>
              </w:rPr>
              <w:t>Level</w:t>
            </w:r>
            <w:r w:rsidR="009D0A93" w:rsidRPr="00A422C7">
              <w:t>:</w:t>
            </w:r>
            <w:r w:rsidRPr="00A422C7">
              <w:t xml:space="preserve"> II (prospective study)</w:t>
            </w:r>
          </w:p>
          <w:p w14:paraId="276B02FC" w14:textId="13E9FA76" w:rsidR="007518CF" w:rsidRPr="00A422C7" w:rsidRDefault="0085234D" w:rsidP="007102C6">
            <w:pPr>
              <w:pStyle w:val="Tabletext1"/>
            </w:pPr>
            <w:r w:rsidRPr="00A422C7">
              <w:rPr>
                <w:u w:val="single"/>
              </w:rPr>
              <w:t>Quality</w:t>
            </w:r>
            <w:r w:rsidR="009D0A93" w:rsidRPr="00A422C7">
              <w:t>:</w:t>
            </w:r>
          </w:p>
          <w:p w14:paraId="43100300" w14:textId="330023D2" w:rsidR="0085234D" w:rsidRPr="00A422C7" w:rsidRDefault="0085234D" w:rsidP="007102C6">
            <w:pPr>
              <w:pStyle w:val="Tabletext1"/>
            </w:pPr>
            <w:r w:rsidRPr="00A422C7">
              <w:t>Moderate risk of bias</w:t>
            </w:r>
          </w:p>
        </w:tc>
        <w:tc>
          <w:tcPr>
            <w:tcW w:w="2766" w:type="dxa"/>
          </w:tcPr>
          <w:p w14:paraId="584FE021" w14:textId="4FC83380" w:rsidR="0085234D" w:rsidRPr="00A422C7" w:rsidRDefault="0085234D" w:rsidP="007102C6">
            <w:pPr>
              <w:pStyle w:val="Tabletext1"/>
            </w:pPr>
            <w:r w:rsidRPr="00A422C7">
              <w:rPr>
                <w:u w:val="single"/>
              </w:rPr>
              <w:t>Population</w:t>
            </w:r>
            <w:r w:rsidR="009D0A93" w:rsidRPr="00A422C7">
              <w:t>:</w:t>
            </w:r>
            <w:r w:rsidRPr="00A422C7">
              <w:t xml:space="preserve"> 124 pre</w:t>
            </w:r>
            <w:r w:rsidR="003036C4">
              <w:t>-menopausal</w:t>
            </w:r>
            <w:r w:rsidRPr="00A422C7">
              <w:t xml:space="preserve"> women with breast cancer and 12-month menses data (n=100 women provided 18 month menses data)</w:t>
            </w:r>
          </w:p>
          <w:p w14:paraId="0B56369F" w14:textId="41D8651C" w:rsidR="0085234D" w:rsidRPr="00A422C7" w:rsidRDefault="008C724F" w:rsidP="007102C6">
            <w:pPr>
              <w:pStyle w:val="Tabletext1"/>
            </w:pPr>
            <w:r w:rsidRPr="00A422C7">
              <w:t>Median age: 46 (range 25–</w:t>
            </w:r>
            <w:r w:rsidR="0085234D" w:rsidRPr="00A422C7">
              <w:t xml:space="preserve">55) years. Only 36 women were </w:t>
            </w:r>
            <w:r w:rsidR="00165B37">
              <w:t>≤</w:t>
            </w:r>
            <w:r w:rsidR="0085234D" w:rsidRPr="00A422C7">
              <w:t>40 years.</w:t>
            </w:r>
          </w:p>
          <w:p w14:paraId="057A2312" w14:textId="77777777" w:rsidR="0085234D" w:rsidRPr="00A422C7" w:rsidRDefault="0085234D" w:rsidP="007102C6">
            <w:pPr>
              <w:pStyle w:val="Tabletext1"/>
            </w:pPr>
          </w:p>
          <w:p w14:paraId="39A00A95" w14:textId="02FBE1C9" w:rsidR="0085234D" w:rsidRPr="00A422C7" w:rsidRDefault="0085234D" w:rsidP="007102C6">
            <w:pPr>
              <w:pStyle w:val="Tabletext1"/>
            </w:pPr>
            <w:r w:rsidRPr="00A422C7">
              <w:rPr>
                <w:u w:val="single"/>
              </w:rPr>
              <w:t>Treatment</w:t>
            </w:r>
            <w:r w:rsidR="009D0A93" w:rsidRPr="00A422C7">
              <w:t>:</w:t>
            </w:r>
            <w:r w:rsidRPr="00A422C7">
              <w:t xml:space="preserve"> doxorubicin-cyclophosphamide</w:t>
            </w:r>
          </w:p>
          <w:p w14:paraId="4BC2D3F0" w14:textId="77777777" w:rsidR="0085234D" w:rsidRPr="00A422C7" w:rsidRDefault="0085234D" w:rsidP="007102C6">
            <w:pPr>
              <w:pStyle w:val="Tabletext1"/>
            </w:pPr>
            <w:r w:rsidRPr="00A422C7">
              <w:t>followed by paclitaxel with either placebo or one of two durations of bevacizumab therapy.</w:t>
            </w:r>
          </w:p>
        </w:tc>
        <w:tc>
          <w:tcPr>
            <w:tcW w:w="3074" w:type="dxa"/>
          </w:tcPr>
          <w:p w14:paraId="70AD29BF" w14:textId="5BC717EC" w:rsidR="007518CF" w:rsidRPr="00A422C7" w:rsidRDefault="0085234D" w:rsidP="007102C6">
            <w:pPr>
              <w:pStyle w:val="Tabletext1"/>
            </w:pPr>
            <w:r w:rsidRPr="00A422C7">
              <w:rPr>
                <w:u w:val="single"/>
              </w:rPr>
              <w:t>Objective</w:t>
            </w:r>
            <w:r w:rsidR="009D0A93" w:rsidRPr="00A422C7">
              <w:t>:</w:t>
            </w:r>
            <w:r w:rsidRPr="00A422C7">
              <w:t xml:space="preserve"> to investigate whether pre</w:t>
            </w:r>
            <w:r w:rsidR="00415491">
              <w:t>-chemotherapy</w:t>
            </w:r>
            <w:r w:rsidRPr="00A422C7">
              <w:t xml:space="preserve"> AMH is a biomarker for CRA in breast cancer patients.</w:t>
            </w:r>
          </w:p>
          <w:p w14:paraId="7BEFDACB" w14:textId="4F5E5344" w:rsidR="0085234D" w:rsidRPr="00A422C7" w:rsidRDefault="0085234D" w:rsidP="007102C6">
            <w:pPr>
              <w:pStyle w:val="Tabletext1"/>
              <w:rPr>
                <w:u w:val="single"/>
              </w:rPr>
            </w:pPr>
          </w:p>
          <w:p w14:paraId="3BA9A631" w14:textId="0FC09CEC" w:rsidR="0085234D" w:rsidRPr="00A422C7" w:rsidRDefault="0085234D" w:rsidP="007102C6">
            <w:pPr>
              <w:pStyle w:val="Tabletext1"/>
            </w:pPr>
            <w:r w:rsidRPr="00A422C7">
              <w:rPr>
                <w:u w:val="single"/>
              </w:rPr>
              <w:t>Inclusion criteria</w:t>
            </w:r>
            <w:r w:rsidR="009D0A93" w:rsidRPr="00A422C7">
              <w:t>:</w:t>
            </w:r>
            <w:r w:rsidRPr="00A422C7">
              <w:t xml:space="preserve"> pre</w:t>
            </w:r>
            <w:r w:rsidR="003036C4">
              <w:t>-menopausal</w:t>
            </w:r>
            <w:r w:rsidRPr="00A422C7">
              <w:t>, breast cancer</w:t>
            </w:r>
          </w:p>
          <w:p w14:paraId="765976CC" w14:textId="1A678148" w:rsidR="0085234D" w:rsidRPr="00A422C7" w:rsidRDefault="0085234D" w:rsidP="007102C6">
            <w:pPr>
              <w:pStyle w:val="Tabletext1"/>
            </w:pPr>
            <w:r w:rsidRPr="00A422C7">
              <w:rPr>
                <w:u w:val="single"/>
              </w:rPr>
              <w:t>Exclusion criteria</w:t>
            </w:r>
            <w:r w:rsidR="009D0A93" w:rsidRPr="00A422C7">
              <w:t>:</w:t>
            </w:r>
            <w:r w:rsidRPr="00A422C7">
              <w:t xml:space="preserve"> patients who underwent ovarian suppression or bilateral salpingoophorectomy prior to the 12-month follow-up, and patients who did not give consent and/or who had no stored serum available.</w:t>
            </w:r>
          </w:p>
        </w:tc>
        <w:tc>
          <w:tcPr>
            <w:tcW w:w="4458" w:type="dxa"/>
          </w:tcPr>
          <w:p w14:paraId="612F5782" w14:textId="20E2B8B0" w:rsidR="0085234D" w:rsidRPr="00A422C7" w:rsidRDefault="0085234D" w:rsidP="007102C6">
            <w:pPr>
              <w:pStyle w:val="Tabletext1"/>
            </w:pPr>
            <w:r w:rsidRPr="00A422C7">
              <w:rPr>
                <w:u w:val="single"/>
              </w:rPr>
              <w:t>Test characteristics</w:t>
            </w:r>
            <w:r w:rsidRPr="00A422C7">
              <w:t xml:space="preserve">: AMH was measured by two-site ELISA (Diagnostic Systems Laboratory, BeckmanCoulter, Webster, TX) from baseline serum samples drawn and banked before chemotherapy. Testing was monitored using quality control sera (two levels); the intra-assay </w:t>
            </w:r>
            <w:r w:rsidR="00205BD5">
              <w:t>CoV</w:t>
            </w:r>
            <w:r w:rsidRPr="00A422C7">
              <w:t xml:space="preserve"> was &lt;6 % and the inter-assay </w:t>
            </w:r>
            <w:r w:rsidR="00776418">
              <w:t>CoV</w:t>
            </w:r>
            <w:r w:rsidRPr="00A422C7">
              <w:t xml:space="preserve"> was &lt;12 %.</w:t>
            </w:r>
          </w:p>
          <w:p w14:paraId="703D098A" w14:textId="77777777" w:rsidR="0085234D" w:rsidRPr="00A422C7" w:rsidRDefault="0085234D" w:rsidP="007102C6">
            <w:pPr>
              <w:pStyle w:val="Tabletext1"/>
              <w:rPr>
                <w:u w:val="single"/>
              </w:rPr>
            </w:pPr>
          </w:p>
          <w:p w14:paraId="70A3E1E0" w14:textId="551B7ABF" w:rsidR="0085234D" w:rsidRPr="00A422C7" w:rsidRDefault="0085234D" w:rsidP="007102C6">
            <w:pPr>
              <w:pStyle w:val="Tabletext1"/>
            </w:pPr>
            <w:r w:rsidRPr="00A422C7">
              <w:rPr>
                <w:u w:val="single"/>
              </w:rPr>
              <w:t>Comparator</w:t>
            </w:r>
            <w:r w:rsidR="009D0A93" w:rsidRPr="00A422C7">
              <w:t>:</w:t>
            </w:r>
            <w:r w:rsidRPr="00A422C7">
              <w:t xml:space="preserve"> NA</w:t>
            </w:r>
          </w:p>
          <w:p w14:paraId="5A1D3A32" w14:textId="77777777" w:rsidR="0085234D" w:rsidRPr="00A422C7" w:rsidRDefault="0085234D" w:rsidP="007102C6">
            <w:pPr>
              <w:pStyle w:val="Tabletext1"/>
              <w:rPr>
                <w:u w:val="single"/>
              </w:rPr>
            </w:pPr>
          </w:p>
          <w:p w14:paraId="2E4E78B1" w14:textId="4214C980" w:rsidR="0085234D" w:rsidRPr="00A422C7" w:rsidRDefault="0085234D" w:rsidP="007102C6">
            <w:pPr>
              <w:pStyle w:val="Tabletext1"/>
            </w:pPr>
            <w:r w:rsidRPr="00A422C7">
              <w:rPr>
                <w:u w:val="single"/>
              </w:rPr>
              <w:t>Analysis</w:t>
            </w:r>
            <w:r w:rsidR="009D0A93" w:rsidRPr="00A422C7">
              <w:t>:</w:t>
            </w:r>
            <w:r w:rsidRPr="00A422C7">
              <w:t xml:space="preserve"> Wilcoxon rank sum and Fisher’s exact tests were used to assess for univariate associations between 12- and 18-month CRA.</w:t>
            </w:r>
          </w:p>
          <w:p w14:paraId="1378E0B1" w14:textId="77777777" w:rsidR="0085234D" w:rsidRPr="00A422C7" w:rsidRDefault="0085234D" w:rsidP="007102C6">
            <w:pPr>
              <w:pStyle w:val="Tabletext1"/>
            </w:pPr>
            <w:r w:rsidRPr="00A422C7">
              <w:t>Multivariate logistic regression was used to assess for predictors of CRA at both time points including baseline AMH, age, race, whether or not the patient received bevacizumab, and use of tamoxifen</w:t>
            </w:r>
          </w:p>
          <w:p w14:paraId="1F50973B" w14:textId="77777777" w:rsidR="0085234D" w:rsidRPr="00A422C7" w:rsidRDefault="0085234D" w:rsidP="007102C6">
            <w:pPr>
              <w:pStyle w:val="Tabletext1"/>
              <w:rPr>
                <w:b/>
                <w:u w:val="single"/>
              </w:rPr>
            </w:pPr>
          </w:p>
          <w:p w14:paraId="71C67D5C" w14:textId="147A96E8" w:rsidR="0085234D" w:rsidRPr="00A422C7" w:rsidRDefault="0085234D" w:rsidP="007102C6">
            <w:pPr>
              <w:pStyle w:val="Tabletext1"/>
            </w:pPr>
            <w:r w:rsidRPr="00A422C7">
              <w:rPr>
                <w:u w:val="single"/>
              </w:rPr>
              <w:t>Follow-up period</w:t>
            </w:r>
            <w:r w:rsidR="009D0A93" w:rsidRPr="00A422C7">
              <w:t>:</w:t>
            </w:r>
            <w:r w:rsidR="008C724F" w:rsidRPr="00A422C7">
              <w:t xml:space="preserve"> </w:t>
            </w:r>
            <w:r w:rsidRPr="00A422C7">
              <w:t>12 (n=124) and 18 (n=100) months</w:t>
            </w:r>
          </w:p>
        </w:tc>
        <w:tc>
          <w:tcPr>
            <w:tcW w:w="2526" w:type="dxa"/>
          </w:tcPr>
          <w:p w14:paraId="66C424D6" w14:textId="240B0364" w:rsidR="0085234D" w:rsidRPr="00A422C7" w:rsidRDefault="0085234D" w:rsidP="007102C6">
            <w:pPr>
              <w:pStyle w:val="Tabletext1"/>
            </w:pPr>
            <w:r w:rsidRPr="00A422C7">
              <w:rPr>
                <w:u w:val="single"/>
              </w:rPr>
              <w:t>CRA defined as</w:t>
            </w:r>
            <w:r w:rsidR="009D0A93" w:rsidRPr="00A422C7">
              <w:t>:</w:t>
            </w:r>
            <w:r w:rsidRPr="00A422C7">
              <w:t xml:space="preserve"> having not experienced a period within the six months prior to the follow-up.</w:t>
            </w:r>
          </w:p>
          <w:p w14:paraId="0DC60DAC" w14:textId="77777777" w:rsidR="0085234D" w:rsidRPr="00A422C7" w:rsidRDefault="0085234D" w:rsidP="007102C6">
            <w:pPr>
              <w:pStyle w:val="Tabletext1"/>
              <w:rPr>
                <w:u w:val="single"/>
              </w:rPr>
            </w:pPr>
          </w:p>
          <w:p w14:paraId="0207307E" w14:textId="3D91A1AB" w:rsidR="0085234D" w:rsidRPr="00A422C7" w:rsidRDefault="0085234D" w:rsidP="007102C6">
            <w:pPr>
              <w:pStyle w:val="Tabletext1"/>
            </w:pPr>
            <w:r w:rsidRPr="00A422C7">
              <w:rPr>
                <w:u w:val="single"/>
              </w:rPr>
              <w:t>Outcomes</w:t>
            </w:r>
            <w:r w:rsidR="009D0A93" w:rsidRPr="00A422C7">
              <w:t>:</w:t>
            </w:r>
          </w:p>
          <w:p w14:paraId="68DBFD4E" w14:textId="77777777" w:rsidR="0085234D" w:rsidRPr="00A422C7" w:rsidRDefault="0085234D" w:rsidP="007102C6">
            <w:pPr>
              <w:pStyle w:val="Tabletext1"/>
            </w:pPr>
            <w:r w:rsidRPr="00A422C7">
              <w:t>Univariate predictors of 12 month and 18 month CRA (AMH and age)</w:t>
            </w:r>
          </w:p>
          <w:p w14:paraId="5A9187A2" w14:textId="77777777" w:rsidR="0085234D" w:rsidRPr="00A422C7" w:rsidRDefault="0085234D" w:rsidP="007102C6">
            <w:pPr>
              <w:pStyle w:val="Tabletext1"/>
            </w:pPr>
          </w:p>
          <w:p w14:paraId="1C0D2AB8" w14:textId="4A6EB6E0" w:rsidR="0085234D" w:rsidRPr="00A422C7" w:rsidRDefault="0085234D" w:rsidP="007102C6">
            <w:pPr>
              <w:pStyle w:val="Tabletext1"/>
            </w:pPr>
            <w:r w:rsidRPr="00A422C7">
              <w:t>Multivariate predictors of 12 and 18 month CRA</w:t>
            </w:r>
            <w:r w:rsidR="00E830B2">
              <w:t>.</w:t>
            </w:r>
          </w:p>
        </w:tc>
      </w:tr>
      <w:tr w:rsidR="0085234D" w:rsidRPr="0085234D" w14:paraId="21014CED" w14:textId="77777777" w:rsidTr="000F1B86">
        <w:trPr>
          <w:trHeight w:val="293"/>
        </w:trPr>
        <w:tc>
          <w:tcPr>
            <w:tcW w:w="2302" w:type="dxa"/>
          </w:tcPr>
          <w:p w14:paraId="09E92746" w14:textId="0DB88A6C" w:rsidR="0085234D" w:rsidRPr="00A422C7" w:rsidRDefault="0085234D" w:rsidP="007102C6">
            <w:pPr>
              <w:pStyle w:val="Tabletext1"/>
            </w:pPr>
            <w:r w:rsidRPr="00A422C7">
              <w:t xml:space="preserve">Su et al. </w:t>
            </w:r>
            <w:r w:rsidR="00577E24" w:rsidRPr="00A422C7">
              <w:fldChar w:fldCharType="begin"/>
            </w:r>
            <w:r w:rsidR="00577E24" w:rsidRPr="00A422C7">
              <w:instrText xml:space="preserve"> ADDIN EN.CITE &lt;EndNote&gt;&lt;Cite ExcludeAuth="1"&gt;&lt;Author&gt;Su&lt;/Author&gt;&lt;Year&gt;2014&lt;/Year&gt;&lt;RecNum&gt;333&lt;/RecNum&gt;&lt;IDText&gt;3691-8&lt;/IDText&gt;&lt;DisplayText&gt;(2014)&lt;/DisplayText&gt;&lt;record&gt;&lt;rec-number&gt;333&lt;/rec-number&gt;&lt;foreign-keys&gt;&lt;key app="EN" db-id="s2dftfxw1fvsr1efx58vfvxtvfwzxea0td02" timestamp="1511748097"&gt;333&lt;/key&gt;&lt;/foreign-keys&gt;&lt;ref-type name="Journal Article"&gt;17&lt;/ref-type&gt;&lt;contributors&gt;&lt;authors&gt;&lt;author&gt;Su, H. C.&lt;/author&gt;&lt;author&gt;Haunschild, C.&lt;/author&gt;&lt;author&gt;Chung, K.&lt;/author&gt;&lt;author&gt;Komrokian, S.&lt;/author&gt;&lt;author&gt;Boles, S.&lt;/author&gt;&lt;author&gt;Sammel, M. D.&lt;/author&gt;&lt;author&gt;DeMichele, A.&lt;/author&gt;&lt;/authors&gt;&lt;/contributors&gt;&lt;titles&gt;&lt;title&gt;Prechemotherapy antimullerian hormone, age, and body size predict timing of return of ovarian function in young breast cancer patients&lt;/title&gt;&lt;secondary-title&gt;Cancer&lt;/secondary-title&gt;&lt;/titles&gt;&lt;periodical&gt;&lt;full-title&gt;Cancer&lt;/full-title&gt;&lt;/periodical&gt;&lt;pages&gt;3691-8&lt;/pages&gt;&lt;volume&gt;120&lt;/volume&gt;&lt;number&gt;23&lt;/number&gt;&lt;keywords&gt;&lt;keyword&gt;Anti-Mullerian Hormone&lt;/keyword&gt;&lt;keyword&gt;Cohort Studies&lt;/keyword&gt;&lt;keyword&gt;Follicle Stimulating Hormone&lt;/keyword&gt;&lt;keyword&gt;Breast Neoplasms&lt;/keyword&gt;&lt;/keywords&gt;&lt;dates&gt;&lt;year&gt;2014&lt;/year&gt;&lt;pub-dates&gt;&lt;date&gt;2014-1-1&lt;/date&gt;&lt;/pub-dates&gt;&lt;/dates&gt;&lt;accession-num&gt;rayyan-6678837&lt;/accession-num&gt;&lt;urls&gt;&lt;related-urls&gt;&lt;url&gt;http://onlinelibrary.wiley.com/store/10.1002/cncr.28942/asset/cncr28942.pdf?v=1&amp;amp;t=j5nitqx5&amp;amp;s=0d95d344c5a7464c1d4a85a07eacb6e8d96e10f6&lt;/url&gt;&lt;/related-urls&gt;&lt;/urls&gt;&lt;custom1&gt;RAYYAN-INCLUSION: {&amp;quot;Sharon&amp;quot;=&amp;gt;true}&lt;/custom1&gt;&lt;language&gt;eng&lt;/language&gt;&lt;/record&gt;&lt;/Cite&gt;&lt;/EndNote&gt;</w:instrText>
            </w:r>
            <w:r w:rsidR="00577E24" w:rsidRPr="00A422C7">
              <w:fldChar w:fldCharType="separate"/>
            </w:r>
            <w:r w:rsidR="00577E24" w:rsidRPr="00A422C7">
              <w:rPr>
                <w:noProof/>
              </w:rPr>
              <w:t>(</w:t>
            </w:r>
            <w:hyperlink w:anchor="_ENREF_63" w:tooltip="Su, 2014 #333" w:history="1">
              <w:r w:rsidR="00835BA6" w:rsidRPr="00A422C7">
                <w:rPr>
                  <w:noProof/>
                </w:rPr>
                <w:t>2014</w:t>
              </w:r>
            </w:hyperlink>
            <w:r w:rsidR="00577E24" w:rsidRPr="00A422C7">
              <w:rPr>
                <w:noProof/>
              </w:rPr>
              <w:t>)</w:t>
            </w:r>
            <w:r w:rsidR="00577E24" w:rsidRPr="00A422C7">
              <w:fldChar w:fldCharType="end"/>
            </w:r>
          </w:p>
          <w:p w14:paraId="50944B6C" w14:textId="77777777" w:rsidR="0085234D" w:rsidRPr="00A422C7" w:rsidRDefault="0085234D" w:rsidP="007102C6">
            <w:pPr>
              <w:pStyle w:val="Tabletext1"/>
            </w:pPr>
            <w:r w:rsidRPr="00A422C7">
              <w:lastRenderedPageBreak/>
              <w:t>USA</w:t>
            </w:r>
          </w:p>
          <w:p w14:paraId="641E4167" w14:textId="2886EAD8" w:rsidR="0085234D" w:rsidRPr="00A422C7" w:rsidRDefault="0085234D" w:rsidP="007102C6">
            <w:pPr>
              <w:pStyle w:val="Tabletext1"/>
            </w:pPr>
            <w:r w:rsidRPr="00A422C7">
              <w:rPr>
                <w:u w:val="single"/>
              </w:rPr>
              <w:t>Level</w:t>
            </w:r>
            <w:r w:rsidR="009D0A93" w:rsidRPr="00A422C7">
              <w:t>:</w:t>
            </w:r>
            <w:r w:rsidRPr="00A422C7">
              <w:t xml:space="preserve"> II (prospective study)</w:t>
            </w:r>
          </w:p>
          <w:p w14:paraId="0C7E0D89" w14:textId="2EB491DA" w:rsidR="007518CF" w:rsidRPr="00A422C7" w:rsidRDefault="0085234D" w:rsidP="007102C6">
            <w:pPr>
              <w:pStyle w:val="Tabletext1"/>
            </w:pPr>
            <w:r w:rsidRPr="00A422C7">
              <w:rPr>
                <w:u w:val="single"/>
              </w:rPr>
              <w:t>Quality</w:t>
            </w:r>
            <w:r w:rsidR="009D0A93" w:rsidRPr="00A422C7">
              <w:t>:</w:t>
            </w:r>
          </w:p>
          <w:p w14:paraId="1B835A86" w14:textId="3E27809E" w:rsidR="0085234D" w:rsidRPr="00A422C7" w:rsidRDefault="0085234D" w:rsidP="007102C6">
            <w:pPr>
              <w:pStyle w:val="Tabletext1"/>
            </w:pPr>
            <w:r w:rsidRPr="00A422C7">
              <w:t>Low risk of bias</w:t>
            </w:r>
          </w:p>
        </w:tc>
        <w:tc>
          <w:tcPr>
            <w:tcW w:w="2766" w:type="dxa"/>
          </w:tcPr>
          <w:p w14:paraId="193499ED" w14:textId="6692B027" w:rsidR="0085234D" w:rsidRPr="00A422C7" w:rsidRDefault="0085234D" w:rsidP="007102C6">
            <w:pPr>
              <w:pStyle w:val="Tabletext1"/>
            </w:pPr>
            <w:r w:rsidRPr="00A422C7">
              <w:rPr>
                <w:u w:val="single"/>
              </w:rPr>
              <w:lastRenderedPageBreak/>
              <w:t>Population</w:t>
            </w:r>
            <w:r w:rsidR="009D0A93" w:rsidRPr="00A422C7">
              <w:t>:</w:t>
            </w:r>
            <w:r w:rsidRPr="00A422C7">
              <w:t xml:space="preserve"> N</w:t>
            </w:r>
            <w:r w:rsidR="00EB382C" w:rsidRPr="00A422C7">
              <w:t>=</w:t>
            </w:r>
            <w:r w:rsidRPr="00A422C7">
              <w:t xml:space="preserve">109 women with </w:t>
            </w:r>
            <w:r w:rsidRPr="00A422C7">
              <w:lastRenderedPageBreak/>
              <w:t>breast cancer and at least 3 months of amenorrhea with chemotherapy</w:t>
            </w:r>
          </w:p>
          <w:p w14:paraId="6EAF5FEB" w14:textId="77777777" w:rsidR="0085234D" w:rsidRPr="00A422C7" w:rsidRDefault="0085234D" w:rsidP="007102C6">
            <w:pPr>
              <w:pStyle w:val="Tabletext1"/>
            </w:pPr>
          </w:p>
          <w:p w14:paraId="58FFB45A" w14:textId="31FFCA20" w:rsidR="0085234D" w:rsidRPr="00A422C7" w:rsidRDefault="0085234D" w:rsidP="007102C6">
            <w:pPr>
              <w:pStyle w:val="Tabletext1"/>
            </w:pPr>
            <w:r w:rsidRPr="00A422C7">
              <w:rPr>
                <w:u w:val="single"/>
              </w:rPr>
              <w:t>Treatment</w:t>
            </w:r>
            <w:r w:rsidR="009D0A93" w:rsidRPr="00A422C7">
              <w:t>:</w:t>
            </w:r>
            <w:r w:rsidRPr="00A422C7">
              <w:t xml:space="preserve"> chemotherapy</w:t>
            </w:r>
            <w:r w:rsidR="00E830B2">
              <w:t>.</w:t>
            </w:r>
          </w:p>
        </w:tc>
        <w:tc>
          <w:tcPr>
            <w:tcW w:w="3074" w:type="dxa"/>
          </w:tcPr>
          <w:p w14:paraId="64B6D5CE" w14:textId="578D298A" w:rsidR="0085234D" w:rsidRPr="00A422C7" w:rsidRDefault="0085234D" w:rsidP="007102C6">
            <w:pPr>
              <w:pStyle w:val="Tabletext1"/>
            </w:pPr>
            <w:r w:rsidRPr="00A422C7">
              <w:rPr>
                <w:u w:val="single"/>
              </w:rPr>
              <w:lastRenderedPageBreak/>
              <w:t>Objective</w:t>
            </w:r>
            <w:r w:rsidR="009D0A93" w:rsidRPr="00A422C7">
              <w:t>:</w:t>
            </w:r>
            <w:r w:rsidRPr="00A422C7">
              <w:rPr>
                <w:i/>
              </w:rPr>
              <w:t xml:space="preserve"> </w:t>
            </w:r>
            <w:r w:rsidRPr="00A422C7">
              <w:t xml:space="preserve">To examine the association </w:t>
            </w:r>
            <w:r w:rsidRPr="00A422C7">
              <w:lastRenderedPageBreak/>
              <w:t>of pre</w:t>
            </w:r>
            <w:r w:rsidR="00415491">
              <w:t>-chemotherapy</w:t>
            </w:r>
            <w:r w:rsidRPr="00A422C7">
              <w:t xml:space="preserve"> AMH, FSH and inhibin B levels with the timing of post</w:t>
            </w:r>
            <w:r w:rsidR="00415491">
              <w:t>-chemotherapy</w:t>
            </w:r>
            <w:r w:rsidRPr="00A422C7">
              <w:t xml:space="preserve"> ovarian function in young women with breast cancer, and to generate a prognostic score for ovarian recovery.</w:t>
            </w:r>
          </w:p>
          <w:p w14:paraId="55353C5E" w14:textId="77777777" w:rsidR="0085234D" w:rsidRPr="00A422C7" w:rsidRDefault="0085234D" w:rsidP="007102C6">
            <w:pPr>
              <w:pStyle w:val="Tabletext1"/>
              <w:rPr>
                <w:u w:val="single"/>
              </w:rPr>
            </w:pPr>
          </w:p>
          <w:p w14:paraId="7659B7A3" w14:textId="4967C86B" w:rsidR="0085234D" w:rsidRPr="00A422C7" w:rsidRDefault="0085234D" w:rsidP="007102C6">
            <w:pPr>
              <w:pStyle w:val="Tabletext1"/>
            </w:pPr>
            <w:r w:rsidRPr="00A422C7">
              <w:rPr>
                <w:u w:val="single"/>
              </w:rPr>
              <w:t>Inclusion criteria</w:t>
            </w:r>
            <w:r w:rsidR="009D0A93" w:rsidRPr="00A422C7">
              <w:t>:</w:t>
            </w:r>
            <w:r w:rsidRPr="00A422C7">
              <w:t xml:space="preserve"> ag</w:t>
            </w:r>
            <w:r w:rsidR="008C724F" w:rsidRPr="00A422C7">
              <w:t>ed 18–</w:t>
            </w:r>
            <w:r w:rsidRPr="00A422C7">
              <w:t>45 years, diagnosed with ear</w:t>
            </w:r>
            <w:r w:rsidR="008C724F" w:rsidRPr="00A422C7">
              <w:t>ly stage breast cancer (stage I–</w:t>
            </w:r>
            <w:r w:rsidRPr="00A422C7">
              <w:t>III), had a uterus and at least one ovary, and reported at least one menses over the previous 12 months. Patients had to have received chemotherapy and experienced secondary amenorrhea with chemotherapy.</w:t>
            </w:r>
          </w:p>
          <w:p w14:paraId="6AE6F215" w14:textId="2E596308" w:rsidR="0085234D" w:rsidRPr="00A422C7" w:rsidRDefault="0085234D" w:rsidP="007102C6">
            <w:pPr>
              <w:pStyle w:val="Tabletext1"/>
            </w:pPr>
            <w:r w:rsidRPr="00A422C7">
              <w:rPr>
                <w:u w:val="single"/>
              </w:rPr>
              <w:t>Exclusion criteria</w:t>
            </w:r>
            <w:r w:rsidR="009D0A93" w:rsidRPr="00A422C7">
              <w:t>:</w:t>
            </w:r>
            <w:r w:rsidRPr="00A422C7">
              <w:t xml:space="preserve"> Pregnancy, breast feeding, use of psychotropic drugs known to impact ovulation, and history of prior cancer, ch</w:t>
            </w:r>
            <w:r w:rsidR="008C724F" w:rsidRPr="00A422C7">
              <w:t>emotherapy or pelvic radiation.</w:t>
            </w:r>
          </w:p>
        </w:tc>
        <w:tc>
          <w:tcPr>
            <w:tcW w:w="4458" w:type="dxa"/>
          </w:tcPr>
          <w:p w14:paraId="38E1F1DC" w14:textId="77777777" w:rsidR="0085234D" w:rsidRPr="00A422C7" w:rsidRDefault="0085234D" w:rsidP="007102C6">
            <w:pPr>
              <w:pStyle w:val="Tabletext1"/>
            </w:pPr>
            <w:r w:rsidRPr="00A422C7">
              <w:rPr>
                <w:u w:val="single"/>
              </w:rPr>
              <w:lastRenderedPageBreak/>
              <w:t>Test characteristics</w:t>
            </w:r>
            <w:r w:rsidRPr="00A422C7">
              <w:t xml:space="preserve">: AMH was measured using the AMH </w:t>
            </w:r>
            <w:r w:rsidRPr="00A422C7">
              <w:lastRenderedPageBreak/>
              <w:t>enzyme-linked immunosorbent</w:t>
            </w:r>
          </w:p>
          <w:p w14:paraId="4F0863DB" w14:textId="77777777" w:rsidR="0085234D" w:rsidRPr="00A422C7" w:rsidRDefault="0085234D" w:rsidP="007102C6">
            <w:pPr>
              <w:pStyle w:val="Tabletext1"/>
            </w:pPr>
            <w:r w:rsidRPr="00A422C7">
              <w:t>assay kit, which has a limit of detectability of 0.17 ng/mL (AMH Gen II assay; Beckman Coulter Inc., Brea, Calif)</w:t>
            </w:r>
            <w:r w:rsidRPr="00A422C7">
              <w:tab/>
            </w:r>
          </w:p>
          <w:p w14:paraId="0FEBA7B9" w14:textId="77777777" w:rsidR="0085234D" w:rsidRPr="00A422C7" w:rsidRDefault="0085234D" w:rsidP="007102C6">
            <w:pPr>
              <w:pStyle w:val="Tabletext1"/>
              <w:rPr>
                <w:u w:val="single"/>
              </w:rPr>
            </w:pPr>
          </w:p>
          <w:p w14:paraId="76BE0395" w14:textId="6A5B0DB3" w:rsidR="007518CF" w:rsidRPr="00A422C7" w:rsidRDefault="0085234D" w:rsidP="007102C6">
            <w:pPr>
              <w:pStyle w:val="Tabletext1"/>
            </w:pPr>
            <w:r w:rsidRPr="00A422C7">
              <w:rPr>
                <w:u w:val="single"/>
              </w:rPr>
              <w:t>Comparator</w:t>
            </w:r>
            <w:r w:rsidR="009D0A93" w:rsidRPr="00A422C7">
              <w:t>:</w:t>
            </w:r>
          </w:p>
          <w:p w14:paraId="0A5DBB33" w14:textId="2F5E576B" w:rsidR="0085234D" w:rsidRPr="00A422C7" w:rsidRDefault="0085234D" w:rsidP="007102C6">
            <w:pPr>
              <w:pStyle w:val="Tabletext1"/>
            </w:pPr>
            <w:r w:rsidRPr="00A422C7">
              <w:t>FSH was measured by direct immunochemiluminometric assay using the automated Immulite system (Siemens Medical Solutions, Los Angeles, Calif)</w:t>
            </w:r>
          </w:p>
          <w:p w14:paraId="48E355FD" w14:textId="77777777" w:rsidR="0085234D" w:rsidRPr="00A422C7" w:rsidRDefault="0085234D" w:rsidP="007102C6">
            <w:pPr>
              <w:pStyle w:val="Tabletext1"/>
            </w:pPr>
            <w:r w:rsidRPr="00A422C7">
              <w:t>E2 was measured by radioimmunoassay after an organic solvent extraction step and had a limit of detectability of 3 pg/mL.</w:t>
            </w:r>
          </w:p>
          <w:p w14:paraId="5466A92B" w14:textId="77844C15" w:rsidR="0085234D" w:rsidRPr="00A422C7" w:rsidRDefault="0085234D" w:rsidP="007102C6">
            <w:pPr>
              <w:pStyle w:val="Tabletext1"/>
            </w:pPr>
            <w:r w:rsidRPr="00A422C7">
              <w:t xml:space="preserve">Inhibin B assays used a monoclonal, 2-site </w:t>
            </w:r>
            <w:r w:rsidR="00776418">
              <w:t>ELISA</w:t>
            </w:r>
            <w:r w:rsidRPr="00A422C7">
              <w:t xml:space="preserve"> with a limit of detectability of 9.4 pg/mL (Diagnostic Systems Laboratories, Webster, Tex).</w:t>
            </w:r>
          </w:p>
          <w:p w14:paraId="0174C3CC" w14:textId="0E32C25A" w:rsidR="0085234D" w:rsidRPr="00A422C7" w:rsidRDefault="0085234D" w:rsidP="007102C6">
            <w:pPr>
              <w:pStyle w:val="Tabletext1"/>
            </w:pPr>
            <w:r w:rsidRPr="00A422C7">
              <w:t>Inter</w:t>
            </w:r>
            <w:r w:rsidR="00916047">
              <w:t>-assay</w:t>
            </w:r>
            <w:r w:rsidRPr="00A422C7">
              <w:t xml:space="preserve"> </w:t>
            </w:r>
            <w:r w:rsidR="00205BD5">
              <w:t>CoV</w:t>
            </w:r>
            <w:r w:rsidRPr="00A422C7">
              <w:t xml:space="preserve"> were &lt;10% for all assays.</w:t>
            </w:r>
          </w:p>
          <w:p w14:paraId="77880F2B" w14:textId="77777777" w:rsidR="0085234D" w:rsidRPr="00A422C7" w:rsidRDefault="0085234D" w:rsidP="007102C6">
            <w:pPr>
              <w:pStyle w:val="Tabletext1"/>
              <w:rPr>
                <w:u w:val="single"/>
              </w:rPr>
            </w:pPr>
          </w:p>
          <w:p w14:paraId="39BAEF51" w14:textId="5A672123" w:rsidR="0085234D" w:rsidRPr="00A422C7" w:rsidRDefault="0085234D" w:rsidP="007102C6">
            <w:pPr>
              <w:pStyle w:val="Tabletext1"/>
            </w:pPr>
            <w:r w:rsidRPr="00A422C7">
              <w:rPr>
                <w:u w:val="single"/>
              </w:rPr>
              <w:t>Analysis</w:t>
            </w:r>
            <w:r w:rsidR="009D0A93" w:rsidRPr="00A422C7">
              <w:t>:</w:t>
            </w:r>
            <w:r w:rsidRPr="00A422C7">
              <w:t xml:space="preserve"> Time-to-event methods were used. Kaplan-Meier survival curves were generated, and the time to return of menses was compared according to baseline </w:t>
            </w:r>
            <w:r w:rsidR="008C724F" w:rsidRPr="00A422C7">
              <w:t>c</w:t>
            </w:r>
            <w:r w:rsidRPr="00A422C7">
              <w:t>haracteristics using log</w:t>
            </w:r>
            <w:r w:rsidR="00916047">
              <w:t xml:space="preserve"> </w:t>
            </w:r>
            <w:r w:rsidRPr="00A422C7">
              <w:t>rank tests. A Cox proportional-hazards regression model was developed to examine predictors of return of ovarian function and to control for c</w:t>
            </w:r>
            <w:r w:rsidR="008C724F" w:rsidRPr="00A422C7">
              <w:t>onfounding. All variables with p</w:t>
            </w:r>
            <w:r w:rsidRPr="00A422C7">
              <w:t>&lt;</w:t>
            </w:r>
            <w:r w:rsidR="008C724F" w:rsidRPr="00A422C7">
              <w:t>0</w:t>
            </w:r>
            <w:r w:rsidRPr="00A422C7">
              <w:t xml:space="preserve">.05 based on the Wald test from univariate analysis and known potential </w:t>
            </w:r>
            <w:r w:rsidR="008C724F" w:rsidRPr="00A422C7">
              <w:t>confounders (body mass index</w:t>
            </w:r>
            <w:r w:rsidRPr="00A422C7">
              <w:t>, race, chemotherapy regimen, and tamoxifen) were included in the multivariable model.</w:t>
            </w:r>
          </w:p>
          <w:p w14:paraId="537BBDD5" w14:textId="77777777" w:rsidR="0085234D" w:rsidRPr="00A422C7" w:rsidRDefault="0085234D" w:rsidP="007102C6">
            <w:pPr>
              <w:pStyle w:val="Tabletext1"/>
              <w:rPr>
                <w:b/>
                <w:u w:val="single"/>
              </w:rPr>
            </w:pPr>
          </w:p>
          <w:p w14:paraId="4D2E7230" w14:textId="0A31475E" w:rsidR="0085234D" w:rsidRPr="00A422C7" w:rsidRDefault="0085234D" w:rsidP="007102C6">
            <w:pPr>
              <w:pStyle w:val="Tabletext1"/>
            </w:pPr>
            <w:r w:rsidRPr="00A422C7">
              <w:rPr>
                <w:u w:val="single"/>
              </w:rPr>
              <w:t>Follow-up period</w:t>
            </w:r>
            <w:r w:rsidR="009D0A93" w:rsidRPr="00A422C7">
              <w:t>:</w:t>
            </w:r>
            <w:r w:rsidR="008C724F" w:rsidRPr="00A422C7">
              <w:t xml:space="preserve"> median follow-up was 163 days (range 4–</w:t>
            </w:r>
            <w:r w:rsidRPr="00A422C7">
              <w:t>1009 days) after chemotherapy</w:t>
            </w:r>
          </w:p>
        </w:tc>
        <w:tc>
          <w:tcPr>
            <w:tcW w:w="2526" w:type="dxa"/>
          </w:tcPr>
          <w:p w14:paraId="09DF852A" w14:textId="230DD3C1" w:rsidR="0085234D" w:rsidRPr="00A422C7" w:rsidRDefault="0085234D" w:rsidP="007102C6">
            <w:pPr>
              <w:pStyle w:val="Tabletext1"/>
            </w:pPr>
            <w:r w:rsidRPr="00A422C7">
              <w:rPr>
                <w:u w:val="single"/>
              </w:rPr>
              <w:lastRenderedPageBreak/>
              <w:t xml:space="preserve">Return of ovarian function was </w:t>
            </w:r>
            <w:r w:rsidRPr="00A422C7">
              <w:rPr>
                <w:u w:val="single"/>
              </w:rPr>
              <w:lastRenderedPageBreak/>
              <w:t>defined as</w:t>
            </w:r>
            <w:r w:rsidR="009D0A93" w:rsidRPr="00A422C7">
              <w:t>:</w:t>
            </w:r>
            <w:r w:rsidRPr="00A422C7">
              <w:t xml:space="preserve"> from the end</w:t>
            </w:r>
            <w:r w:rsidR="002E5D5E">
              <w:t>-</w:t>
            </w:r>
            <w:r w:rsidRPr="00A422C7">
              <w:t>of</w:t>
            </w:r>
            <w:r w:rsidR="002E5D5E">
              <w:t>-</w:t>
            </w:r>
            <w:r w:rsidRPr="00A422C7">
              <w:t>chemotherapy treatment to the first episode of vaginal bleeding.</w:t>
            </w:r>
          </w:p>
          <w:p w14:paraId="5F045B0C" w14:textId="77777777" w:rsidR="0085234D" w:rsidRPr="00A422C7" w:rsidRDefault="0085234D" w:rsidP="007102C6">
            <w:pPr>
              <w:pStyle w:val="Tabletext1"/>
              <w:rPr>
                <w:u w:val="single"/>
              </w:rPr>
            </w:pPr>
          </w:p>
          <w:p w14:paraId="4525BD71" w14:textId="580516AD" w:rsidR="0085234D" w:rsidRPr="00A422C7" w:rsidRDefault="0085234D" w:rsidP="007102C6">
            <w:pPr>
              <w:pStyle w:val="Tabletext1"/>
            </w:pPr>
            <w:r w:rsidRPr="00A422C7">
              <w:rPr>
                <w:u w:val="single"/>
              </w:rPr>
              <w:t>Outcomes</w:t>
            </w:r>
            <w:r w:rsidR="009D0A93" w:rsidRPr="00A422C7">
              <w:t>:</w:t>
            </w:r>
          </w:p>
          <w:p w14:paraId="73086D7E" w14:textId="7E954654" w:rsidR="007518CF" w:rsidRPr="00A422C7" w:rsidRDefault="0085234D" w:rsidP="007102C6">
            <w:pPr>
              <w:pStyle w:val="Tabletext1"/>
            </w:pPr>
            <w:r w:rsidRPr="00A422C7">
              <w:t>Pre</w:t>
            </w:r>
            <w:r w:rsidR="00415491">
              <w:t>-chemotherapy</w:t>
            </w:r>
            <w:r w:rsidRPr="00A422C7">
              <w:t xml:space="preserve"> levels of AMH, FSH, </w:t>
            </w:r>
            <w:r w:rsidR="003C2616" w:rsidRPr="00A422C7">
              <w:t>inhibin B</w:t>
            </w:r>
            <w:r w:rsidRPr="00A422C7">
              <w:t xml:space="preserve"> and </w:t>
            </w:r>
            <w:r w:rsidR="003C2616" w:rsidRPr="00A422C7">
              <w:t>estradiol</w:t>
            </w:r>
            <w:r w:rsidRPr="00A422C7">
              <w:t xml:space="preserve"> and unadjusted HRs of return of ovarian function</w:t>
            </w:r>
          </w:p>
          <w:p w14:paraId="0984F8E5" w14:textId="729C58D2" w:rsidR="0085234D" w:rsidRPr="00A422C7" w:rsidRDefault="0085234D" w:rsidP="007102C6">
            <w:pPr>
              <w:pStyle w:val="Tabletext1"/>
            </w:pPr>
          </w:p>
          <w:p w14:paraId="4D4D13E6" w14:textId="55EB16FB" w:rsidR="0085234D" w:rsidRPr="00A422C7" w:rsidRDefault="0085234D" w:rsidP="007102C6">
            <w:pPr>
              <w:pStyle w:val="Tabletext1"/>
            </w:pPr>
            <w:r w:rsidRPr="00A422C7">
              <w:t xml:space="preserve">Multivariable model of time to return of ovarian function (adjusted </w:t>
            </w:r>
            <w:r w:rsidR="00E830B2">
              <w:t>HRs).</w:t>
            </w:r>
            <w:r w:rsidRPr="00A422C7">
              <w:t xml:space="preserve"> </w:t>
            </w:r>
          </w:p>
        </w:tc>
      </w:tr>
      <w:tr w:rsidR="0085234D" w:rsidRPr="0085234D" w14:paraId="7200594E" w14:textId="77777777" w:rsidTr="000F1B86">
        <w:trPr>
          <w:trHeight w:val="293"/>
        </w:trPr>
        <w:tc>
          <w:tcPr>
            <w:tcW w:w="2302" w:type="dxa"/>
          </w:tcPr>
          <w:p w14:paraId="49F0E8ED" w14:textId="5A8AE203" w:rsidR="0085234D" w:rsidRPr="00A422C7" w:rsidRDefault="0085234D" w:rsidP="007102C6">
            <w:pPr>
              <w:pStyle w:val="Tabletext1"/>
            </w:pPr>
            <w:r w:rsidRPr="00A422C7">
              <w:lastRenderedPageBreak/>
              <w:t xml:space="preserve">Su et al. </w:t>
            </w:r>
            <w:r w:rsidR="00577E24" w:rsidRPr="00A422C7">
              <w:fldChar w:fldCharType="begin"/>
            </w:r>
            <w:r w:rsidR="00577E24" w:rsidRPr="00A422C7">
              <w:instrText xml:space="preserve"> ADDIN EN.CITE &lt;EndNote&gt;&lt;Cite ExcludeAuth="1"&gt;&lt;Author&gt;Su&lt;/Author&gt;&lt;Year&gt;2010&lt;/Year&gt;&lt;RecNum&gt;336&lt;/RecNum&gt;&lt;IDText&gt;592-9&lt;/IDText&gt;&lt;DisplayText&gt;(2010)&lt;/DisplayText&gt;&lt;record&gt;&lt;rec-number&gt;336&lt;/rec-number&gt;&lt;foreign-keys&gt;&lt;key app="EN" db-id="s2dftfxw1fvsr1efx58vfvxtvfwzxea0td02" timestamp="1511748097"&gt;336&lt;/key&gt;&lt;/foreign-keys&gt;&lt;ref-type name="Journal Article"&gt;17&lt;/ref-type&gt;&lt;contributors&gt;&lt;authors&gt;&lt;author&gt;Su, H. I.&lt;/author&gt;&lt;author&gt;Sammel, M. D.&lt;/author&gt;&lt;author&gt;Green, J.&lt;/author&gt;&lt;author&gt;Velders, L.&lt;/author&gt;&lt;author&gt;Stankiewicz, C.&lt;/author&gt;&lt;author&gt;Matro, J.&lt;/author&gt;&lt;author&gt;Freeman, E. W.&lt;/author&gt;&lt;author&gt;Gracia, C. R.&lt;/author&gt;&lt;author&gt;DeMichele, A.&lt;/author&gt;&lt;/authors&gt;&lt;/contributors&gt;&lt;titles&gt;&lt;title&gt;Antimullerian hormone and inhibin B are hormone measures of ovarian function in late reproductive-aged breast cancer survivors&lt;/title&gt;&lt;secondary-title&gt;Cancer&lt;/secondary-title&gt;&lt;/titles&gt;&lt;periodical&gt;&lt;full-title&gt;Cancer&lt;/full-title&gt;&lt;/periodical&gt;&lt;pages&gt;592-9&lt;/pages&gt;&lt;volume&gt;116&lt;/volume&gt;&lt;number&gt;3&lt;/number&gt;&lt;keywords&gt;&lt;keyword&gt;Anti-Mullerian Hormone&lt;/keyword&gt;&lt;keyword&gt;Biological Markers&lt;/keyword&gt;&lt;keyword&gt;Survivors&lt;/keyword&gt;&lt;keyword&gt;Aged&lt;/keyword&gt;&lt;keyword&gt;Aging&lt;/keyword&gt;&lt;keyword&gt;Follicle Stimulating Hormone&lt;/keyword&gt;&lt;keyword&gt;Inhibins&lt;/keyword&gt;&lt;keyword&gt;Breast Neoplasms&lt;/keyword&gt;&lt;/keywords&gt;&lt;dates&gt;&lt;year&gt;2010&lt;/year&gt;&lt;pub-dates&gt;&lt;date&gt;2010-1-1&lt;/date&gt;&lt;/pub-dates&gt;&lt;/dates&gt;&lt;accession-num&gt;rayyan-6678846&lt;/accession-num&gt;&lt;urls&gt;&lt;related-urls&gt;&lt;url&gt;http://onlinelibrary.wiley.com/store/10.1002/cncr.24746/asset/24746_ftp.pdf?v=1&amp;amp;t=j5nityfg&amp;amp;s=e0a3e6eedfde3a24054b72e33174a79f900cf5b1&lt;/url&gt;&lt;/related-urls&gt;&lt;/urls&gt;&lt;custom1&gt;RAYYAN-INCLUSION: {&amp;quot;Sharon&amp;quot;=&amp;gt;true, &amp;quot;Joanne&amp;quot;=&amp;gt;true}&lt;/custom1&gt;&lt;language&gt;eng&lt;/language&gt;&lt;/record&gt;&lt;/Cite&gt;&lt;/EndNote&gt;</w:instrText>
            </w:r>
            <w:r w:rsidR="00577E24" w:rsidRPr="00A422C7">
              <w:fldChar w:fldCharType="separate"/>
            </w:r>
            <w:r w:rsidR="00577E24" w:rsidRPr="00A422C7">
              <w:rPr>
                <w:noProof/>
              </w:rPr>
              <w:t>(</w:t>
            </w:r>
            <w:hyperlink w:anchor="_ENREF_66" w:tooltip="Su, 2010 #336" w:history="1">
              <w:r w:rsidR="00835BA6" w:rsidRPr="00A422C7">
                <w:rPr>
                  <w:noProof/>
                </w:rPr>
                <w:t>2010</w:t>
              </w:r>
            </w:hyperlink>
            <w:r w:rsidR="00577E24" w:rsidRPr="00A422C7">
              <w:rPr>
                <w:noProof/>
              </w:rPr>
              <w:t>)</w:t>
            </w:r>
            <w:r w:rsidR="00577E24" w:rsidRPr="00A422C7">
              <w:fldChar w:fldCharType="end"/>
            </w:r>
          </w:p>
          <w:p w14:paraId="3A24BB38" w14:textId="77777777" w:rsidR="0085234D" w:rsidRPr="00A422C7" w:rsidRDefault="0085234D" w:rsidP="007102C6">
            <w:pPr>
              <w:pStyle w:val="Tabletext1"/>
            </w:pPr>
            <w:r w:rsidRPr="00A422C7">
              <w:lastRenderedPageBreak/>
              <w:t>USA</w:t>
            </w:r>
          </w:p>
          <w:p w14:paraId="0B863A20" w14:textId="0230965A" w:rsidR="007518CF" w:rsidRPr="00A422C7" w:rsidRDefault="0085234D" w:rsidP="007102C6">
            <w:pPr>
              <w:pStyle w:val="Tabletext1"/>
            </w:pPr>
            <w:r w:rsidRPr="00A422C7">
              <w:rPr>
                <w:u w:val="single"/>
              </w:rPr>
              <w:t>Level</w:t>
            </w:r>
            <w:r w:rsidR="009D0A93" w:rsidRPr="00A422C7">
              <w:t>:</w:t>
            </w:r>
            <w:r w:rsidRPr="00A422C7">
              <w:t xml:space="preserve"> IV</w:t>
            </w:r>
          </w:p>
          <w:p w14:paraId="76ABEAE5" w14:textId="59668AF7" w:rsidR="007518CF" w:rsidRPr="00A422C7" w:rsidRDefault="0085234D" w:rsidP="007102C6">
            <w:pPr>
              <w:pStyle w:val="Tabletext1"/>
            </w:pPr>
            <w:r w:rsidRPr="00A422C7">
              <w:rPr>
                <w:u w:val="single"/>
              </w:rPr>
              <w:t>Quality</w:t>
            </w:r>
            <w:r w:rsidR="009D0A93" w:rsidRPr="00A422C7">
              <w:t>:</w:t>
            </w:r>
          </w:p>
          <w:p w14:paraId="4800F2E0" w14:textId="37709FB6" w:rsidR="0085234D" w:rsidRPr="00A422C7" w:rsidRDefault="0085234D" w:rsidP="007102C6">
            <w:pPr>
              <w:pStyle w:val="Tabletext1"/>
            </w:pPr>
            <w:r w:rsidRPr="00A422C7">
              <w:t>Low risk of bias</w:t>
            </w:r>
          </w:p>
        </w:tc>
        <w:tc>
          <w:tcPr>
            <w:tcW w:w="2766" w:type="dxa"/>
          </w:tcPr>
          <w:p w14:paraId="6772446E" w14:textId="147385D6" w:rsidR="0085234D" w:rsidRPr="00A422C7" w:rsidRDefault="0085234D" w:rsidP="007102C6">
            <w:pPr>
              <w:pStyle w:val="Tabletext1"/>
            </w:pPr>
            <w:r w:rsidRPr="00A422C7">
              <w:rPr>
                <w:u w:val="single"/>
              </w:rPr>
              <w:lastRenderedPageBreak/>
              <w:t>Population</w:t>
            </w:r>
            <w:r w:rsidR="009D0A93" w:rsidRPr="00A422C7">
              <w:t>:</w:t>
            </w:r>
            <w:r w:rsidRPr="00A422C7">
              <w:t xml:space="preserve"> 127 post</w:t>
            </w:r>
            <w:r w:rsidR="00A422C7" w:rsidRPr="00A422C7">
              <w:t>-</w:t>
            </w:r>
            <w:r w:rsidRPr="00A422C7">
              <w:t xml:space="preserve">chemotherapy </w:t>
            </w:r>
            <w:r w:rsidRPr="00A422C7">
              <w:lastRenderedPageBreak/>
              <w:t>breast cancer survivors</w:t>
            </w:r>
          </w:p>
          <w:p w14:paraId="25B80DA0" w14:textId="68BB3198" w:rsidR="0085234D" w:rsidRPr="00A422C7" w:rsidRDefault="0085234D" w:rsidP="007102C6">
            <w:pPr>
              <w:pStyle w:val="Tabletext1"/>
            </w:pPr>
            <w:r w:rsidRPr="00A422C7">
              <w:t>Median age at initiation of c</w:t>
            </w:r>
            <w:r w:rsidR="00A422C7" w:rsidRPr="00A422C7">
              <w:t>hemotherapy (range): 43.2 (26.7–</w:t>
            </w:r>
            <w:r w:rsidRPr="00A422C7">
              <w:t>57.8) years</w:t>
            </w:r>
          </w:p>
          <w:p w14:paraId="1B8AB042" w14:textId="77777777" w:rsidR="0085234D" w:rsidRPr="00A422C7" w:rsidRDefault="0085234D" w:rsidP="007102C6">
            <w:pPr>
              <w:pStyle w:val="Tabletext1"/>
            </w:pPr>
          </w:p>
          <w:p w14:paraId="32988EF2" w14:textId="3CF9EFCA" w:rsidR="0085234D" w:rsidRPr="00A422C7" w:rsidRDefault="0085234D" w:rsidP="007102C6">
            <w:pPr>
              <w:pStyle w:val="Tabletext1"/>
            </w:pPr>
            <w:r w:rsidRPr="00A422C7">
              <w:rPr>
                <w:u w:val="single"/>
              </w:rPr>
              <w:t>Treatment</w:t>
            </w:r>
            <w:r w:rsidR="009D0A93" w:rsidRPr="00A422C7">
              <w:t>:</w:t>
            </w:r>
            <w:r w:rsidRPr="00A422C7">
              <w:t xml:space="preserve"> cyclophosphamide-based adjuvant chemotherapy</w:t>
            </w:r>
            <w:r w:rsidR="00E830B2">
              <w:t>.</w:t>
            </w:r>
          </w:p>
        </w:tc>
        <w:tc>
          <w:tcPr>
            <w:tcW w:w="3074" w:type="dxa"/>
          </w:tcPr>
          <w:p w14:paraId="21B0B1E2" w14:textId="250D5B4E" w:rsidR="0085234D" w:rsidRPr="00A422C7" w:rsidRDefault="0085234D" w:rsidP="007102C6">
            <w:pPr>
              <w:pStyle w:val="Tabletext1"/>
            </w:pPr>
            <w:r w:rsidRPr="00A422C7">
              <w:rPr>
                <w:u w:val="single"/>
              </w:rPr>
              <w:lastRenderedPageBreak/>
              <w:t>Objective</w:t>
            </w:r>
            <w:r w:rsidR="009D0A93" w:rsidRPr="00A422C7">
              <w:t>:</w:t>
            </w:r>
            <w:r w:rsidR="00A422C7" w:rsidRPr="00A422C7">
              <w:t xml:space="preserve"> </w:t>
            </w:r>
            <w:r w:rsidRPr="00A422C7">
              <w:t xml:space="preserve">to determine the impact of </w:t>
            </w:r>
            <w:r w:rsidRPr="00A422C7">
              <w:lastRenderedPageBreak/>
              <w:t>breast cancer treatment on hormones, to determine the association between hormones and CRA in cancer survivors, and to examine whether hormones can predict subsequent menstrual patterns in cancer survivors.</w:t>
            </w:r>
          </w:p>
          <w:p w14:paraId="12A4E805" w14:textId="77777777" w:rsidR="0085234D" w:rsidRPr="00A422C7" w:rsidRDefault="0085234D" w:rsidP="007102C6">
            <w:pPr>
              <w:pStyle w:val="Tabletext1"/>
              <w:rPr>
                <w:u w:val="single"/>
              </w:rPr>
            </w:pPr>
          </w:p>
          <w:p w14:paraId="5A6047E1" w14:textId="201C815E" w:rsidR="007518CF" w:rsidRPr="00A422C7" w:rsidRDefault="0085234D" w:rsidP="007102C6">
            <w:pPr>
              <w:pStyle w:val="Tabletext1"/>
            </w:pPr>
            <w:r w:rsidRPr="00A422C7">
              <w:rPr>
                <w:u w:val="single"/>
              </w:rPr>
              <w:t>Inclusion criteria</w:t>
            </w:r>
            <w:r w:rsidR="009D0A93" w:rsidRPr="00A422C7">
              <w:t>:</w:t>
            </w:r>
            <w:r w:rsidR="00A422C7" w:rsidRPr="00A422C7">
              <w:t xml:space="preserve"> Cancer stage I–</w:t>
            </w:r>
            <w:r w:rsidRPr="00A422C7">
              <w:t>III breast cancer, pre</w:t>
            </w:r>
            <w:r w:rsidR="003036C4">
              <w:t>-menopausal</w:t>
            </w:r>
            <w:r w:rsidR="00A422C7" w:rsidRPr="00A422C7">
              <w:t xml:space="preserve"> status at cancer diagnosis, c</w:t>
            </w:r>
            <w:r w:rsidRPr="00A422C7">
              <w:t>yclophosphamide-based adjuvant chemotherapy, the presence of a uterus and at least 1 ovary, initiatio</w:t>
            </w:r>
            <w:r w:rsidR="00A422C7" w:rsidRPr="00A422C7">
              <w:t>n of adjuvant chemotherapy 1–</w:t>
            </w:r>
            <w:r w:rsidRPr="00A422C7">
              <w:t>4 years before enrolment.</w:t>
            </w:r>
          </w:p>
          <w:p w14:paraId="6CAEB14C" w14:textId="71E0E26B" w:rsidR="0085234D" w:rsidRPr="00A422C7" w:rsidRDefault="0085234D" w:rsidP="007102C6">
            <w:pPr>
              <w:pStyle w:val="Tabletext1"/>
            </w:pPr>
            <w:r w:rsidRPr="00A422C7">
              <w:rPr>
                <w:u w:val="single"/>
              </w:rPr>
              <w:t>Exclusion criteria</w:t>
            </w:r>
            <w:r w:rsidR="009D0A93" w:rsidRPr="00A422C7">
              <w:t>:</w:t>
            </w:r>
            <w:r w:rsidR="003C2616" w:rsidRPr="00A422C7">
              <w:t xml:space="preserve"> -</w:t>
            </w:r>
          </w:p>
        </w:tc>
        <w:tc>
          <w:tcPr>
            <w:tcW w:w="4458" w:type="dxa"/>
          </w:tcPr>
          <w:p w14:paraId="04D4AE0B" w14:textId="117C4EA5" w:rsidR="0085234D" w:rsidRPr="00A422C7" w:rsidRDefault="0085234D" w:rsidP="007102C6">
            <w:pPr>
              <w:pStyle w:val="Tabletext1"/>
            </w:pPr>
            <w:r w:rsidRPr="00A422C7">
              <w:rPr>
                <w:u w:val="single"/>
              </w:rPr>
              <w:lastRenderedPageBreak/>
              <w:t>Test characteristics</w:t>
            </w:r>
            <w:r w:rsidRPr="00A422C7">
              <w:t xml:space="preserve">: AMH was assayed using AMH </w:t>
            </w:r>
            <w:r w:rsidR="0076789D">
              <w:t>ELISA</w:t>
            </w:r>
            <w:r w:rsidRPr="00A422C7">
              <w:t xml:space="preserve"> </w:t>
            </w:r>
            <w:r w:rsidRPr="00A422C7">
              <w:lastRenderedPageBreak/>
              <w:t xml:space="preserve">kits (Diagnostic Systems, Webster, Tex). The lower limit of detection for AMH was 25 pg/mL (SI conversion: 1 ng/mL = 7.14 pmol/L), and the intra-assay </w:t>
            </w:r>
            <w:r w:rsidR="00205BD5">
              <w:t>CoV</w:t>
            </w:r>
            <w:r w:rsidRPr="00A422C7">
              <w:t xml:space="preserve"> was 2%.</w:t>
            </w:r>
          </w:p>
          <w:p w14:paraId="6E25922B" w14:textId="77777777" w:rsidR="0085234D" w:rsidRPr="00A422C7" w:rsidRDefault="0085234D" w:rsidP="007102C6">
            <w:pPr>
              <w:pStyle w:val="Tabletext1"/>
              <w:rPr>
                <w:u w:val="single"/>
              </w:rPr>
            </w:pPr>
          </w:p>
          <w:p w14:paraId="6706B1E7" w14:textId="49D0D7A4" w:rsidR="007518CF" w:rsidRPr="00A422C7" w:rsidRDefault="0085234D" w:rsidP="007102C6">
            <w:pPr>
              <w:pStyle w:val="Tabletext1"/>
            </w:pPr>
            <w:r w:rsidRPr="00A422C7">
              <w:rPr>
                <w:u w:val="single"/>
              </w:rPr>
              <w:t>Comparator</w:t>
            </w:r>
            <w:r w:rsidR="009D0A93" w:rsidRPr="00A422C7">
              <w:t>:</w:t>
            </w:r>
          </w:p>
          <w:p w14:paraId="766C6C17" w14:textId="32BA17F1" w:rsidR="0085234D" w:rsidRPr="00A422C7" w:rsidRDefault="0085234D" w:rsidP="007102C6">
            <w:pPr>
              <w:pStyle w:val="Tabletext1"/>
            </w:pPr>
            <w:r w:rsidRPr="00A422C7">
              <w:t xml:space="preserve">Inhibin B was assayed using inhibin B ELISA kits (Diagnostic Systems). The intra-assay and inter-assay </w:t>
            </w:r>
            <w:r w:rsidR="00205BD5">
              <w:t>CoV</w:t>
            </w:r>
            <w:r w:rsidRPr="00A422C7">
              <w:t xml:space="preserve"> were 7.9% and 8.4%, respectively. The lower limit of detection was 5 pg/mL.</w:t>
            </w:r>
          </w:p>
          <w:p w14:paraId="387B9801" w14:textId="21C32B33" w:rsidR="0085234D" w:rsidRPr="00A422C7" w:rsidRDefault="0085234D" w:rsidP="007102C6">
            <w:pPr>
              <w:pStyle w:val="Tabletext1"/>
            </w:pPr>
            <w:r w:rsidRPr="00A422C7">
              <w:t>Estradiol and FSH were measured by radioimmunoassay using Coat-A-Count commercial kits (Diagnostic Products, Los Angeles, Calif). The intra- and inter</w:t>
            </w:r>
            <w:r w:rsidR="00916047">
              <w:t>-assay</w:t>
            </w:r>
            <w:r w:rsidRPr="00A422C7">
              <w:t xml:space="preserve"> </w:t>
            </w:r>
            <w:r w:rsidR="00205BD5">
              <w:t>CoV</w:t>
            </w:r>
            <w:r w:rsidRPr="00A422C7">
              <w:t xml:space="preserve"> were &lt;5%.</w:t>
            </w:r>
          </w:p>
          <w:p w14:paraId="78833CB2" w14:textId="77777777" w:rsidR="0085234D" w:rsidRPr="00A422C7" w:rsidRDefault="0085234D" w:rsidP="007102C6">
            <w:pPr>
              <w:pStyle w:val="Tabletext1"/>
              <w:rPr>
                <w:u w:val="single"/>
              </w:rPr>
            </w:pPr>
          </w:p>
          <w:p w14:paraId="5DBC6CCD" w14:textId="56883FED" w:rsidR="0085234D" w:rsidRPr="00A422C7" w:rsidRDefault="0085234D" w:rsidP="007102C6">
            <w:pPr>
              <w:pStyle w:val="Tabletext1"/>
            </w:pPr>
            <w:r w:rsidRPr="00A422C7">
              <w:rPr>
                <w:u w:val="single"/>
              </w:rPr>
              <w:t>Analysis</w:t>
            </w:r>
            <w:r w:rsidR="009D0A93" w:rsidRPr="00A422C7">
              <w:t>:</w:t>
            </w:r>
            <w:r w:rsidRPr="00A422C7">
              <w:t xml:space="preserve"> the association between </w:t>
            </w:r>
            <w:r w:rsidR="0064098D">
              <w:t>a</w:t>
            </w:r>
            <w:r w:rsidRPr="00A422C7">
              <w:t xml:space="preserve">ssessment 1 hormones and change in CRA status between </w:t>
            </w:r>
            <w:r w:rsidR="0064098D">
              <w:t>a</w:t>
            </w:r>
            <w:r w:rsidRPr="00A422C7">
              <w:t xml:space="preserve">ssessments 1 and 2 in breast cancer subjects was examined using the Student t-test. Assessment 2 CRA status was categorized as ‘‘no change” from </w:t>
            </w:r>
            <w:r w:rsidR="0064098D">
              <w:t>a</w:t>
            </w:r>
            <w:r w:rsidRPr="00A422C7">
              <w:t>ssessment 1 CRA status,’’ ‘‘CRA reversal,’’ or ‘‘CRA progression.’’</w:t>
            </w:r>
          </w:p>
          <w:p w14:paraId="20A6E34B" w14:textId="77777777" w:rsidR="0085234D" w:rsidRPr="00A422C7" w:rsidRDefault="0085234D" w:rsidP="007102C6">
            <w:pPr>
              <w:pStyle w:val="Tabletext1"/>
              <w:rPr>
                <w:b/>
                <w:u w:val="single"/>
              </w:rPr>
            </w:pPr>
          </w:p>
          <w:p w14:paraId="3D6A8086" w14:textId="2DD7ADAB" w:rsidR="0085234D" w:rsidRPr="00A422C7" w:rsidRDefault="0085234D" w:rsidP="007102C6">
            <w:pPr>
              <w:pStyle w:val="Tabletext1"/>
            </w:pPr>
            <w:r w:rsidRPr="00A422C7">
              <w:rPr>
                <w:u w:val="single"/>
              </w:rPr>
              <w:t>Follow-up period</w:t>
            </w:r>
            <w:r w:rsidR="009D0A93" w:rsidRPr="00A422C7">
              <w:t>:</w:t>
            </w:r>
            <w:r w:rsidRPr="00A422C7">
              <w:t xml:space="preserve"> median years of follow-up from initiation of chemotherapy to the first assessment (AMH testing) </w:t>
            </w:r>
            <w:r w:rsidR="00A422C7" w:rsidRPr="00A422C7">
              <w:t>was 2.1 (range 1.0–4.9) Second follow-up was at 2–</w:t>
            </w:r>
            <w:r w:rsidRPr="00A422C7">
              <w:t>7 years after chemotherapy.</w:t>
            </w:r>
          </w:p>
        </w:tc>
        <w:tc>
          <w:tcPr>
            <w:tcW w:w="2526" w:type="dxa"/>
          </w:tcPr>
          <w:p w14:paraId="39D16B13" w14:textId="1D5847F9" w:rsidR="0085234D" w:rsidRPr="00A422C7" w:rsidRDefault="0085234D" w:rsidP="007102C6">
            <w:pPr>
              <w:pStyle w:val="Tabletext1"/>
            </w:pPr>
            <w:r w:rsidRPr="00A422C7">
              <w:rPr>
                <w:u w:val="single"/>
              </w:rPr>
              <w:lastRenderedPageBreak/>
              <w:t>CRA defined as</w:t>
            </w:r>
            <w:r w:rsidR="009D0A93" w:rsidRPr="00A422C7">
              <w:t>:</w:t>
            </w:r>
            <w:r w:rsidR="00A422C7" w:rsidRPr="00A422C7">
              <w:t xml:space="preserve"> </w:t>
            </w:r>
            <w:r w:rsidRPr="00A422C7">
              <w:t xml:space="preserve">menstrual </w:t>
            </w:r>
            <w:r w:rsidRPr="00A422C7">
              <w:lastRenderedPageBreak/>
              <w:t>history and defined as ≥12 months of amenorrhea occurring after start of chemotherapy.</w:t>
            </w:r>
          </w:p>
          <w:p w14:paraId="32057BF0" w14:textId="77777777" w:rsidR="0085234D" w:rsidRPr="00A422C7" w:rsidRDefault="0085234D" w:rsidP="007102C6">
            <w:pPr>
              <w:pStyle w:val="Tabletext1"/>
              <w:rPr>
                <w:u w:val="single"/>
              </w:rPr>
            </w:pPr>
          </w:p>
          <w:p w14:paraId="6D11005A" w14:textId="3DA2C7FC" w:rsidR="007518CF" w:rsidRPr="00A422C7" w:rsidRDefault="0085234D" w:rsidP="007102C6">
            <w:pPr>
              <w:pStyle w:val="Tabletext1"/>
            </w:pPr>
            <w:r w:rsidRPr="00A422C7">
              <w:rPr>
                <w:u w:val="single"/>
              </w:rPr>
              <w:t>Outcomes</w:t>
            </w:r>
            <w:r w:rsidR="009D0A93" w:rsidRPr="00A422C7">
              <w:t>:</w:t>
            </w:r>
          </w:p>
          <w:p w14:paraId="5184E2DF" w14:textId="59F7ABBC" w:rsidR="0085234D" w:rsidRPr="00A422C7" w:rsidRDefault="0085234D" w:rsidP="007102C6">
            <w:pPr>
              <w:pStyle w:val="Tabletext1"/>
            </w:pPr>
            <w:r w:rsidRPr="00A422C7">
              <w:t>Median hormone values in patients with CRA vs hormone values in patients with no CRA on second follow-up</w:t>
            </w:r>
            <w:r w:rsidR="00E830B2">
              <w:t>.</w:t>
            </w:r>
          </w:p>
        </w:tc>
      </w:tr>
      <w:tr w:rsidR="0085234D" w:rsidRPr="0085234D" w14:paraId="52B14E15" w14:textId="77777777" w:rsidTr="000F1B86">
        <w:trPr>
          <w:trHeight w:val="293"/>
        </w:trPr>
        <w:tc>
          <w:tcPr>
            <w:tcW w:w="2302" w:type="dxa"/>
          </w:tcPr>
          <w:p w14:paraId="126EEC71" w14:textId="09D8D9E8" w:rsidR="0085234D" w:rsidRPr="00A422C7" w:rsidRDefault="0085234D" w:rsidP="007102C6">
            <w:pPr>
              <w:pStyle w:val="Tabletext1"/>
            </w:pPr>
            <w:r w:rsidRPr="00A422C7">
              <w:lastRenderedPageBreak/>
              <w:t xml:space="preserve">Yu et al. </w:t>
            </w:r>
            <w:r w:rsidR="00577E24" w:rsidRPr="00A422C7">
              <w:fldChar w:fldCharType="begin"/>
            </w:r>
            <w:r w:rsidR="00577E24" w:rsidRPr="00A422C7">
              <w:instrText xml:space="preserve"> ADDIN EN.CITE &lt;EndNote&gt;&lt;Cite ExcludeAuth="1"&gt;&lt;Author&gt;Yu&lt;/Author&gt;&lt;Year&gt;2010&lt;/Year&gt;&lt;RecNum&gt;374&lt;/RecNum&gt;&lt;IDText&gt;2099-2105&lt;/IDText&gt;&lt;DisplayText&gt;(2010)&lt;/DisplayText&gt;&lt;record&gt;&lt;rec-number&gt;374&lt;/rec-number&gt;&lt;foreign-keys&gt;&lt;key app="EN" db-id="s2dftfxw1fvsr1efx58vfvxtvfwzxea0td02" timestamp="1511748101"&gt;374&lt;/key&gt;&lt;/foreign-keys&gt;&lt;ref-type name="Journal Article"&gt;17&lt;/ref-type&gt;&lt;contributors&gt;&lt;authors&gt;&lt;author&gt;Yu, B.&lt;/author&gt;&lt;author&gt;Douglas, N.&lt;/author&gt;&lt;author&gt;Ferin, M. J.&lt;/author&gt;&lt;author&gt;Nakhuda, G. S.&lt;/author&gt;&lt;author&gt;Crew, K.&lt;/author&gt;&lt;author&gt;Lobo, R. A.&lt;/author&gt;&lt;author&gt;Hershman, D. L.&lt;/author&gt;&lt;/authors&gt;&lt;/contributors&gt;&lt;titles&gt;&lt;title&gt;Changes in markers of ovarian reserve and endocrine function in young women with breast cancer undergoing adjuvant chemotherapy&lt;/title&gt;&lt;secondary-title&gt;Cancer&lt;/secondary-title&gt;&lt;/titles&gt;&lt;periodical&gt;&lt;full-title&gt;Cancer&lt;/full-title&gt;&lt;/periodical&gt;&lt;pages&gt;2099-2105&lt;/pages&gt;&lt;volume&gt;116&lt;/volume&gt;&lt;number&gt;9&lt;/number&gt;&lt;keywords&gt;&lt;keyword&gt;Self-Fertilization&lt;/keyword&gt;&lt;keyword&gt;Amenorrhea&lt;/keyword&gt;&lt;keyword&gt;Premenopause&lt;/keyword&gt;&lt;keyword&gt;Follicle Stimulating Hormone&lt;/keyword&gt;&lt;keyword&gt;Chemotherapy, Adjuvant&lt;/keyword&gt;&lt;keyword&gt;Breast Neoplasms&lt;/keyword&gt;&lt;/keywords&gt;&lt;dates&gt;&lt;year&gt;2010&lt;/year&gt;&lt;pub-dates&gt;&lt;date&gt;2010-1-1&lt;/date&gt;&lt;/pub-dates&gt;&lt;/dates&gt;&lt;accession-num&gt;rayyan-6679843&lt;/accession-num&gt;&lt;urls&gt;&lt;related-urls&gt;&lt;url&gt;http://www.embase.com/search/results?subaction=viewrecord&amp;amp;from=export&amp;amp;id=L358702374 http://dx.doi.org/10.1002/cncr.25037&lt;/url&gt;&lt;url&gt;http://onlinelibrary.wiley.com/store/10.1002/cncr.25037/asset/25037_ftp.pdf?v=1&amp;amp;t=j5niw4b0&amp;amp;s=e7188da725b5a09d82cd60cd3b8e414aa9f13e2c&lt;/url&gt;&lt;/related-urls&gt;&lt;/urls&gt;&lt;custom1&gt;RAYYAN-INCLUSION: {&amp;quot;Sharon&amp;quot;=&amp;gt;true, &amp;quot;Joanne&amp;quot;=&amp;gt;true}&lt;/custom1&gt;&lt;/record&gt;&lt;/Cite&gt;&lt;/EndNote&gt;</w:instrText>
            </w:r>
            <w:r w:rsidR="00577E24" w:rsidRPr="00A422C7">
              <w:fldChar w:fldCharType="separate"/>
            </w:r>
            <w:r w:rsidR="00577E24" w:rsidRPr="00A422C7">
              <w:rPr>
                <w:noProof/>
              </w:rPr>
              <w:t>(</w:t>
            </w:r>
            <w:hyperlink w:anchor="_ENREF_78" w:tooltip="Yu, 2010 #374" w:history="1">
              <w:r w:rsidR="00835BA6" w:rsidRPr="00A422C7">
                <w:rPr>
                  <w:noProof/>
                </w:rPr>
                <w:t>2010</w:t>
              </w:r>
            </w:hyperlink>
            <w:r w:rsidR="00577E24" w:rsidRPr="00A422C7">
              <w:rPr>
                <w:noProof/>
              </w:rPr>
              <w:t>)</w:t>
            </w:r>
            <w:r w:rsidR="00577E24" w:rsidRPr="00A422C7">
              <w:fldChar w:fldCharType="end"/>
            </w:r>
          </w:p>
          <w:p w14:paraId="44715C21" w14:textId="77777777" w:rsidR="0085234D" w:rsidRPr="00A422C7" w:rsidRDefault="0085234D" w:rsidP="007102C6">
            <w:pPr>
              <w:pStyle w:val="Tabletext1"/>
            </w:pPr>
            <w:r w:rsidRPr="00A422C7">
              <w:t>USA</w:t>
            </w:r>
          </w:p>
          <w:p w14:paraId="4BE836DA" w14:textId="0C0FBDEC" w:rsidR="0085234D" w:rsidRPr="00A422C7" w:rsidRDefault="0085234D" w:rsidP="007102C6">
            <w:pPr>
              <w:pStyle w:val="Tabletext1"/>
            </w:pPr>
            <w:r w:rsidRPr="00A422C7">
              <w:rPr>
                <w:u w:val="single"/>
              </w:rPr>
              <w:t>Level</w:t>
            </w:r>
            <w:r w:rsidR="009D0A93" w:rsidRPr="00A422C7">
              <w:t>:</w:t>
            </w:r>
            <w:r w:rsidRPr="00A422C7">
              <w:t xml:space="preserve"> IV</w:t>
            </w:r>
          </w:p>
          <w:p w14:paraId="0D1748C7" w14:textId="39850950" w:rsidR="007518CF" w:rsidRPr="00A422C7" w:rsidRDefault="0085234D" w:rsidP="007102C6">
            <w:pPr>
              <w:pStyle w:val="Tabletext1"/>
            </w:pPr>
            <w:r w:rsidRPr="00A422C7">
              <w:rPr>
                <w:u w:val="single"/>
              </w:rPr>
              <w:t>Quality</w:t>
            </w:r>
            <w:r w:rsidR="009D0A93" w:rsidRPr="00A422C7">
              <w:t>:</w:t>
            </w:r>
          </w:p>
          <w:p w14:paraId="11F885C0" w14:textId="40475F14" w:rsidR="0085234D" w:rsidRPr="00A422C7" w:rsidRDefault="0085234D" w:rsidP="007102C6">
            <w:pPr>
              <w:pStyle w:val="Tabletext1"/>
            </w:pPr>
            <w:r w:rsidRPr="00A422C7">
              <w:t>Moderate risk of bias</w:t>
            </w:r>
          </w:p>
        </w:tc>
        <w:tc>
          <w:tcPr>
            <w:tcW w:w="2766" w:type="dxa"/>
          </w:tcPr>
          <w:p w14:paraId="785A1547" w14:textId="77AC2DCE" w:rsidR="007518CF" w:rsidRPr="00A422C7" w:rsidRDefault="0085234D" w:rsidP="007102C6">
            <w:pPr>
              <w:pStyle w:val="Tabletext1"/>
            </w:pPr>
            <w:r w:rsidRPr="00A422C7">
              <w:rPr>
                <w:u w:val="single"/>
              </w:rPr>
              <w:t>Population</w:t>
            </w:r>
            <w:r w:rsidR="009D0A93" w:rsidRPr="00A422C7">
              <w:t>:</w:t>
            </w:r>
            <w:r w:rsidRPr="00A422C7">
              <w:t xml:space="preserve"> 26 pre</w:t>
            </w:r>
            <w:r w:rsidR="003036C4">
              <w:t>-menopausal</w:t>
            </w:r>
            <w:r w:rsidRPr="00A422C7">
              <w:t xml:space="preserve"> women undergoing adjuvant chemotherapy for early stage breast cancer</w:t>
            </w:r>
          </w:p>
          <w:p w14:paraId="75B53EFA" w14:textId="514FAAD9" w:rsidR="0085234D" w:rsidRPr="00A422C7" w:rsidRDefault="0085234D" w:rsidP="007102C6">
            <w:pPr>
              <w:pStyle w:val="Tabletext1"/>
            </w:pPr>
          </w:p>
          <w:p w14:paraId="453DEE7D" w14:textId="5B70DAC5" w:rsidR="0085234D" w:rsidRPr="00A422C7" w:rsidRDefault="0085234D" w:rsidP="007102C6">
            <w:pPr>
              <w:pStyle w:val="Tabletext1"/>
            </w:pPr>
            <w:r w:rsidRPr="00A422C7">
              <w:rPr>
                <w:u w:val="single"/>
              </w:rPr>
              <w:t>Treatment</w:t>
            </w:r>
            <w:r w:rsidR="009D0A93" w:rsidRPr="00A422C7">
              <w:t>:</w:t>
            </w:r>
            <w:r w:rsidR="00A422C7" w:rsidRPr="00A422C7">
              <w:t xml:space="preserve"> adjuvant chemotherapy</w:t>
            </w:r>
            <w:r w:rsidR="00E830B2">
              <w:t>.</w:t>
            </w:r>
          </w:p>
        </w:tc>
        <w:tc>
          <w:tcPr>
            <w:tcW w:w="3074" w:type="dxa"/>
          </w:tcPr>
          <w:p w14:paraId="73F2FA03" w14:textId="7F120225" w:rsidR="0085234D" w:rsidRPr="00A422C7" w:rsidRDefault="0085234D" w:rsidP="007102C6">
            <w:pPr>
              <w:pStyle w:val="Tabletext1"/>
            </w:pPr>
            <w:r w:rsidRPr="00A422C7">
              <w:rPr>
                <w:u w:val="single"/>
              </w:rPr>
              <w:t>Objective</w:t>
            </w:r>
            <w:r w:rsidR="009D0A93" w:rsidRPr="00A422C7">
              <w:t>:</w:t>
            </w:r>
            <w:r w:rsidRPr="00A422C7">
              <w:t xml:space="preserve"> to evaluate the effect of adjuvant chemotherapy on markers of ovarian reserve and endocrine function in women with breast cancer, and to evaluate the predictive potential of changes in these biomarkers for determining future menstrual status.</w:t>
            </w:r>
          </w:p>
          <w:p w14:paraId="4B6E45AB" w14:textId="77777777" w:rsidR="0085234D" w:rsidRPr="00A422C7" w:rsidRDefault="0085234D" w:rsidP="007102C6">
            <w:pPr>
              <w:pStyle w:val="Tabletext1"/>
              <w:rPr>
                <w:u w:val="single"/>
              </w:rPr>
            </w:pPr>
          </w:p>
          <w:p w14:paraId="60737F45" w14:textId="3DD45746" w:rsidR="0085234D" w:rsidRPr="00A422C7" w:rsidRDefault="0085234D" w:rsidP="007102C6">
            <w:pPr>
              <w:pStyle w:val="Tabletext1"/>
            </w:pPr>
            <w:r w:rsidRPr="00A422C7">
              <w:rPr>
                <w:u w:val="single"/>
              </w:rPr>
              <w:t>Inclusion criteria</w:t>
            </w:r>
            <w:r w:rsidR="009D0A93" w:rsidRPr="00A422C7">
              <w:t>:</w:t>
            </w:r>
            <w:r w:rsidRPr="00A422C7">
              <w:t xml:space="preserve"> enrolled after surgery and before initiation of chemotherapy, aged </w:t>
            </w:r>
            <w:r w:rsidR="003B42B2" w:rsidRPr="00A422C7">
              <w:t>&lt;</w:t>
            </w:r>
            <w:r w:rsidRPr="00A422C7">
              <w:t>40 years</w:t>
            </w:r>
          </w:p>
          <w:p w14:paraId="49E66537" w14:textId="1BDEDC3E" w:rsidR="0085234D" w:rsidRPr="00A422C7" w:rsidRDefault="0085234D" w:rsidP="007102C6">
            <w:pPr>
              <w:pStyle w:val="Tabletext1"/>
            </w:pPr>
            <w:r w:rsidRPr="00A422C7">
              <w:rPr>
                <w:u w:val="single"/>
              </w:rPr>
              <w:t>Exclusion criteria</w:t>
            </w:r>
            <w:r w:rsidR="009D0A93" w:rsidRPr="00A422C7">
              <w:t>:</w:t>
            </w:r>
            <w:r w:rsidR="00A422C7" w:rsidRPr="00A422C7">
              <w:t xml:space="preserve"> -</w:t>
            </w:r>
          </w:p>
        </w:tc>
        <w:tc>
          <w:tcPr>
            <w:tcW w:w="4458" w:type="dxa"/>
          </w:tcPr>
          <w:p w14:paraId="26C5BF15" w14:textId="77777777" w:rsidR="0085234D" w:rsidRPr="00A422C7" w:rsidRDefault="0085234D" w:rsidP="007102C6">
            <w:pPr>
              <w:pStyle w:val="Tabletext1"/>
            </w:pPr>
            <w:r w:rsidRPr="00A422C7">
              <w:rPr>
                <w:u w:val="single"/>
              </w:rPr>
              <w:lastRenderedPageBreak/>
              <w:t>Test characteristics</w:t>
            </w:r>
            <w:r w:rsidRPr="00A422C7">
              <w:t>: AMH was measured using an enzyme-linked immunoadsorbent assay (Diagnostic Systems Laboratories, Inc, Webster, Tex) with sensitivity of 0.05 ng/mL.</w:t>
            </w:r>
          </w:p>
          <w:p w14:paraId="0B4042C7" w14:textId="77777777" w:rsidR="0085234D" w:rsidRPr="00A422C7" w:rsidRDefault="0085234D" w:rsidP="007102C6">
            <w:pPr>
              <w:pStyle w:val="Tabletext1"/>
              <w:rPr>
                <w:u w:val="single"/>
              </w:rPr>
            </w:pPr>
          </w:p>
          <w:p w14:paraId="213C50B1" w14:textId="064705E2" w:rsidR="007518CF" w:rsidRPr="00A422C7" w:rsidRDefault="0085234D" w:rsidP="007102C6">
            <w:pPr>
              <w:pStyle w:val="Tabletext1"/>
            </w:pPr>
            <w:r w:rsidRPr="00A422C7">
              <w:rPr>
                <w:u w:val="single"/>
              </w:rPr>
              <w:t>Comparator</w:t>
            </w:r>
            <w:r w:rsidR="009D0A93" w:rsidRPr="00A422C7">
              <w:t>:</w:t>
            </w:r>
          </w:p>
          <w:p w14:paraId="4D437D57" w14:textId="32EF4BD1" w:rsidR="0085234D" w:rsidRPr="00A422C7" w:rsidRDefault="0085234D" w:rsidP="007102C6">
            <w:pPr>
              <w:pStyle w:val="Tabletext1"/>
            </w:pPr>
            <w:r w:rsidRPr="00A422C7">
              <w:lastRenderedPageBreak/>
              <w:t>E2 was measured using a radioimmunoassay (Siemens Medical Solutions Diagnostics, Los Angeles, Calif) with a sensitivity of 5 pg/mL. FSH was measured using chemiluminescent enzyme immunoassays (Immulite; Siemens Medical Solutions Diagnostics, Los Angeles, Calif) with a sensitivity of 20 pg/mL or 0.1 mIU/mL.</w:t>
            </w:r>
          </w:p>
          <w:p w14:paraId="312C622D" w14:textId="77777777" w:rsidR="0085234D" w:rsidRPr="00A422C7" w:rsidRDefault="0085234D" w:rsidP="007102C6">
            <w:pPr>
              <w:pStyle w:val="Tabletext1"/>
              <w:rPr>
                <w:u w:val="single"/>
              </w:rPr>
            </w:pPr>
          </w:p>
          <w:p w14:paraId="0EBF1D96" w14:textId="06552D16" w:rsidR="0085234D" w:rsidRPr="00A422C7" w:rsidRDefault="0085234D" w:rsidP="007102C6">
            <w:pPr>
              <w:pStyle w:val="Tabletext1"/>
            </w:pPr>
            <w:r w:rsidRPr="00A422C7">
              <w:rPr>
                <w:u w:val="single"/>
              </w:rPr>
              <w:t>Analysis</w:t>
            </w:r>
            <w:r w:rsidR="009D0A93" w:rsidRPr="00A422C7">
              <w:t>:</w:t>
            </w:r>
            <w:r w:rsidR="00A422C7" w:rsidRPr="00A422C7">
              <w:t xml:space="preserve"> </w:t>
            </w:r>
            <w:r w:rsidRPr="00A422C7">
              <w:t>Differences between the amenorrhea and age subgroups on all time points were tested with the non</w:t>
            </w:r>
            <w:r w:rsidR="00916047">
              <w:t>-parametric</w:t>
            </w:r>
            <w:r w:rsidRPr="00A422C7">
              <w:t xml:space="preserve"> Wilcoxon 2-sample test using a 2-sided a of 0.05. The Wilcoxon test was also used to test for differences on change in hormone levels at different time points before, during, and after chemotherapy.</w:t>
            </w:r>
          </w:p>
          <w:p w14:paraId="54DEB0AC" w14:textId="77777777" w:rsidR="0085234D" w:rsidRPr="00A422C7" w:rsidRDefault="0085234D" w:rsidP="007102C6">
            <w:pPr>
              <w:pStyle w:val="Tabletext1"/>
              <w:rPr>
                <w:b/>
                <w:u w:val="single"/>
              </w:rPr>
            </w:pPr>
          </w:p>
          <w:p w14:paraId="7E2CA4A0" w14:textId="0D02C91F" w:rsidR="0085234D" w:rsidRPr="00A422C7" w:rsidRDefault="0085234D" w:rsidP="007102C6">
            <w:pPr>
              <w:pStyle w:val="Tabletext1"/>
            </w:pPr>
            <w:r w:rsidRPr="00A422C7">
              <w:rPr>
                <w:u w:val="single"/>
              </w:rPr>
              <w:t>Follow-up period</w:t>
            </w:r>
            <w:r w:rsidR="009D0A93" w:rsidRPr="00A422C7">
              <w:t>:</w:t>
            </w:r>
            <w:r w:rsidRPr="00A422C7">
              <w:t xml:space="preserve"> 52 weeks after initiation of chemotherapy</w:t>
            </w:r>
          </w:p>
        </w:tc>
        <w:tc>
          <w:tcPr>
            <w:tcW w:w="2526" w:type="dxa"/>
          </w:tcPr>
          <w:p w14:paraId="11B48EC8" w14:textId="4170FDF1" w:rsidR="0085234D" w:rsidRPr="00A422C7" w:rsidRDefault="0085234D" w:rsidP="007102C6">
            <w:pPr>
              <w:pStyle w:val="Tabletext1"/>
            </w:pPr>
            <w:r w:rsidRPr="00A422C7">
              <w:rPr>
                <w:u w:val="single"/>
              </w:rPr>
              <w:lastRenderedPageBreak/>
              <w:t>CRA defined as</w:t>
            </w:r>
            <w:r w:rsidR="009D0A93" w:rsidRPr="00A422C7">
              <w:t>:</w:t>
            </w:r>
            <w:r w:rsidRPr="00A422C7">
              <w:t xml:space="preserve"> the absence of menses at 52</w:t>
            </w:r>
          </w:p>
          <w:p w14:paraId="56D63D7C" w14:textId="77777777" w:rsidR="0085234D" w:rsidRPr="00A422C7" w:rsidRDefault="0085234D" w:rsidP="007102C6">
            <w:pPr>
              <w:pStyle w:val="Tabletext1"/>
            </w:pPr>
            <w:r w:rsidRPr="00A422C7">
              <w:t>weeks</w:t>
            </w:r>
          </w:p>
          <w:p w14:paraId="7401AC0A" w14:textId="77777777" w:rsidR="0085234D" w:rsidRPr="00A422C7" w:rsidRDefault="0085234D" w:rsidP="007102C6">
            <w:pPr>
              <w:pStyle w:val="Tabletext1"/>
              <w:rPr>
                <w:u w:val="single"/>
              </w:rPr>
            </w:pPr>
          </w:p>
          <w:p w14:paraId="7F31EE58" w14:textId="513D006C" w:rsidR="0085234D" w:rsidRPr="00A422C7" w:rsidRDefault="0085234D" w:rsidP="007102C6">
            <w:pPr>
              <w:pStyle w:val="Tabletext1"/>
            </w:pPr>
            <w:r w:rsidRPr="00A422C7">
              <w:rPr>
                <w:u w:val="single"/>
              </w:rPr>
              <w:t>Outcomes</w:t>
            </w:r>
            <w:r w:rsidR="009D0A93" w:rsidRPr="00A422C7">
              <w:t>:</w:t>
            </w:r>
          </w:p>
          <w:p w14:paraId="3991A9C5" w14:textId="77777777" w:rsidR="0085234D" w:rsidRPr="00A422C7" w:rsidRDefault="0085234D" w:rsidP="007102C6">
            <w:pPr>
              <w:pStyle w:val="Tabletext1"/>
            </w:pPr>
            <w:r w:rsidRPr="00A422C7">
              <w:t xml:space="preserve">AMH levels at baseline by </w:t>
            </w:r>
            <w:r w:rsidRPr="00A422C7">
              <w:lastRenderedPageBreak/>
              <w:t>subgroup (CRA or no CRA)</w:t>
            </w:r>
          </w:p>
          <w:p w14:paraId="242AB187" w14:textId="77777777" w:rsidR="0085234D" w:rsidRPr="00A422C7" w:rsidRDefault="0085234D" w:rsidP="007102C6">
            <w:pPr>
              <w:pStyle w:val="Tabletext1"/>
            </w:pPr>
          </w:p>
          <w:p w14:paraId="14E93C0C" w14:textId="77777777" w:rsidR="0085234D" w:rsidRPr="00A422C7" w:rsidRDefault="0085234D" w:rsidP="007102C6">
            <w:pPr>
              <w:pStyle w:val="Tabletext1"/>
            </w:pPr>
            <w:r w:rsidRPr="00A422C7">
              <w:t>Resumption of menstrual function</w:t>
            </w:r>
          </w:p>
        </w:tc>
      </w:tr>
    </w:tbl>
    <w:p w14:paraId="04C8E978" w14:textId="705F1992" w:rsidR="00835BA6" w:rsidRDefault="00835BA6" w:rsidP="00835BA6">
      <w:pPr>
        <w:pStyle w:val="Tablenotes0"/>
      </w:pPr>
      <w:r>
        <w:lastRenderedPageBreak/>
        <w:t xml:space="preserve">AFC = antral follicle count; AMH = anti-Müllerian hormone; </w:t>
      </w:r>
      <w:r w:rsidR="00776418">
        <w:t xml:space="preserve">ANOVA = analysis of variance; </w:t>
      </w:r>
      <w:r>
        <w:t>AUC = area under the curve; BMI = body mass index; CRA = chemotherapy</w:t>
      </w:r>
      <w:r w:rsidR="00DF36E4">
        <w:t>-</w:t>
      </w:r>
      <w:r>
        <w:t xml:space="preserve">related amenorrhea; </w:t>
      </w:r>
      <w:r w:rsidR="00776418">
        <w:t>CoV</w:t>
      </w:r>
      <w:r>
        <w:t xml:space="preserve"> = coefficient</w:t>
      </w:r>
      <w:r w:rsidR="00205BD5">
        <w:t>(s)</w:t>
      </w:r>
      <w:r>
        <w:t xml:space="preserve"> of variation; E2 = estradiol; EIA = enzyme Immunoassay; ELISA = enzyme-linked immunosorbent assay; FSH = follicle-stimulating hormone; HR = hazard ratio; HRT = hormone replacement therapy; LH = luteinising hormone; L</w:t>
      </w:r>
      <w:r w:rsidR="00B023DE">
        <w:t>o</w:t>
      </w:r>
      <w:r>
        <w:t>Q = level of quantification; NA = not available; OR = odds ratio; ROC = receiving operating characteristic</w:t>
      </w:r>
    </w:p>
    <w:p w14:paraId="38DDEA9A" w14:textId="77777777" w:rsidR="003F767A" w:rsidRDefault="003F767A">
      <w:pPr>
        <w:spacing w:after="0" w:line="240" w:lineRule="auto"/>
        <w:rPr>
          <w:rFonts w:ascii="Arial Narrow" w:hAnsi="Arial Narrow"/>
          <w:b/>
          <w:bCs/>
          <w:sz w:val="20"/>
          <w:lang w:eastAsia="en-US"/>
        </w:rPr>
      </w:pPr>
      <w:r>
        <w:rPr>
          <w:lang w:eastAsia="en-US"/>
        </w:rPr>
        <w:br w:type="page"/>
      </w:r>
    </w:p>
    <w:p w14:paraId="4F41B442" w14:textId="513B0EC9" w:rsidR="003F767A" w:rsidRPr="003F767A" w:rsidRDefault="003F767A" w:rsidP="003F767A">
      <w:pPr>
        <w:pStyle w:val="Caption"/>
        <w:rPr>
          <w:lang w:eastAsia="en-US"/>
        </w:rPr>
      </w:pPr>
      <w:bookmarkStart w:id="516" w:name="_Toc502833104"/>
      <w:r w:rsidRPr="003F767A">
        <w:rPr>
          <w:lang w:eastAsia="en-US"/>
        </w:rPr>
        <w:lastRenderedPageBreak/>
        <w:t xml:space="preserve">Table </w:t>
      </w:r>
      <w:r w:rsidRPr="003F767A">
        <w:rPr>
          <w:lang w:eastAsia="en-US"/>
        </w:rPr>
        <w:fldChar w:fldCharType="begin"/>
      </w:r>
      <w:r w:rsidRPr="003F767A">
        <w:rPr>
          <w:lang w:eastAsia="en-US"/>
        </w:rPr>
        <w:instrText xml:space="preserve"> SEQ Table \* ARABIC </w:instrText>
      </w:r>
      <w:r w:rsidRPr="003F767A">
        <w:rPr>
          <w:lang w:eastAsia="en-US"/>
        </w:rPr>
        <w:fldChar w:fldCharType="separate"/>
      </w:r>
      <w:r w:rsidR="00AC4BE5">
        <w:rPr>
          <w:noProof/>
          <w:lang w:eastAsia="en-US"/>
        </w:rPr>
        <w:t>86</w:t>
      </w:r>
      <w:r w:rsidRPr="003F767A">
        <w:rPr>
          <w:noProof/>
          <w:lang w:eastAsia="en-US"/>
        </w:rPr>
        <w:fldChar w:fldCharType="end"/>
      </w:r>
      <w:r w:rsidR="003C2616">
        <w:rPr>
          <w:lang w:eastAsia="en-US"/>
        </w:rPr>
        <w:tab/>
      </w:r>
      <w:r w:rsidRPr="003F767A">
        <w:rPr>
          <w:lang w:eastAsia="en-US"/>
        </w:rPr>
        <w:t>Predictive evidence: AMH levels predicting ovarian response</w:t>
      </w:r>
      <w:bookmarkEnd w:id="516"/>
    </w:p>
    <w:tbl>
      <w:tblPr>
        <w:tblStyle w:val="TableGrid112"/>
        <w:tblW w:w="4978" w:type="pct"/>
        <w:tblLook w:val="04A0" w:firstRow="1" w:lastRow="0" w:firstColumn="1" w:lastColumn="0" w:noHBand="0" w:noVBand="1"/>
        <w:tblCaption w:val="Table 60 Profiles of comparative studies of MTA vs RFA in patients with primary liver tumours (Population 1) included in this assessment"/>
        <w:tblDescription w:val="Six comparative studies reporting on safety and effectiveness outcomes for Population 1 were included. This table indicates details on study design and quality, the study population, inclusion/ exclusion criteria, setting and technical details of the index test, and outcomes assessed."/>
      </w:tblPr>
      <w:tblGrid>
        <w:gridCol w:w="2179"/>
        <w:gridCol w:w="3588"/>
        <w:gridCol w:w="3277"/>
        <w:gridCol w:w="3899"/>
        <w:gridCol w:w="2341"/>
      </w:tblGrid>
      <w:tr w:rsidR="003F767A" w:rsidRPr="003F767A" w14:paraId="0081601C" w14:textId="77777777" w:rsidTr="00835BA6">
        <w:trPr>
          <w:cnfStyle w:val="100000000000" w:firstRow="1" w:lastRow="0" w:firstColumn="0" w:lastColumn="0" w:oddVBand="0" w:evenVBand="0" w:oddHBand="0" w:evenHBand="0" w:firstRowFirstColumn="0" w:firstRowLastColumn="0" w:lastRowFirstColumn="0" w:lastRowLastColumn="0"/>
          <w:trHeight w:val="792"/>
          <w:tblHeader/>
        </w:trPr>
        <w:tc>
          <w:tcPr>
            <w:tcW w:w="2146" w:type="dxa"/>
          </w:tcPr>
          <w:p w14:paraId="26AD2B55" w14:textId="3788FD03" w:rsidR="003F767A" w:rsidRPr="003F767A" w:rsidRDefault="00E74EB5" w:rsidP="003F767A">
            <w:pPr>
              <w:spacing w:after="0" w:line="240" w:lineRule="auto"/>
              <w:ind w:right="-57"/>
              <w:rPr>
                <w:rFonts w:ascii="Arial Narrow" w:hAnsi="Arial Narrow"/>
                <w:b/>
                <w:sz w:val="20"/>
                <w:szCs w:val="20"/>
              </w:rPr>
            </w:pPr>
            <w:r>
              <w:rPr>
                <w:rFonts w:ascii="Arial Narrow" w:hAnsi="Arial Narrow"/>
                <w:b/>
                <w:sz w:val="20"/>
                <w:szCs w:val="20"/>
              </w:rPr>
              <w:t>Author, year, c</w:t>
            </w:r>
            <w:r w:rsidR="003F767A" w:rsidRPr="003F767A">
              <w:rPr>
                <w:rFonts w:ascii="Arial Narrow" w:hAnsi="Arial Narrow"/>
                <w:b/>
                <w:sz w:val="20"/>
                <w:szCs w:val="20"/>
              </w:rPr>
              <w:t>ountry</w:t>
            </w:r>
          </w:p>
          <w:p w14:paraId="5C64302C" w14:textId="77777777" w:rsidR="003F767A" w:rsidRPr="003F767A" w:rsidRDefault="003F767A" w:rsidP="003F767A">
            <w:pPr>
              <w:spacing w:after="0" w:line="240" w:lineRule="auto"/>
              <w:ind w:right="-57"/>
              <w:rPr>
                <w:rFonts w:ascii="Arial Narrow" w:hAnsi="Arial Narrow"/>
                <w:b/>
                <w:sz w:val="20"/>
                <w:szCs w:val="20"/>
              </w:rPr>
            </w:pPr>
            <w:r w:rsidRPr="003F767A">
              <w:rPr>
                <w:rFonts w:ascii="Arial Narrow" w:hAnsi="Arial Narrow"/>
                <w:b/>
                <w:sz w:val="20"/>
                <w:szCs w:val="20"/>
              </w:rPr>
              <w:t>Study design</w:t>
            </w:r>
          </w:p>
          <w:p w14:paraId="0A98EF17" w14:textId="77777777" w:rsidR="003F767A" w:rsidRPr="003F767A" w:rsidRDefault="003F767A" w:rsidP="003F767A">
            <w:pPr>
              <w:spacing w:after="0" w:line="240" w:lineRule="auto"/>
              <w:ind w:right="-57"/>
              <w:rPr>
                <w:rFonts w:ascii="Arial Narrow" w:hAnsi="Arial Narrow"/>
                <w:b/>
                <w:sz w:val="20"/>
                <w:szCs w:val="20"/>
              </w:rPr>
            </w:pPr>
            <w:r w:rsidRPr="003F767A">
              <w:rPr>
                <w:rFonts w:ascii="Arial Narrow" w:hAnsi="Arial Narrow"/>
                <w:b/>
                <w:sz w:val="20"/>
                <w:szCs w:val="20"/>
              </w:rPr>
              <w:t>Level of evidence</w:t>
            </w:r>
          </w:p>
          <w:p w14:paraId="2818F66F" w14:textId="77777777" w:rsidR="003F767A" w:rsidRPr="003F767A" w:rsidRDefault="003F767A" w:rsidP="003F767A">
            <w:pPr>
              <w:spacing w:after="0" w:line="240" w:lineRule="auto"/>
              <w:ind w:right="-57"/>
              <w:rPr>
                <w:rFonts w:ascii="Arial Narrow" w:hAnsi="Arial Narrow"/>
                <w:b/>
                <w:sz w:val="20"/>
                <w:szCs w:val="20"/>
              </w:rPr>
            </w:pPr>
            <w:r w:rsidRPr="003F767A">
              <w:rPr>
                <w:rFonts w:ascii="Arial Narrow" w:hAnsi="Arial Narrow"/>
                <w:b/>
                <w:sz w:val="20"/>
                <w:szCs w:val="20"/>
              </w:rPr>
              <w:t>Quality appraisal</w:t>
            </w:r>
          </w:p>
        </w:tc>
        <w:tc>
          <w:tcPr>
            <w:tcW w:w="3535" w:type="dxa"/>
          </w:tcPr>
          <w:p w14:paraId="60B2D930" w14:textId="77777777" w:rsidR="003F767A" w:rsidRPr="003F767A" w:rsidRDefault="003F767A" w:rsidP="003F767A">
            <w:pPr>
              <w:spacing w:after="0" w:line="240" w:lineRule="auto"/>
              <w:ind w:right="-57"/>
              <w:rPr>
                <w:rFonts w:ascii="Arial Narrow" w:hAnsi="Arial Narrow"/>
                <w:b/>
                <w:sz w:val="20"/>
                <w:szCs w:val="20"/>
              </w:rPr>
            </w:pPr>
            <w:r w:rsidRPr="003F767A">
              <w:rPr>
                <w:rFonts w:ascii="Arial Narrow" w:hAnsi="Arial Narrow"/>
                <w:b/>
                <w:sz w:val="20"/>
                <w:szCs w:val="20"/>
              </w:rPr>
              <w:t>Population characteristics</w:t>
            </w:r>
          </w:p>
        </w:tc>
        <w:tc>
          <w:tcPr>
            <w:tcW w:w="3229" w:type="dxa"/>
          </w:tcPr>
          <w:p w14:paraId="4842F09C" w14:textId="77777777" w:rsidR="003F767A" w:rsidRPr="003F767A" w:rsidRDefault="003F767A" w:rsidP="003F767A">
            <w:pPr>
              <w:spacing w:after="0" w:line="240" w:lineRule="auto"/>
              <w:ind w:right="-57"/>
              <w:rPr>
                <w:rFonts w:ascii="Arial Narrow" w:hAnsi="Arial Narrow"/>
                <w:b/>
                <w:sz w:val="20"/>
                <w:szCs w:val="20"/>
              </w:rPr>
            </w:pPr>
            <w:r w:rsidRPr="003F767A">
              <w:rPr>
                <w:rFonts w:ascii="Arial Narrow" w:hAnsi="Arial Narrow"/>
                <w:b/>
                <w:sz w:val="20"/>
                <w:szCs w:val="20"/>
              </w:rPr>
              <w:t>Objectives</w:t>
            </w:r>
          </w:p>
          <w:p w14:paraId="4B157945" w14:textId="77777777" w:rsidR="003F767A" w:rsidRPr="003F767A" w:rsidRDefault="003F767A" w:rsidP="003F767A">
            <w:pPr>
              <w:spacing w:after="0" w:line="240" w:lineRule="auto"/>
              <w:ind w:right="-57"/>
              <w:rPr>
                <w:rFonts w:ascii="Arial Narrow" w:hAnsi="Arial Narrow"/>
                <w:b/>
                <w:sz w:val="20"/>
                <w:szCs w:val="20"/>
              </w:rPr>
            </w:pPr>
            <w:r w:rsidRPr="003F767A">
              <w:rPr>
                <w:rFonts w:ascii="Arial Narrow" w:hAnsi="Arial Narrow"/>
                <w:b/>
                <w:sz w:val="20"/>
                <w:szCs w:val="20"/>
              </w:rPr>
              <w:t>Eligibility criteria</w:t>
            </w:r>
          </w:p>
        </w:tc>
        <w:tc>
          <w:tcPr>
            <w:tcW w:w="3842" w:type="dxa"/>
          </w:tcPr>
          <w:p w14:paraId="11DA3BCA" w14:textId="77777777" w:rsidR="003F767A" w:rsidRPr="003F767A" w:rsidRDefault="003F767A" w:rsidP="003F767A">
            <w:pPr>
              <w:spacing w:after="0" w:line="240" w:lineRule="auto"/>
              <w:ind w:right="-57"/>
              <w:rPr>
                <w:rFonts w:ascii="Arial Narrow" w:hAnsi="Arial Narrow"/>
                <w:b/>
                <w:sz w:val="20"/>
                <w:szCs w:val="20"/>
              </w:rPr>
            </w:pPr>
            <w:r w:rsidRPr="003F767A">
              <w:rPr>
                <w:rFonts w:ascii="Arial Narrow" w:hAnsi="Arial Narrow"/>
                <w:b/>
                <w:sz w:val="20"/>
                <w:szCs w:val="20"/>
              </w:rPr>
              <w:t>AMH test</w:t>
            </w:r>
          </w:p>
        </w:tc>
        <w:tc>
          <w:tcPr>
            <w:tcW w:w="2307" w:type="dxa"/>
          </w:tcPr>
          <w:p w14:paraId="7C346130" w14:textId="77777777" w:rsidR="003F767A" w:rsidRPr="003F767A" w:rsidRDefault="003F767A" w:rsidP="003F767A">
            <w:pPr>
              <w:spacing w:after="0" w:line="240" w:lineRule="auto"/>
              <w:ind w:right="-57"/>
              <w:rPr>
                <w:rFonts w:ascii="Arial Narrow" w:hAnsi="Arial Narrow"/>
                <w:b/>
                <w:sz w:val="20"/>
                <w:szCs w:val="20"/>
              </w:rPr>
            </w:pPr>
            <w:r w:rsidRPr="003F767A">
              <w:rPr>
                <w:rFonts w:ascii="Arial Narrow" w:hAnsi="Arial Narrow"/>
                <w:b/>
                <w:sz w:val="20"/>
                <w:szCs w:val="20"/>
              </w:rPr>
              <w:t>Prognostic outcomes assessed</w:t>
            </w:r>
          </w:p>
        </w:tc>
      </w:tr>
      <w:tr w:rsidR="003F767A" w:rsidRPr="003F767A" w14:paraId="004DC345" w14:textId="77777777" w:rsidTr="00835BA6">
        <w:trPr>
          <w:trHeight w:val="293"/>
        </w:trPr>
        <w:tc>
          <w:tcPr>
            <w:tcW w:w="2146" w:type="dxa"/>
          </w:tcPr>
          <w:p w14:paraId="7E50B469" w14:textId="1329ACA4" w:rsidR="003F767A" w:rsidRPr="0025301A" w:rsidRDefault="003F767A" w:rsidP="00C402DB">
            <w:pPr>
              <w:spacing w:beforeLines="40" w:before="96" w:afterLines="40" w:after="96" w:line="240" w:lineRule="auto"/>
              <w:ind w:right="-57"/>
              <w:rPr>
                <w:rFonts w:ascii="Arial Narrow" w:hAnsi="Arial Narrow"/>
                <w:sz w:val="20"/>
                <w:szCs w:val="20"/>
              </w:rPr>
            </w:pPr>
            <w:r w:rsidRPr="0025301A">
              <w:rPr>
                <w:rFonts w:ascii="Arial Narrow" w:hAnsi="Arial Narrow"/>
                <w:sz w:val="20"/>
                <w:szCs w:val="20"/>
              </w:rPr>
              <w:t xml:space="preserve">Lee et al. </w:t>
            </w:r>
            <w:r w:rsidR="00577E24" w:rsidRPr="0025301A">
              <w:rPr>
                <w:rFonts w:ascii="Arial Narrow" w:hAnsi="Arial Narrow"/>
                <w:sz w:val="20"/>
                <w:szCs w:val="20"/>
              </w:rPr>
              <w:fldChar w:fldCharType="begin"/>
            </w:r>
            <w:r w:rsidR="00577E24" w:rsidRPr="0025301A">
              <w:rPr>
                <w:rFonts w:ascii="Arial Narrow" w:hAnsi="Arial Narrow"/>
                <w:sz w:val="20"/>
                <w:szCs w:val="20"/>
              </w:rPr>
              <w:instrText xml:space="preserve"> ADDIN EN.CITE &lt;EndNote&gt;&lt;Cite ExcludeAuth="1"&gt;&lt;Author&gt;Lee&lt;/Author&gt;&lt;Year&gt;2011&lt;/Year&gt;&lt;RecNum&gt;222&lt;/RecNum&gt;&lt;IDText&gt;651-6&lt;/IDText&gt;&lt;DisplayText&gt;(2011)&lt;/DisplayText&gt;&lt;record&gt;&lt;rec-number&gt;222&lt;/rec-number&gt;&lt;foreign-keys&gt;&lt;key app="EN" db-id="s2dftfxw1fvsr1efx58vfvxtvfwzxea0td02" timestamp="1511748083"&gt;222&lt;/key&gt;&lt;/foreign-keys&gt;&lt;ref-type name="Journal Article"&gt;17&lt;/ref-type&gt;&lt;contributors&gt;&lt;authors&gt;&lt;author&gt;Lee, S.&lt;/author&gt;&lt;author&gt;Ozkavukcu, S.&lt;/author&gt;&lt;author&gt;Heytens, E.&lt;/author&gt;&lt;author&gt;Moy, F.&lt;/author&gt;&lt;author&gt;Alappat, R. M.&lt;/author&gt;&lt;author&gt;Oktay, K.&lt;/author&gt;&lt;/authors&gt;&lt;/contributors&gt;&lt;titles&gt;&lt;title&gt;Anti-Mullerian hormone and antral follicle count as predictors for embryo/oocyte cryopreservation cycle outcomes in breast cancer patients stimulated with letrozole and follicle stimulating hormone&lt;/title&gt;&lt;secondary-title&gt;J Assist Reprod Genet&lt;/secondary-title&gt;&lt;/titles&gt;&lt;periodical&gt;&lt;full-title&gt;J Assist Reprod Genet&lt;/full-title&gt;&lt;/periodical&gt;&lt;pages&gt;651-6&lt;/pages&gt;&lt;volume&gt;28&lt;/volume&gt;&lt;number&gt;7&lt;/number&gt;&lt;keywords&gt;&lt;keyword&gt;Cryopreservation&lt;/keyword&gt;&lt;keyword&gt;Follicle Stimulating Hormone&lt;/keyword&gt;&lt;keyword&gt;Breast Neoplasms&lt;/keyword&gt;&lt;/keywords&gt;&lt;dates&gt;&lt;year&gt;2011&lt;/year&gt;&lt;pub-dates&gt;&lt;date&gt;2011-1-1&lt;/date&gt;&lt;/pub-dates&gt;&lt;/dates&gt;&lt;isbn&gt;1058-0468 (Print) 1058-0468&lt;/isbn&gt;&lt;accession-num&gt;rayyan-5557264&lt;/accession-num&gt;&lt;urls&gt;&lt;related-urls&gt;&lt;url&gt;https://www.ncbi.nlm.nih.gov/pmc/articles/PMC3162058/pdf/10815_2011_Article_9567.pdf&lt;/url&gt;&lt;/related-urls&gt;&lt;/urls&gt;&lt;custom1&gt;RAYYAN-INCLUSION: {&amp;quot;Sharon&amp;quot;=&amp;gt;true}&lt;/custom1&gt;&lt;language&gt;eng&lt;/language&gt;&lt;/record&gt;&lt;/Cite&gt;&lt;/EndNote&gt;</w:instrText>
            </w:r>
            <w:r w:rsidR="00577E24" w:rsidRPr="0025301A">
              <w:rPr>
                <w:rFonts w:ascii="Arial Narrow" w:hAnsi="Arial Narrow"/>
                <w:sz w:val="20"/>
                <w:szCs w:val="20"/>
              </w:rPr>
              <w:fldChar w:fldCharType="separate"/>
            </w:r>
            <w:r w:rsidR="00577E24" w:rsidRPr="0025301A">
              <w:rPr>
                <w:rFonts w:ascii="Arial Narrow" w:hAnsi="Arial Narrow"/>
                <w:noProof/>
                <w:sz w:val="20"/>
                <w:szCs w:val="20"/>
              </w:rPr>
              <w:t>(</w:t>
            </w:r>
            <w:hyperlink w:anchor="_ENREF_36" w:tooltip="Lee, 2011 #222" w:history="1">
              <w:r w:rsidR="00835BA6" w:rsidRPr="0025301A">
                <w:rPr>
                  <w:rFonts w:ascii="Arial Narrow" w:hAnsi="Arial Narrow"/>
                  <w:noProof/>
                  <w:sz w:val="20"/>
                  <w:szCs w:val="20"/>
                </w:rPr>
                <w:t>2011</w:t>
              </w:r>
            </w:hyperlink>
            <w:r w:rsidR="00577E24" w:rsidRPr="0025301A">
              <w:rPr>
                <w:rFonts w:ascii="Arial Narrow" w:hAnsi="Arial Narrow"/>
                <w:noProof/>
                <w:sz w:val="20"/>
                <w:szCs w:val="20"/>
              </w:rPr>
              <w:t>)</w:t>
            </w:r>
            <w:r w:rsidR="00577E24" w:rsidRPr="0025301A">
              <w:rPr>
                <w:rFonts w:ascii="Arial Narrow" w:hAnsi="Arial Narrow"/>
                <w:sz w:val="20"/>
                <w:szCs w:val="20"/>
              </w:rPr>
              <w:fldChar w:fldCharType="end"/>
            </w:r>
          </w:p>
          <w:p w14:paraId="46C232E5" w14:textId="1D5F3A21" w:rsidR="003F767A" w:rsidRPr="0025301A" w:rsidRDefault="00E74EB5" w:rsidP="00C402DB">
            <w:pPr>
              <w:spacing w:beforeLines="40" w:before="96" w:afterLines="40" w:after="96" w:line="240" w:lineRule="auto"/>
              <w:ind w:right="-57"/>
              <w:rPr>
                <w:rFonts w:ascii="Arial Narrow" w:hAnsi="Arial Narrow"/>
                <w:sz w:val="20"/>
                <w:szCs w:val="20"/>
              </w:rPr>
            </w:pPr>
            <w:r w:rsidRPr="0025301A">
              <w:rPr>
                <w:rFonts w:ascii="Arial Narrow" w:hAnsi="Arial Narrow"/>
                <w:sz w:val="20"/>
                <w:szCs w:val="20"/>
              </w:rPr>
              <w:t>USA</w:t>
            </w:r>
          </w:p>
          <w:p w14:paraId="2327655E" w14:textId="142AA2D9" w:rsidR="003F767A" w:rsidRPr="0025301A" w:rsidRDefault="003F767A" w:rsidP="00C402DB">
            <w:pPr>
              <w:pStyle w:val="PlainText"/>
              <w:spacing w:beforeLines="40" w:before="96" w:afterLines="40" w:after="96" w:line="240" w:lineRule="auto"/>
              <w:rPr>
                <w:rFonts w:ascii="Arial Narrow" w:hAnsi="Arial Narrow"/>
              </w:rPr>
            </w:pPr>
            <w:r w:rsidRPr="0025301A">
              <w:rPr>
                <w:rFonts w:ascii="Arial Narrow" w:hAnsi="Arial Narrow"/>
                <w:szCs w:val="20"/>
                <w:u w:val="single"/>
              </w:rPr>
              <w:t>Level</w:t>
            </w:r>
            <w:r w:rsidR="009D0A93" w:rsidRPr="0025301A">
              <w:rPr>
                <w:rFonts w:ascii="Arial Narrow" w:hAnsi="Arial Narrow"/>
                <w:szCs w:val="20"/>
              </w:rPr>
              <w:t>:</w:t>
            </w:r>
            <w:r w:rsidRPr="0025301A">
              <w:rPr>
                <w:rFonts w:ascii="Arial Narrow" w:hAnsi="Arial Narrow"/>
                <w:szCs w:val="20"/>
              </w:rPr>
              <w:t xml:space="preserve"> IV (retrospective study)</w:t>
            </w:r>
          </w:p>
          <w:p w14:paraId="1D9B22D1" w14:textId="5DE092C2" w:rsidR="007518CF" w:rsidRPr="0025301A" w:rsidRDefault="003F767A" w:rsidP="00C402DB">
            <w:pPr>
              <w:pStyle w:val="PlainText"/>
              <w:spacing w:beforeLines="40" w:before="96" w:afterLines="40" w:after="96" w:line="240" w:lineRule="auto"/>
              <w:rPr>
                <w:rFonts w:ascii="Arial Narrow" w:hAnsi="Arial Narrow"/>
              </w:rPr>
            </w:pPr>
            <w:r w:rsidRPr="0025301A">
              <w:rPr>
                <w:rFonts w:ascii="Arial Narrow" w:hAnsi="Arial Narrow"/>
                <w:szCs w:val="20"/>
                <w:u w:val="single"/>
              </w:rPr>
              <w:t>Quality</w:t>
            </w:r>
            <w:r w:rsidR="009D0A93" w:rsidRPr="0025301A">
              <w:rPr>
                <w:rFonts w:ascii="Arial Narrow" w:hAnsi="Arial Narrow"/>
                <w:szCs w:val="20"/>
              </w:rPr>
              <w:t>:</w:t>
            </w:r>
          </w:p>
          <w:p w14:paraId="7A6B6451" w14:textId="21F05FE2" w:rsidR="003F767A" w:rsidRPr="003F767A" w:rsidRDefault="003F767A" w:rsidP="00C402DB">
            <w:pPr>
              <w:spacing w:beforeLines="40" w:before="96" w:afterLines="40" w:after="96" w:line="240" w:lineRule="auto"/>
              <w:ind w:right="-57"/>
              <w:rPr>
                <w:rFonts w:ascii="Arial Narrow" w:hAnsi="Arial Narrow"/>
                <w:sz w:val="20"/>
                <w:szCs w:val="20"/>
              </w:rPr>
            </w:pPr>
            <w:r w:rsidRPr="0025301A">
              <w:rPr>
                <w:rFonts w:ascii="Arial Narrow" w:hAnsi="Arial Narrow"/>
                <w:sz w:val="20"/>
                <w:szCs w:val="20"/>
              </w:rPr>
              <w:t>Low risk of bias</w:t>
            </w:r>
          </w:p>
        </w:tc>
        <w:tc>
          <w:tcPr>
            <w:tcW w:w="3535" w:type="dxa"/>
          </w:tcPr>
          <w:p w14:paraId="04F470F7" w14:textId="23415E89"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t>Population</w:t>
            </w:r>
            <w:r w:rsidR="009D0A93" w:rsidRPr="009D0A93">
              <w:rPr>
                <w:rFonts w:ascii="Arial Narrow" w:hAnsi="Arial Narrow"/>
                <w:szCs w:val="20"/>
              </w:rPr>
              <w:t>:</w:t>
            </w:r>
            <w:r w:rsidRPr="003F767A">
              <w:rPr>
                <w:rFonts w:ascii="Arial Narrow" w:hAnsi="Arial Narrow"/>
                <w:szCs w:val="20"/>
              </w:rPr>
              <w:t xml:space="preserve"> 41 women with stage </w:t>
            </w:r>
            <w:r w:rsidR="003B42B2">
              <w:rPr>
                <w:rFonts w:ascii="Arial Narrow" w:hAnsi="Arial Narrow"/>
                <w:szCs w:val="20"/>
              </w:rPr>
              <w:t>≤</w:t>
            </w:r>
            <w:r w:rsidRPr="003F767A">
              <w:rPr>
                <w:rFonts w:ascii="Arial Narrow" w:hAnsi="Arial Narrow"/>
                <w:szCs w:val="20"/>
              </w:rPr>
              <w:t>3 breast cancer undergoing cryopreservation. Seven women has oocyte freezing, 29 had embryo crypreservation and four underwent both embryo and oocyte cryopreservation.</w:t>
            </w:r>
          </w:p>
          <w:p w14:paraId="309E58D2" w14:textId="54F8BABC" w:rsidR="003F767A" w:rsidRPr="003F767A" w:rsidRDefault="003F767A" w:rsidP="00C402DB">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t>Mean age: 34.8</w:t>
            </w:r>
            <w:r w:rsidR="00FF109D">
              <w:rPr>
                <w:rFonts w:ascii="Arial Narrow" w:hAnsi="Arial Narrow"/>
                <w:sz w:val="20"/>
                <w:szCs w:val="20"/>
              </w:rPr>
              <w:t> </w:t>
            </w:r>
            <w:r w:rsidRPr="003F767A">
              <w:rPr>
                <w:rFonts w:ascii="Arial Narrow" w:hAnsi="Arial Narrow"/>
                <w:sz w:val="20"/>
                <w:szCs w:val="20"/>
              </w:rPr>
              <w:t>±</w:t>
            </w:r>
            <w:r w:rsidR="00FF109D">
              <w:rPr>
                <w:rFonts w:ascii="Arial Narrow" w:hAnsi="Arial Narrow"/>
                <w:sz w:val="20"/>
                <w:szCs w:val="20"/>
              </w:rPr>
              <w:t> </w:t>
            </w:r>
            <w:r w:rsidRPr="003F767A">
              <w:rPr>
                <w:rFonts w:ascii="Arial Narrow" w:hAnsi="Arial Narrow"/>
                <w:sz w:val="20"/>
                <w:szCs w:val="20"/>
              </w:rPr>
              <w:t>4.7 years</w:t>
            </w:r>
          </w:p>
          <w:p w14:paraId="45C246C2" w14:textId="77777777" w:rsidR="003F767A" w:rsidRPr="003F767A" w:rsidRDefault="003F767A" w:rsidP="00C402DB">
            <w:pPr>
              <w:spacing w:beforeLines="40" w:before="96" w:afterLines="40" w:after="96" w:line="240" w:lineRule="auto"/>
              <w:ind w:right="-57"/>
              <w:rPr>
                <w:rFonts w:ascii="Arial Narrow" w:hAnsi="Arial Narrow"/>
                <w:sz w:val="20"/>
                <w:szCs w:val="20"/>
                <w:u w:val="single"/>
              </w:rPr>
            </w:pPr>
          </w:p>
          <w:p w14:paraId="49214B7B" w14:textId="7CDC236B"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t>Treatment</w:t>
            </w:r>
            <w:r w:rsidR="009D0A93" w:rsidRPr="009D0A93">
              <w:rPr>
                <w:rFonts w:ascii="Arial Narrow" w:hAnsi="Arial Narrow"/>
                <w:szCs w:val="20"/>
              </w:rPr>
              <w:t>:</w:t>
            </w:r>
            <w:r w:rsidRPr="003F767A">
              <w:rPr>
                <w:rFonts w:ascii="Arial Narrow" w:hAnsi="Arial Narrow"/>
                <w:szCs w:val="20"/>
              </w:rPr>
              <w:t xml:space="preserve"> NR</w:t>
            </w:r>
          </w:p>
        </w:tc>
        <w:tc>
          <w:tcPr>
            <w:tcW w:w="3229" w:type="dxa"/>
          </w:tcPr>
          <w:p w14:paraId="1D5980B5" w14:textId="2598F08E" w:rsidR="003F767A" w:rsidRPr="00A422C7" w:rsidRDefault="003F767A" w:rsidP="00C402DB">
            <w:pPr>
              <w:pStyle w:val="PlainText"/>
              <w:spacing w:beforeLines="40" w:before="96" w:afterLines="40" w:after="96" w:line="240" w:lineRule="auto"/>
              <w:rPr>
                <w:rFonts w:ascii="Arial Narrow" w:hAnsi="Arial Narrow"/>
              </w:rPr>
            </w:pPr>
            <w:r w:rsidRPr="003F767A">
              <w:rPr>
                <w:rFonts w:ascii="Arial Narrow" w:hAnsi="Arial Narrow"/>
                <w:szCs w:val="20"/>
                <w:u w:val="single"/>
              </w:rPr>
              <w:t>Objective</w:t>
            </w:r>
            <w:r w:rsidR="009D0A93" w:rsidRPr="009D0A93">
              <w:rPr>
                <w:rFonts w:ascii="Arial Narrow" w:hAnsi="Arial Narrow"/>
                <w:szCs w:val="20"/>
              </w:rPr>
              <w:t>:</w:t>
            </w:r>
            <w:r w:rsidR="00A422C7">
              <w:rPr>
                <w:rFonts w:ascii="Arial Narrow" w:hAnsi="Arial Narrow"/>
                <w:szCs w:val="20"/>
              </w:rPr>
              <w:t xml:space="preserve"> </w:t>
            </w:r>
            <w:r w:rsidRPr="003F767A">
              <w:rPr>
                <w:rFonts w:ascii="Arial Narrow" w:hAnsi="Arial Narrow"/>
                <w:szCs w:val="20"/>
              </w:rPr>
              <w:t xml:space="preserve">to predict embryo/oocyte cryopreservation cycle outcomes in breast cancer patients stimulated with letrozole and </w:t>
            </w:r>
            <w:r w:rsidR="00776418">
              <w:rPr>
                <w:rFonts w:ascii="Arial Narrow" w:hAnsi="Arial Narrow"/>
                <w:szCs w:val="20"/>
              </w:rPr>
              <w:t>FSH</w:t>
            </w:r>
            <w:r w:rsidRPr="003F767A">
              <w:rPr>
                <w:rFonts w:ascii="Arial Narrow" w:hAnsi="Arial Narrow"/>
                <w:szCs w:val="20"/>
              </w:rPr>
              <w:t xml:space="preserve"> for fertility preservation based on </w:t>
            </w:r>
            <w:r w:rsidRPr="00A422C7">
              <w:rPr>
                <w:rFonts w:ascii="Arial Narrow" w:hAnsi="Arial Narrow"/>
                <w:szCs w:val="20"/>
              </w:rPr>
              <w:t>observed AMH levels and AFC.</w:t>
            </w:r>
          </w:p>
          <w:p w14:paraId="0DAB5D20" w14:textId="77777777" w:rsidR="003F767A" w:rsidRPr="003F767A" w:rsidRDefault="003F767A" w:rsidP="00C402DB">
            <w:pPr>
              <w:spacing w:beforeLines="40" w:before="96" w:afterLines="40" w:after="96" w:line="240" w:lineRule="auto"/>
              <w:ind w:right="-57"/>
              <w:rPr>
                <w:rFonts w:ascii="Arial Narrow" w:hAnsi="Arial Narrow"/>
                <w:sz w:val="20"/>
                <w:szCs w:val="20"/>
                <w:u w:val="single"/>
              </w:rPr>
            </w:pPr>
          </w:p>
          <w:p w14:paraId="02203F0A" w14:textId="68829BC1" w:rsidR="003F767A" w:rsidRPr="00A422C7" w:rsidRDefault="003F767A" w:rsidP="00C402DB">
            <w:pPr>
              <w:pStyle w:val="PlainText"/>
              <w:spacing w:beforeLines="40" w:before="96" w:afterLines="40" w:after="96" w:line="240" w:lineRule="auto"/>
              <w:rPr>
                <w:rFonts w:ascii="Arial Narrow" w:hAnsi="Arial Narrow"/>
              </w:rPr>
            </w:pPr>
            <w:r w:rsidRPr="003F767A">
              <w:rPr>
                <w:rFonts w:ascii="Arial Narrow" w:hAnsi="Arial Narrow"/>
                <w:szCs w:val="20"/>
                <w:u w:val="single"/>
              </w:rPr>
              <w:t>Inclusion criteria</w:t>
            </w:r>
            <w:r w:rsidR="009D0A93" w:rsidRPr="009D0A93">
              <w:rPr>
                <w:rFonts w:ascii="Arial Narrow" w:hAnsi="Arial Narrow"/>
                <w:szCs w:val="20"/>
              </w:rPr>
              <w:t>:</w:t>
            </w:r>
            <w:r w:rsidRPr="003F767A">
              <w:rPr>
                <w:rFonts w:ascii="Arial Narrow" w:hAnsi="Arial Narrow"/>
                <w:szCs w:val="20"/>
              </w:rPr>
              <w:t xml:space="preserve"> age </w:t>
            </w:r>
            <w:r w:rsidR="003B42B2">
              <w:rPr>
                <w:rFonts w:ascii="Arial Narrow" w:hAnsi="Arial Narrow"/>
                <w:szCs w:val="20"/>
              </w:rPr>
              <w:t>&lt;</w:t>
            </w:r>
            <w:r w:rsidRPr="003F767A">
              <w:rPr>
                <w:rFonts w:ascii="Arial Narrow" w:hAnsi="Arial Narrow"/>
                <w:szCs w:val="20"/>
              </w:rPr>
              <w:t xml:space="preserve">45 years, breast cancer stage </w:t>
            </w:r>
            <w:r w:rsidR="003B42B2">
              <w:rPr>
                <w:rFonts w:ascii="Arial Narrow" w:hAnsi="Arial Narrow"/>
                <w:szCs w:val="20"/>
              </w:rPr>
              <w:t>≤</w:t>
            </w:r>
            <w:r w:rsidRPr="003F767A">
              <w:rPr>
                <w:rFonts w:ascii="Arial Narrow" w:hAnsi="Arial Narrow"/>
                <w:szCs w:val="20"/>
              </w:rPr>
              <w:t>3, no prior chemotherapy, no prior history of ovarian surgery or infertility and availability of serum AMH level</w:t>
            </w:r>
          </w:p>
          <w:p w14:paraId="2A1F0EC4" w14:textId="4E263456"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t>Exclusion criteria</w:t>
            </w:r>
            <w:r w:rsidR="009D0A93" w:rsidRPr="009D0A93">
              <w:rPr>
                <w:rFonts w:ascii="Arial Narrow" w:hAnsi="Arial Narrow"/>
                <w:szCs w:val="20"/>
              </w:rPr>
              <w:t>:</w:t>
            </w:r>
            <w:r w:rsidRPr="00A422C7">
              <w:rPr>
                <w:rFonts w:ascii="Arial Narrow" w:hAnsi="Arial Narrow"/>
                <w:szCs w:val="20"/>
              </w:rPr>
              <w:t xml:space="preserve"> </w:t>
            </w:r>
            <w:r w:rsidRPr="003F767A">
              <w:rPr>
                <w:rFonts w:ascii="Arial Narrow" w:hAnsi="Arial Narrow"/>
                <w:szCs w:val="20"/>
              </w:rPr>
              <w:t>-</w:t>
            </w:r>
          </w:p>
        </w:tc>
        <w:tc>
          <w:tcPr>
            <w:tcW w:w="3842" w:type="dxa"/>
          </w:tcPr>
          <w:p w14:paraId="04864E86" w14:textId="2230B06C" w:rsidR="003F767A" w:rsidRPr="00A422C7" w:rsidRDefault="003F767A" w:rsidP="00C402DB">
            <w:pPr>
              <w:pStyle w:val="PlainText"/>
              <w:spacing w:beforeLines="40" w:before="96" w:afterLines="40" w:after="96" w:line="240" w:lineRule="auto"/>
              <w:rPr>
                <w:rFonts w:ascii="Arial Narrow" w:hAnsi="Arial Narrow"/>
              </w:rPr>
            </w:pPr>
            <w:r w:rsidRPr="003F767A">
              <w:rPr>
                <w:rFonts w:ascii="Arial Narrow" w:hAnsi="Arial Narrow"/>
                <w:szCs w:val="20"/>
                <w:u w:val="single"/>
              </w:rPr>
              <w:t>Test characteristics</w:t>
            </w:r>
            <w:r w:rsidR="009D0A93" w:rsidRPr="009D0A93">
              <w:rPr>
                <w:rFonts w:ascii="Arial Narrow" w:hAnsi="Arial Narrow"/>
                <w:szCs w:val="20"/>
              </w:rPr>
              <w:t>:</w:t>
            </w:r>
            <w:r w:rsidRPr="003F767A">
              <w:rPr>
                <w:rFonts w:ascii="Arial Narrow" w:hAnsi="Arial Narrow"/>
                <w:szCs w:val="20"/>
              </w:rPr>
              <w:t xml:space="preserve"> AMH was performed using highly specific mono/mono two-site ELISA method (DSL AMH assay).</w:t>
            </w:r>
          </w:p>
          <w:p w14:paraId="2F7F2294" w14:textId="77777777" w:rsidR="003F767A" w:rsidRPr="003F767A" w:rsidRDefault="003F767A" w:rsidP="00C402DB">
            <w:pPr>
              <w:spacing w:beforeLines="40" w:before="96" w:afterLines="40" w:after="96" w:line="240" w:lineRule="auto"/>
              <w:ind w:right="-57"/>
              <w:rPr>
                <w:rFonts w:ascii="Arial Narrow" w:hAnsi="Arial Narrow"/>
                <w:sz w:val="20"/>
                <w:szCs w:val="20"/>
                <w:u w:val="single"/>
              </w:rPr>
            </w:pPr>
          </w:p>
          <w:p w14:paraId="2BF929D5" w14:textId="210E67E1" w:rsidR="003F767A" w:rsidRPr="003F767A" w:rsidRDefault="003F767A" w:rsidP="00C402DB">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u w:val="single"/>
              </w:rPr>
              <w:t>Analysis</w:t>
            </w:r>
            <w:r w:rsidR="000F1B86">
              <w:rPr>
                <w:rFonts w:ascii="Arial Narrow" w:hAnsi="Arial Narrow"/>
                <w:sz w:val="20"/>
                <w:szCs w:val="20"/>
              </w:rPr>
              <w:t xml:space="preserve">: Mann-Whitney U-test </w:t>
            </w:r>
            <w:r w:rsidRPr="003F767A">
              <w:rPr>
                <w:rFonts w:ascii="Arial Narrow" w:hAnsi="Arial Narrow"/>
                <w:sz w:val="20"/>
                <w:szCs w:val="20"/>
              </w:rPr>
              <w:t>or Student’s t-test was performed to analyse differences in mean values (presented as mean</w:t>
            </w:r>
            <w:r w:rsidR="00FF109D">
              <w:rPr>
                <w:rFonts w:ascii="Arial Narrow" w:hAnsi="Arial Narrow"/>
                <w:sz w:val="20"/>
                <w:szCs w:val="20"/>
              </w:rPr>
              <w:t> </w:t>
            </w:r>
            <w:r w:rsidRPr="003F767A">
              <w:rPr>
                <w:rFonts w:ascii="Arial Narrow" w:hAnsi="Arial Narrow"/>
                <w:sz w:val="20"/>
                <w:szCs w:val="20"/>
              </w:rPr>
              <w:t>±</w:t>
            </w:r>
            <w:r w:rsidR="00FF109D">
              <w:rPr>
                <w:rFonts w:ascii="Arial Narrow" w:hAnsi="Arial Narrow"/>
                <w:sz w:val="20"/>
                <w:szCs w:val="20"/>
              </w:rPr>
              <w:t> </w:t>
            </w:r>
            <w:r w:rsidRPr="003F767A">
              <w:rPr>
                <w:rFonts w:ascii="Arial Narrow" w:hAnsi="Arial Narrow"/>
                <w:sz w:val="20"/>
                <w:szCs w:val="20"/>
              </w:rPr>
              <w:t>SD). Non-parametric correlations were analysed with Spearman’s test and parametric correlations with Pearson’s test. Multiple linear regression models were developed using a stepwise procedure introducing variables with a cut-off p=0.10 but requiring p=0.05 in the final model.</w:t>
            </w:r>
          </w:p>
        </w:tc>
        <w:tc>
          <w:tcPr>
            <w:tcW w:w="2307" w:type="dxa"/>
          </w:tcPr>
          <w:p w14:paraId="06F1AB85" w14:textId="6083EA19" w:rsidR="003F767A" w:rsidRPr="000F1B86" w:rsidRDefault="003F767A" w:rsidP="00A422C7">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t>Comparison of number of MII oocytes ret</w:t>
            </w:r>
            <w:r w:rsidR="000F1B86">
              <w:rPr>
                <w:rFonts w:ascii="Arial Narrow" w:hAnsi="Arial Narrow"/>
                <w:sz w:val="20"/>
                <w:szCs w:val="20"/>
              </w:rPr>
              <w:t xml:space="preserve">rieved, total number of oocytes </w:t>
            </w:r>
            <w:r w:rsidRPr="003F767A">
              <w:rPr>
                <w:rFonts w:ascii="Arial Narrow" w:hAnsi="Arial Narrow"/>
                <w:sz w:val="20"/>
                <w:szCs w:val="20"/>
              </w:rPr>
              <w:t>retrieved, maturation rate (number of mature oocytes/number of total oocytes), fertili</w:t>
            </w:r>
            <w:r w:rsidR="00415491">
              <w:rPr>
                <w:rFonts w:ascii="Arial Narrow" w:hAnsi="Arial Narrow"/>
                <w:sz w:val="20"/>
                <w:szCs w:val="20"/>
              </w:rPr>
              <w:t>s</w:t>
            </w:r>
            <w:r w:rsidRPr="003F767A">
              <w:rPr>
                <w:rFonts w:ascii="Arial Narrow" w:hAnsi="Arial Narrow"/>
                <w:sz w:val="20"/>
                <w:szCs w:val="20"/>
              </w:rPr>
              <w:t>ation rate (number of fertili</w:t>
            </w:r>
            <w:r w:rsidR="00415491">
              <w:rPr>
                <w:rFonts w:ascii="Arial Narrow" w:hAnsi="Arial Narrow"/>
                <w:sz w:val="20"/>
                <w:szCs w:val="20"/>
              </w:rPr>
              <w:t>s</w:t>
            </w:r>
            <w:r w:rsidRPr="003F767A">
              <w:rPr>
                <w:rFonts w:ascii="Arial Narrow" w:hAnsi="Arial Narrow"/>
                <w:sz w:val="20"/>
                <w:szCs w:val="20"/>
              </w:rPr>
              <w:t xml:space="preserve">ed oocytes/number </w:t>
            </w:r>
            <w:r w:rsidR="000F1B86">
              <w:rPr>
                <w:rFonts w:ascii="Arial Narrow" w:hAnsi="Arial Narrow"/>
                <w:sz w:val="20"/>
                <w:szCs w:val="20"/>
              </w:rPr>
              <w:t xml:space="preserve">of oocytes undergoing ICSI) and </w:t>
            </w:r>
            <w:r w:rsidRPr="003F767A">
              <w:rPr>
                <w:rFonts w:ascii="Arial Narrow" w:hAnsi="Arial Narrow"/>
                <w:sz w:val="20"/>
                <w:szCs w:val="20"/>
              </w:rPr>
              <w:t xml:space="preserve">total number of embryos cryopreserved following </w:t>
            </w:r>
            <w:r w:rsidR="003036C4">
              <w:rPr>
                <w:rFonts w:ascii="Arial Narrow" w:hAnsi="Arial Narrow"/>
                <w:sz w:val="20"/>
                <w:szCs w:val="20"/>
              </w:rPr>
              <w:t>ICSI</w:t>
            </w:r>
            <w:r w:rsidR="0048183F">
              <w:rPr>
                <w:rFonts w:ascii="Arial Narrow" w:hAnsi="Arial Narrow"/>
                <w:sz w:val="20"/>
                <w:szCs w:val="20"/>
              </w:rPr>
              <w:t>.</w:t>
            </w:r>
          </w:p>
        </w:tc>
      </w:tr>
      <w:tr w:rsidR="003F767A" w:rsidRPr="003F767A" w14:paraId="3C4B299D" w14:textId="77777777" w:rsidTr="00835BA6">
        <w:trPr>
          <w:trHeight w:val="293"/>
        </w:trPr>
        <w:tc>
          <w:tcPr>
            <w:tcW w:w="2146" w:type="dxa"/>
          </w:tcPr>
          <w:p w14:paraId="4248D926" w14:textId="323B2DF9" w:rsidR="003F767A" w:rsidRPr="0025301A" w:rsidRDefault="003F767A" w:rsidP="00C402DB">
            <w:pPr>
              <w:spacing w:beforeLines="40" w:before="96" w:afterLines="40" w:after="96" w:line="240" w:lineRule="auto"/>
              <w:ind w:right="-57"/>
              <w:rPr>
                <w:rFonts w:ascii="Arial Narrow" w:hAnsi="Arial Narrow"/>
                <w:sz w:val="20"/>
                <w:szCs w:val="20"/>
              </w:rPr>
            </w:pPr>
            <w:r w:rsidRPr="0025301A">
              <w:rPr>
                <w:rFonts w:ascii="Arial Narrow" w:hAnsi="Arial Narrow"/>
                <w:sz w:val="20"/>
                <w:szCs w:val="20"/>
              </w:rPr>
              <w:t xml:space="preserve">Manno et al. </w:t>
            </w:r>
            <w:r w:rsidR="00577E24" w:rsidRPr="0025301A">
              <w:rPr>
                <w:rFonts w:ascii="Arial Narrow" w:hAnsi="Arial Narrow"/>
                <w:sz w:val="20"/>
                <w:szCs w:val="20"/>
              </w:rPr>
              <w:fldChar w:fldCharType="begin"/>
            </w:r>
            <w:r w:rsidR="00577E24" w:rsidRPr="0025301A">
              <w:rPr>
                <w:rFonts w:ascii="Arial Narrow" w:hAnsi="Arial Narrow"/>
                <w:sz w:val="20"/>
                <w:szCs w:val="20"/>
              </w:rPr>
              <w:instrText xml:space="preserve"> ADDIN EN.CITE &lt;EndNote&gt;&lt;Cite ExcludeAuth="1"&gt;&lt;Author&gt;Manno&lt;/Author&gt;&lt;Year&gt;2016&lt;/Year&gt;&lt;RecNum&gt;246&lt;/RecNum&gt;&lt;IDText&gt;15-22&lt;/IDText&gt;&lt;DisplayText&gt;(2016)&lt;/DisplayText&gt;&lt;record&gt;&lt;rec-number&gt;246&lt;/rec-number&gt;&lt;foreign-keys&gt;&lt;key app="EN" db-id="s2dftfxw1fvsr1efx58vfvxtvfwzxea0td02" timestamp="1511748086"&gt;246&lt;/key&gt;&lt;/foreign-keys&gt;&lt;ref-type name="Journal Article"&gt;17&lt;/ref-type&gt;&lt;contributors&gt;&lt;authors&gt;&lt;author&gt;Manno, M.&lt;/author&gt;&lt;author&gt;Tomei, F.&lt;/author&gt;&lt;author&gt;Puglisi, F.&lt;/author&gt;&lt;author&gt;Zaja, F.&lt;/author&gt;&lt;author&gt;Metus, P.&lt;/author&gt;&lt;author&gt;Tozzoli, R.&lt;/author&gt;&lt;author&gt;Mascarin, M.&lt;/author&gt;&lt;author&gt;Manno, M.&lt;/author&gt;&lt;/authors&gt;&lt;/contributors&gt;&lt;titles&gt;&lt;title&gt;Ovarian reserve biomarkers usefulness for optimization of counselling in a public network for fertility preservation in oncological patients&lt;/title&gt;&lt;secondary-title&gt;Italian Journal of Gynaecology and Obstetrics&lt;/secondary-title&gt;&lt;/titles&gt;&lt;periodical&gt;&lt;full-title&gt;Italian Journal of Gynaecology and Obstetrics&lt;/full-title&gt;&lt;/periodical&gt;&lt;pages&gt;15-22&lt;/pages&gt;&lt;volume&gt;28&lt;/volume&gt;&lt;number&gt;5&lt;/number&gt;&lt;keywords&gt;&lt;keyword&gt;Oocytes&lt;/keyword&gt;&lt;keyword&gt;Enzyme-Linked Immunosorbent Assay&lt;/keyword&gt;&lt;keyword&gt;Italy&lt;/keyword&gt;&lt;keyword&gt;Fertility Preservation&lt;/keyword&gt;&lt;keyword&gt;Counseling&lt;/keyword&gt;&lt;keyword&gt;Fertility&lt;/keyword&gt;&lt;keyword&gt;Fertilizers&lt;/keyword&gt;&lt;keyword&gt;Breast Neoplasms&lt;/keyword&gt;&lt;keyword&gt;Self-Fertilization&lt;/keyword&gt;&lt;keyword&gt;Biological Markers&lt;/keyword&gt;&lt;keyword&gt;Humanism&lt;/keyword&gt;&lt;keyword&gt;Humanities&lt;/keyword&gt;&lt;keyword&gt;Humans&lt;/keyword&gt;&lt;/keywords&gt;&lt;dates&gt;&lt;year&gt;2016&lt;/year&gt;&lt;pub-dates&gt;&lt;date&gt;2016-1-1&lt;/date&gt;&lt;/pub-dates&gt;&lt;/dates&gt;&lt;isbn&gt;1121-8339&lt;/isbn&gt;&lt;accession-num&gt;rayyan-5560399&lt;/accession-num&gt;&lt;urls&gt;&lt;related-urls&gt;&lt;url&gt;http://www.embase.com/search/results?subaction=viewrecord&amp;amp;from=export&amp;amp;id=L614273412 http://dx.doi.org/10.14660/2385-0868-55&lt;/url&gt;&lt;/related-urls&gt;&lt;/urls&gt;&lt;custom1&gt;RAYYAN-INCLUSION: {&amp;quot;Sharon&amp;quot;=&amp;gt;true}&lt;/custom1&gt;&lt;/record&gt;&lt;/Cite&gt;&lt;/EndNote&gt;</w:instrText>
            </w:r>
            <w:r w:rsidR="00577E24" w:rsidRPr="0025301A">
              <w:rPr>
                <w:rFonts w:ascii="Arial Narrow" w:hAnsi="Arial Narrow"/>
                <w:sz w:val="20"/>
                <w:szCs w:val="20"/>
              </w:rPr>
              <w:fldChar w:fldCharType="separate"/>
            </w:r>
            <w:r w:rsidR="00577E24" w:rsidRPr="0025301A">
              <w:rPr>
                <w:rFonts w:ascii="Arial Narrow" w:hAnsi="Arial Narrow"/>
                <w:noProof/>
                <w:sz w:val="20"/>
                <w:szCs w:val="20"/>
              </w:rPr>
              <w:t>(</w:t>
            </w:r>
            <w:hyperlink w:anchor="_ENREF_42" w:tooltip="Manno, 2016 #246" w:history="1">
              <w:r w:rsidR="00835BA6" w:rsidRPr="0025301A">
                <w:rPr>
                  <w:rFonts w:ascii="Arial Narrow" w:hAnsi="Arial Narrow"/>
                  <w:noProof/>
                  <w:sz w:val="20"/>
                  <w:szCs w:val="20"/>
                </w:rPr>
                <w:t>2016</w:t>
              </w:r>
            </w:hyperlink>
            <w:r w:rsidR="00577E24" w:rsidRPr="0025301A">
              <w:rPr>
                <w:rFonts w:ascii="Arial Narrow" w:hAnsi="Arial Narrow"/>
                <w:noProof/>
                <w:sz w:val="20"/>
                <w:szCs w:val="20"/>
              </w:rPr>
              <w:t>)</w:t>
            </w:r>
            <w:r w:rsidR="00577E24" w:rsidRPr="0025301A">
              <w:rPr>
                <w:rFonts w:ascii="Arial Narrow" w:hAnsi="Arial Narrow"/>
                <w:sz w:val="20"/>
                <w:szCs w:val="20"/>
              </w:rPr>
              <w:fldChar w:fldCharType="end"/>
            </w:r>
          </w:p>
          <w:p w14:paraId="7FBF71A6" w14:textId="77777777" w:rsidR="003F767A" w:rsidRPr="0025301A" w:rsidRDefault="003F767A" w:rsidP="00C402DB">
            <w:pPr>
              <w:spacing w:beforeLines="40" w:before="96" w:afterLines="40" w:after="96" w:line="240" w:lineRule="auto"/>
              <w:ind w:right="-57"/>
              <w:rPr>
                <w:rFonts w:ascii="Arial Narrow" w:hAnsi="Arial Narrow"/>
                <w:sz w:val="20"/>
                <w:szCs w:val="20"/>
                <w:u w:val="single"/>
              </w:rPr>
            </w:pPr>
            <w:r w:rsidRPr="0025301A">
              <w:rPr>
                <w:rFonts w:ascii="Arial Narrow" w:hAnsi="Arial Narrow"/>
                <w:sz w:val="20"/>
                <w:szCs w:val="20"/>
              </w:rPr>
              <w:t>Italy</w:t>
            </w:r>
          </w:p>
          <w:p w14:paraId="6E77FCA4" w14:textId="77777777" w:rsidR="003F767A" w:rsidRPr="0025301A" w:rsidRDefault="003F767A" w:rsidP="00C402DB">
            <w:pPr>
              <w:spacing w:beforeLines="40" w:before="96" w:afterLines="40" w:after="96" w:line="240" w:lineRule="auto"/>
              <w:ind w:right="-57"/>
              <w:rPr>
                <w:rFonts w:ascii="Arial Narrow" w:hAnsi="Arial Narrow"/>
                <w:sz w:val="20"/>
                <w:szCs w:val="20"/>
              </w:rPr>
            </w:pPr>
            <w:r w:rsidRPr="0025301A">
              <w:rPr>
                <w:rFonts w:ascii="Arial Narrow" w:hAnsi="Arial Narrow"/>
                <w:sz w:val="20"/>
                <w:szCs w:val="20"/>
                <w:u w:val="single"/>
              </w:rPr>
              <w:t>Level</w:t>
            </w:r>
            <w:r w:rsidRPr="0025301A">
              <w:rPr>
                <w:rFonts w:ascii="Arial Narrow" w:hAnsi="Arial Narrow"/>
                <w:sz w:val="20"/>
                <w:szCs w:val="20"/>
              </w:rPr>
              <w:t>: IV (retrospective)</w:t>
            </w:r>
          </w:p>
          <w:p w14:paraId="0C240BDA" w14:textId="5CC32F18" w:rsidR="003F767A" w:rsidRPr="0025301A" w:rsidRDefault="003F767A" w:rsidP="00C402DB">
            <w:pPr>
              <w:pStyle w:val="PlainText"/>
              <w:spacing w:beforeLines="40" w:before="96" w:afterLines="40" w:after="96" w:line="240" w:lineRule="auto"/>
              <w:rPr>
                <w:rFonts w:ascii="Arial Narrow" w:hAnsi="Arial Narrow"/>
              </w:rPr>
            </w:pPr>
            <w:r w:rsidRPr="0025301A">
              <w:rPr>
                <w:rFonts w:ascii="Arial Narrow" w:hAnsi="Arial Narrow"/>
                <w:szCs w:val="20"/>
                <w:u w:val="single"/>
              </w:rPr>
              <w:t>Quality</w:t>
            </w:r>
            <w:r w:rsidR="009D0A93" w:rsidRPr="0025301A">
              <w:rPr>
                <w:rFonts w:ascii="Arial Narrow" w:hAnsi="Arial Narrow"/>
                <w:szCs w:val="20"/>
              </w:rPr>
              <w:t>:</w:t>
            </w:r>
          </w:p>
          <w:p w14:paraId="5DE76FCD" w14:textId="77777777" w:rsidR="003F767A" w:rsidRPr="003F767A" w:rsidRDefault="003F767A" w:rsidP="00C402DB">
            <w:pPr>
              <w:spacing w:beforeLines="40" w:before="96" w:afterLines="40" w:after="96" w:line="240" w:lineRule="auto"/>
              <w:ind w:right="-57"/>
              <w:rPr>
                <w:rFonts w:ascii="Arial Narrow" w:hAnsi="Arial Narrow"/>
                <w:sz w:val="20"/>
                <w:szCs w:val="20"/>
              </w:rPr>
            </w:pPr>
            <w:r w:rsidRPr="0025301A">
              <w:rPr>
                <w:rFonts w:ascii="Arial Narrow" w:hAnsi="Arial Narrow"/>
                <w:sz w:val="20"/>
                <w:szCs w:val="20"/>
              </w:rPr>
              <w:t>Moderate risk</w:t>
            </w:r>
            <w:r w:rsidRPr="003F767A">
              <w:rPr>
                <w:rFonts w:ascii="Arial Narrow" w:hAnsi="Arial Narrow"/>
                <w:sz w:val="20"/>
                <w:szCs w:val="20"/>
              </w:rPr>
              <w:t xml:space="preserve"> of bias</w:t>
            </w:r>
          </w:p>
        </w:tc>
        <w:tc>
          <w:tcPr>
            <w:tcW w:w="3535" w:type="dxa"/>
          </w:tcPr>
          <w:p w14:paraId="12B901DD" w14:textId="131883D1" w:rsidR="003F767A" w:rsidRPr="000F1B86" w:rsidRDefault="003F767A" w:rsidP="00C402DB">
            <w:pPr>
              <w:pStyle w:val="PlainText"/>
              <w:spacing w:beforeLines="40" w:before="96" w:afterLines="40" w:after="96" w:line="240" w:lineRule="auto"/>
              <w:rPr>
                <w:rFonts w:ascii="Arial Narrow" w:hAnsi="Arial Narrow"/>
              </w:rPr>
            </w:pPr>
            <w:r w:rsidRPr="003F767A">
              <w:rPr>
                <w:rFonts w:ascii="Arial Narrow" w:hAnsi="Arial Narrow"/>
                <w:szCs w:val="20"/>
                <w:u w:val="single"/>
              </w:rPr>
              <w:t>Population</w:t>
            </w:r>
            <w:r w:rsidR="009D0A93" w:rsidRPr="009D0A93">
              <w:rPr>
                <w:rFonts w:ascii="Arial Narrow" w:hAnsi="Arial Narrow"/>
                <w:szCs w:val="20"/>
              </w:rPr>
              <w:t>:</w:t>
            </w:r>
            <w:r w:rsidRPr="000F1B86">
              <w:rPr>
                <w:rFonts w:ascii="Arial Narrow" w:hAnsi="Arial Narrow"/>
                <w:szCs w:val="20"/>
              </w:rPr>
              <w:t xml:space="preserve"> </w:t>
            </w:r>
            <w:r w:rsidRPr="003F767A">
              <w:rPr>
                <w:rFonts w:ascii="Arial Narrow" w:hAnsi="Arial Narrow"/>
                <w:szCs w:val="20"/>
              </w:rPr>
              <w:t>38 patients with estrogen receptor</w:t>
            </w:r>
            <w:r w:rsidR="00916047">
              <w:rPr>
                <w:rFonts w:ascii="Arial Narrow" w:hAnsi="Arial Narrow"/>
                <w:szCs w:val="20"/>
              </w:rPr>
              <w:t>-</w:t>
            </w:r>
            <w:r w:rsidRPr="003F767A">
              <w:rPr>
                <w:rFonts w:ascii="Arial Narrow" w:hAnsi="Arial Narrow"/>
                <w:szCs w:val="20"/>
              </w:rPr>
              <w:t>positive (n=17), estrogen receptor negative (n=6) breast cancer, Hodgkins lymphoma (n=8) or non-Hodgkins lymphoma (n=2) or other types of cancer (n=5).</w:t>
            </w:r>
          </w:p>
          <w:p w14:paraId="5E892E76" w14:textId="77777777" w:rsidR="003F767A" w:rsidRPr="003F767A" w:rsidRDefault="003F767A" w:rsidP="00C402DB">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t>Mean age: 31.2 years (range 16-39 years)</w:t>
            </w:r>
          </w:p>
          <w:p w14:paraId="4FC84107" w14:textId="77777777" w:rsidR="003F767A" w:rsidRPr="003F767A" w:rsidRDefault="003F767A" w:rsidP="00C402DB">
            <w:pPr>
              <w:spacing w:beforeLines="40" w:before="96" w:afterLines="40" w:after="96" w:line="240" w:lineRule="auto"/>
              <w:ind w:right="-57"/>
              <w:rPr>
                <w:rFonts w:ascii="Arial Narrow" w:hAnsi="Arial Narrow"/>
                <w:sz w:val="20"/>
                <w:szCs w:val="20"/>
                <w:u w:val="single"/>
              </w:rPr>
            </w:pPr>
          </w:p>
          <w:p w14:paraId="5073936A" w14:textId="2DA322D3"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t>Treatment</w:t>
            </w:r>
            <w:r w:rsidR="009D0A93" w:rsidRPr="009D0A93">
              <w:rPr>
                <w:rFonts w:ascii="Arial Narrow" w:hAnsi="Arial Narrow"/>
                <w:szCs w:val="20"/>
              </w:rPr>
              <w:t>:</w:t>
            </w:r>
            <w:r w:rsidRPr="003F767A">
              <w:rPr>
                <w:rFonts w:ascii="Arial Narrow" w:hAnsi="Arial Narrow"/>
                <w:szCs w:val="20"/>
              </w:rPr>
              <w:t xml:space="preserve"> chemotherapy</w:t>
            </w:r>
          </w:p>
        </w:tc>
        <w:tc>
          <w:tcPr>
            <w:tcW w:w="3229" w:type="dxa"/>
          </w:tcPr>
          <w:p w14:paraId="7CEB3C98" w14:textId="33646A31" w:rsidR="003F767A" w:rsidRPr="000F1B86" w:rsidRDefault="003F767A" w:rsidP="00C402DB">
            <w:pPr>
              <w:pStyle w:val="PlainText"/>
              <w:spacing w:beforeLines="40" w:before="96" w:afterLines="40" w:after="96" w:line="240" w:lineRule="auto"/>
              <w:rPr>
                <w:rFonts w:ascii="Arial Narrow" w:hAnsi="Arial Narrow"/>
              </w:rPr>
            </w:pPr>
            <w:r w:rsidRPr="003F767A">
              <w:rPr>
                <w:rFonts w:ascii="Arial Narrow" w:hAnsi="Arial Narrow"/>
                <w:szCs w:val="20"/>
                <w:u w:val="single"/>
              </w:rPr>
              <w:t>Objective</w:t>
            </w:r>
            <w:r w:rsidR="009D0A93" w:rsidRPr="009D0A93">
              <w:rPr>
                <w:rFonts w:ascii="Arial Narrow" w:hAnsi="Arial Narrow"/>
                <w:szCs w:val="20"/>
              </w:rPr>
              <w:t>:</w:t>
            </w:r>
            <w:r w:rsidRPr="003F767A">
              <w:rPr>
                <w:rFonts w:ascii="Arial Narrow" w:hAnsi="Arial Narrow"/>
                <w:szCs w:val="20"/>
              </w:rPr>
              <w:t xml:space="preserve"> optimising fertility preservation counselling by presenting correlations between fertility preservation cycle outcomes, humoral and biophysical markers, and methods of ovarian stimulation.</w:t>
            </w:r>
          </w:p>
          <w:p w14:paraId="6780936B" w14:textId="77777777" w:rsidR="003F767A" w:rsidRPr="003F767A" w:rsidRDefault="003F767A" w:rsidP="00C402DB">
            <w:pPr>
              <w:spacing w:beforeLines="40" w:before="96" w:afterLines="40" w:after="96" w:line="240" w:lineRule="auto"/>
              <w:ind w:right="-57"/>
              <w:rPr>
                <w:rFonts w:ascii="Arial Narrow" w:hAnsi="Arial Narrow"/>
                <w:sz w:val="20"/>
                <w:szCs w:val="20"/>
                <w:u w:val="single"/>
              </w:rPr>
            </w:pPr>
          </w:p>
          <w:p w14:paraId="2977904E" w14:textId="03C061E8" w:rsidR="007518CF" w:rsidRDefault="003F767A" w:rsidP="00C402DB">
            <w:pPr>
              <w:pStyle w:val="PlainText"/>
              <w:spacing w:beforeLines="40" w:before="96" w:afterLines="40" w:after="96" w:line="240" w:lineRule="auto"/>
            </w:pPr>
            <w:r w:rsidRPr="003F767A">
              <w:rPr>
                <w:rFonts w:ascii="Arial Narrow" w:hAnsi="Arial Narrow"/>
                <w:szCs w:val="20"/>
                <w:u w:val="single"/>
              </w:rPr>
              <w:t>Inclusion criteria</w:t>
            </w:r>
            <w:r w:rsidR="009D0A93" w:rsidRPr="009D0A93">
              <w:rPr>
                <w:rFonts w:ascii="Arial Narrow" w:hAnsi="Arial Narrow"/>
                <w:szCs w:val="20"/>
              </w:rPr>
              <w:t>:</w:t>
            </w:r>
            <w:r w:rsidRPr="003F767A">
              <w:rPr>
                <w:rFonts w:ascii="Arial Narrow" w:hAnsi="Arial Narrow"/>
                <w:szCs w:val="20"/>
              </w:rPr>
              <w:t xml:space="preserve"> NR</w:t>
            </w:r>
          </w:p>
          <w:p w14:paraId="2035E88B" w14:textId="61FFEE06"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t>Exclusion criteria</w:t>
            </w:r>
            <w:r w:rsidR="009D0A93" w:rsidRPr="009D0A93">
              <w:rPr>
                <w:rFonts w:ascii="Arial Narrow" w:hAnsi="Arial Narrow"/>
                <w:szCs w:val="20"/>
              </w:rPr>
              <w:t>:</w:t>
            </w:r>
            <w:r w:rsidRPr="000F1B86">
              <w:rPr>
                <w:rFonts w:ascii="Arial Narrow" w:hAnsi="Arial Narrow"/>
                <w:szCs w:val="20"/>
              </w:rPr>
              <w:t xml:space="preserve"> </w:t>
            </w:r>
            <w:r w:rsidRPr="003F767A">
              <w:rPr>
                <w:rFonts w:ascii="Arial Narrow" w:hAnsi="Arial Narrow"/>
                <w:szCs w:val="20"/>
              </w:rPr>
              <w:t>NR</w:t>
            </w:r>
          </w:p>
        </w:tc>
        <w:tc>
          <w:tcPr>
            <w:tcW w:w="3842" w:type="dxa"/>
          </w:tcPr>
          <w:p w14:paraId="4F26E699" w14:textId="2DFD1D64"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t>Test characteristics</w:t>
            </w:r>
            <w:r w:rsidR="009D0A93" w:rsidRPr="009D0A93">
              <w:rPr>
                <w:rFonts w:ascii="Arial Narrow" w:hAnsi="Arial Narrow"/>
                <w:szCs w:val="20"/>
              </w:rPr>
              <w:t>:</w:t>
            </w:r>
            <w:r w:rsidRPr="003F767A">
              <w:rPr>
                <w:rFonts w:ascii="Times New Roman" w:hAnsi="Times New Roman" w:cs="Times New Roman"/>
                <w:sz w:val="24"/>
                <w:szCs w:val="20"/>
              </w:rPr>
              <w:t xml:space="preserve"> </w:t>
            </w:r>
            <w:r w:rsidRPr="003F767A">
              <w:rPr>
                <w:rFonts w:ascii="Arial Narrow" w:hAnsi="Arial Narrow"/>
                <w:szCs w:val="20"/>
              </w:rPr>
              <w:t>AMH values were determined using random sampling an</w:t>
            </w:r>
            <w:r w:rsidR="000F1B86">
              <w:rPr>
                <w:rFonts w:ascii="Arial Narrow" w:hAnsi="Arial Narrow"/>
                <w:szCs w:val="20"/>
              </w:rPr>
              <w:t>d each sample was stored at -20</w:t>
            </w:r>
            <w:r w:rsidRPr="003F767A">
              <w:rPr>
                <w:rFonts w:ascii="Arial Narrow" w:hAnsi="Arial Narrow"/>
                <w:szCs w:val="20"/>
              </w:rPr>
              <w:t>°C before assay with Beckman Coulter Generation II ELISA (BC Gen II) system and, after its recent implementation, Elecsys Roche automated method.</w:t>
            </w:r>
          </w:p>
          <w:p w14:paraId="22696E13" w14:textId="77777777" w:rsidR="003F767A" w:rsidRPr="003F767A" w:rsidRDefault="003F767A" w:rsidP="00C402DB">
            <w:pPr>
              <w:spacing w:beforeLines="40" w:before="96" w:afterLines="40" w:after="96" w:line="240" w:lineRule="auto"/>
              <w:ind w:right="-57"/>
              <w:rPr>
                <w:rFonts w:ascii="Arial Narrow" w:hAnsi="Arial Narrow"/>
                <w:sz w:val="20"/>
                <w:szCs w:val="20"/>
                <w:u w:val="single"/>
              </w:rPr>
            </w:pPr>
          </w:p>
          <w:p w14:paraId="41B0975C" w14:textId="3E668FC8" w:rsidR="003F767A" w:rsidRPr="000F1B86" w:rsidRDefault="003F767A" w:rsidP="00C402DB">
            <w:pPr>
              <w:pStyle w:val="PlainText"/>
              <w:spacing w:beforeLines="40" w:before="96" w:afterLines="40" w:after="96" w:line="240" w:lineRule="auto"/>
              <w:rPr>
                <w:rFonts w:ascii="Arial Narrow" w:hAnsi="Arial Narrow"/>
              </w:rPr>
            </w:pPr>
            <w:r w:rsidRPr="003F767A">
              <w:rPr>
                <w:rFonts w:ascii="Arial Narrow" w:hAnsi="Arial Narrow"/>
                <w:szCs w:val="20"/>
                <w:u w:val="single"/>
              </w:rPr>
              <w:t>Analysis</w:t>
            </w:r>
            <w:r w:rsidR="009D0A93" w:rsidRPr="009D0A93">
              <w:rPr>
                <w:rFonts w:ascii="Arial Narrow" w:hAnsi="Arial Narrow"/>
                <w:szCs w:val="20"/>
              </w:rPr>
              <w:t>:</w:t>
            </w:r>
            <w:r w:rsidRPr="003F767A">
              <w:rPr>
                <w:rFonts w:ascii="Arial Narrow" w:hAnsi="Arial Narrow"/>
                <w:szCs w:val="20"/>
              </w:rPr>
              <w:t xml:space="preserve"> Pearson correlation</w:t>
            </w:r>
          </w:p>
          <w:p w14:paraId="2EAB70B3" w14:textId="77777777" w:rsidR="003F767A" w:rsidRPr="003F767A" w:rsidRDefault="003F767A" w:rsidP="00C402DB">
            <w:pPr>
              <w:spacing w:beforeLines="40" w:before="96" w:afterLines="40" w:after="96" w:line="240" w:lineRule="auto"/>
              <w:ind w:right="-57"/>
              <w:rPr>
                <w:rFonts w:ascii="Arial Narrow" w:hAnsi="Arial Narrow"/>
                <w:b/>
                <w:sz w:val="20"/>
                <w:szCs w:val="20"/>
                <w:u w:val="single"/>
              </w:rPr>
            </w:pPr>
          </w:p>
          <w:p w14:paraId="21E64845" w14:textId="387AD5B4" w:rsidR="003F767A" w:rsidRPr="000F1B86" w:rsidRDefault="003F767A" w:rsidP="00C402DB">
            <w:pPr>
              <w:pStyle w:val="PlainText"/>
              <w:spacing w:beforeLines="40" w:before="96" w:afterLines="40" w:after="96" w:line="240" w:lineRule="auto"/>
            </w:pPr>
            <w:r w:rsidRPr="003F767A">
              <w:rPr>
                <w:rFonts w:ascii="Arial Narrow" w:hAnsi="Arial Narrow"/>
                <w:szCs w:val="20"/>
                <w:u w:val="single"/>
              </w:rPr>
              <w:t>Follow-up period</w:t>
            </w:r>
            <w:r w:rsidR="009D0A93" w:rsidRPr="009D0A93">
              <w:rPr>
                <w:rFonts w:ascii="Arial Narrow" w:hAnsi="Arial Narrow"/>
                <w:szCs w:val="20"/>
              </w:rPr>
              <w:t>:</w:t>
            </w:r>
            <w:r w:rsidRPr="003F767A">
              <w:rPr>
                <w:rFonts w:ascii="Arial Narrow" w:hAnsi="Arial Narrow"/>
                <w:szCs w:val="20"/>
              </w:rPr>
              <w:t xml:space="preserve"> NR</w:t>
            </w:r>
          </w:p>
        </w:tc>
        <w:tc>
          <w:tcPr>
            <w:tcW w:w="2307" w:type="dxa"/>
          </w:tcPr>
          <w:p w14:paraId="1A6F5637" w14:textId="77777777" w:rsidR="003F767A" w:rsidRPr="003F767A" w:rsidRDefault="003F767A" w:rsidP="00A422C7">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t>Correlation between oocytes retrieved/vitrified and AMH values, AFC values and peak E2 values.</w:t>
            </w:r>
          </w:p>
        </w:tc>
      </w:tr>
      <w:tr w:rsidR="003F767A" w:rsidRPr="003F767A" w14:paraId="7E85E432" w14:textId="77777777" w:rsidTr="00835BA6">
        <w:trPr>
          <w:trHeight w:val="293"/>
        </w:trPr>
        <w:tc>
          <w:tcPr>
            <w:tcW w:w="2146" w:type="dxa"/>
          </w:tcPr>
          <w:p w14:paraId="2A883744" w14:textId="29577943" w:rsidR="003F767A" w:rsidRPr="00C402DB" w:rsidRDefault="003F767A" w:rsidP="00C402DB">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 xml:space="preserve">Sonigo et al. </w:t>
            </w:r>
            <w:r w:rsidR="00577E24" w:rsidRPr="00C402DB">
              <w:rPr>
                <w:rFonts w:ascii="Arial Narrow" w:hAnsi="Arial Narrow"/>
                <w:sz w:val="20"/>
                <w:szCs w:val="20"/>
              </w:rPr>
              <w:fldChar w:fldCharType="begin"/>
            </w:r>
            <w:r w:rsidR="00577E24" w:rsidRPr="00C402DB">
              <w:rPr>
                <w:rFonts w:ascii="Arial Narrow" w:hAnsi="Arial Narrow"/>
                <w:sz w:val="20"/>
                <w:szCs w:val="20"/>
              </w:rPr>
              <w:instrText xml:space="preserve"> ADDIN EN.CITE &lt;EndNote&gt;&lt;Cite ExcludeAuth="1"&gt;&lt;Author&gt;Sonigo&lt;/Author&gt;&lt;Year&gt;2016&lt;/Year&gt;&lt;RecNum&gt;329&lt;/RecNum&gt;&lt;IDText&gt;1493-500&lt;/IDText&gt;&lt;DisplayText&gt;(2016)&lt;/DisplayText&gt;&lt;record&gt;&lt;rec-number&gt;329&lt;/rec-number&gt;&lt;foreign-keys&gt;&lt;key app="EN" db-id="s2dftfxw1fvsr1efx58vfvxtvfwzxea0td02" timestamp="1511748096"&gt;329&lt;/key&gt;&lt;/foreign-keys&gt;&lt;ref-type name="Journal Article"&gt;17&lt;/ref-type&gt;&lt;contributors&gt;&lt;authors&gt;&lt;author&gt;Sonigo, C.&lt;/author&gt;&lt;author&gt;Simon, C.&lt;/author&gt;&lt;author&gt;Boubaya, M.&lt;/author&gt;&lt;author&gt;Benoit, A.&lt;/author&gt;&lt;author&gt;Sifer, C.&lt;/author&gt;&lt;author&gt;Sermondade, N.&lt;/author&gt;&lt;author&gt;Grynberg, M.&lt;/author&gt;&lt;/authors&gt;&lt;/contributors&gt;&lt;titles&gt;&lt;title&gt;What threshold values of antral follicle count and serum AMH levels should be considered for oocyte cryopreservation after in vitro maturation?&lt;/title&gt;&lt;secondary-title&gt;Hum Reprod&lt;/secondary-title&gt;&lt;/titles&gt;&lt;periodical&gt;&lt;full-title&gt;Hum Reprod&lt;/full-title&gt;&lt;/periodical&gt;&lt;pages&gt;1493-500&lt;/pages&gt;&lt;volume&gt;31&lt;/volume&gt;&lt;number&gt;7&lt;/number&gt;&lt;keywords&gt;&lt;keyword&gt;Chorionic Gonadotropin&lt;/keyword&gt;&lt;keyword&gt;Logistic Models&lt;/keyword&gt;&lt;keyword&gt;Cryopreservation&lt;/keyword&gt;&lt;keyword&gt;Oocytes&lt;/keyword&gt;&lt;/keywords&gt;&lt;dates&gt;&lt;year&gt;2016&lt;/year&gt;&lt;pub-dates&gt;&lt;date&gt;2016-1-1&lt;/date&gt;&lt;/pub-dates&gt;&lt;/dates&gt;&lt;isbn&gt;0268-1161 (Print) 0268-1161&lt;/isbn&gt;&lt;accession-num&gt;rayyan-6678715&lt;/accession-num&gt;&lt;urls&gt;&lt;related-urls&gt;&lt;url&gt;https://oup.silverchair-cdn.com/oup/backfile/Content_public/Journal/humrep/31/7/10.1093_humrep_dew102/1/dew102.pdf?Expires=1501318963&amp;amp;Signature=B9se7OB2P2nkeW2WqjDzLDukXhdYd3z8wsVpR5XUD0BXk2LQ6MxsshsE~o5Grrp9BWRapcy9JQUztlyQtnRuxAvvWnb-DAMLgbvmUvI-rSw0IYwIWnBYCo-rSkgDSLSVyJxLqSpRYa3~4sAtJnBG7Jl90TwkZPwlWosR4t6vielm3ohgsyWPcig01K1ovBUbQbzuqud-aYOS1WlwQdK-CSizVEy~gGzhU1SWlcO3D~2IsNrNV1xSak6TowkqrCkAtSCUHCAIPUV87AdrKq-IF0o8xAeACGX9SCBXQomnPeA6ztBWgw-PmIFEbvYLu9hYg3WUbsoW1us7YwWbBSfouw__&amp;amp;Key-Pair-Id=APKAIUCZBIA4LVPAVW3Q&lt;/url&gt;&lt;/related-urls&gt;&lt;/urls&gt;&lt;custom1&gt;RAYYAN-INCLUSION: {&amp;quot;Sharon&amp;quot;=&amp;gt;true, &amp;quot;Joanne&amp;quot;=&amp;gt;true}&lt;/custom1&gt;&lt;language&gt;eng&lt;/language&gt;&lt;/record&gt;&lt;/Cite&gt;&lt;/EndNote&gt;</w:instrText>
            </w:r>
            <w:r w:rsidR="00577E24" w:rsidRPr="00C402DB">
              <w:rPr>
                <w:rFonts w:ascii="Arial Narrow" w:hAnsi="Arial Narrow"/>
                <w:sz w:val="20"/>
                <w:szCs w:val="20"/>
              </w:rPr>
              <w:fldChar w:fldCharType="separate"/>
            </w:r>
            <w:r w:rsidR="00577E24" w:rsidRPr="00C402DB">
              <w:rPr>
                <w:rFonts w:ascii="Arial Narrow" w:hAnsi="Arial Narrow"/>
                <w:noProof/>
                <w:sz w:val="20"/>
                <w:szCs w:val="20"/>
              </w:rPr>
              <w:t>(</w:t>
            </w:r>
            <w:hyperlink w:anchor="_ENREF_61" w:tooltip="Sonigo, 2016 #329" w:history="1">
              <w:r w:rsidR="00835BA6" w:rsidRPr="00C402DB">
                <w:rPr>
                  <w:rFonts w:ascii="Arial Narrow" w:hAnsi="Arial Narrow"/>
                  <w:noProof/>
                  <w:sz w:val="20"/>
                  <w:szCs w:val="20"/>
                </w:rPr>
                <w:t>2016</w:t>
              </w:r>
            </w:hyperlink>
            <w:r w:rsidR="00577E24" w:rsidRPr="00C402DB">
              <w:rPr>
                <w:rFonts w:ascii="Arial Narrow" w:hAnsi="Arial Narrow"/>
                <w:noProof/>
                <w:sz w:val="20"/>
                <w:szCs w:val="20"/>
              </w:rPr>
              <w:t>)</w:t>
            </w:r>
            <w:r w:rsidR="00577E24" w:rsidRPr="00C402DB">
              <w:rPr>
                <w:rFonts w:ascii="Arial Narrow" w:hAnsi="Arial Narrow"/>
                <w:sz w:val="20"/>
                <w:szCs w:val="20"/>
              </w:rPr>
              <w:fldChar w:fldCharType="end"/>
            </w:r>
          </w:p>
          <w:p w14:paraId="46BCED44" w14:textId="77777777" w:rsidR="003F767A" w:rsidRPr="00C402DB" w:rsidRDefault="003F767A" w:rsidP="00C402DB">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France</w:t>
            </w:r>
          </w:p>
          <w:p w14:paraId="58E72111" w14:textId="5C4AD6AC" w:rsidR="003F767A" w:rsidRPr="00C402DB" w:rsidRDefault="003F767A" w:rsidP="00C402DB">
            <w:pPr>
              <w:pStyle w:val="PlainText"/>
              <w:spacing w:beforeLines="40" w:before="96" w:afterLines="40" w:after="96" w:line="240" w:lineRule="auto"/>
              <w:rPr>
                <w:rFonts w:ascii="Arial Narrow" w:hAnsi="Arial Narrow" w:cs="Tahoma"/>
                <w:szCs w:val="20"/>
                <w:lang w:eastAsia="en-AU"/>
              </w:rPr>
            </w:pPr>
            <w:r w:rsidRPr="00C402DB">
              <w:rPr>
                <w:rFonts w:ascii="Arial Narrow" w:hAnsi="Arial Narrow"/>
                <w:szCs w:val="20"/>
                <w:u w:val="single"/>
              </w:rPr>
              <w:t>Level</w:t>
            </w:r>
            <w:r w:rsidR="009D0A93" w:rsidRPr="00C402DB">
              <w:rPr>
                <w:rFonts w:ascii="Arial Narrow" w:hAnsi="Arial Narrow"/>
                <w:szCs w:val="20"/>
              </w:rPr>
              <w:t>:</w:t>
            </w:r>
            <w:r w:rsidRPr="00C402DB">
              <w:rPr>
                <w:rFonts w:ascii="Arial Narrow" w:hAnsi="Arial Narrow"/>
                <w:szCs w:val="20"/>
              </w:rPr>
              <w:t xml:space="preserve"> </w:t>
            </w:r>
            <w:r w:rsidRPr="00C402DB">
              <w:rPr>
                <w:rFonts w:ascii="Arial Narrow" w:hAnsi="Arial Narrow" w:cs="Tahoma"/>
                <w:szCs w:val="20"/>
                <w:lang w:eastAsia="en-AU"/>
              </w:rPr>
              <w:t xml:space="preserve">IV (prospective </w:t>
            </w:r>
            <w:r w:rsidRPr="00C402DB">
              <w:rPr>
                <w:rFonts w:ascii="Arial Narrow" w:hAnsi="Arial Narrow" w:cs="Tahoma"/>
                <w:szCs w:val="20"/>
                <w:lang w:eastAsia="en-AU"/>
              </w:rPr>
              <w:lastRenderedPageBreak/>
              <w:t>study)</w:t>
            </w:r>
          </w:p>
          <w:p w14:paraId="59177FA2" w14:textId="1924F3D6" w:rsidR="007518CF" w:rsidRPr="00C402DB" w:rsidRDefault="003F767A" w:rsidP="00C402DB">
            <w:pPr>
              <w:pStyle w:val="PlainText"/>
              <w:spacing w:beforeLines="40" w:before="96" w:afterLines="40" w:after="96" w:line="240" w:lineRule="auto"/>
              <w:rPr>
                <w:rFonts w:ascii="Arial Narrow" w:hAnsi="Arial Narrow" w:cs="Tahoma"/>
                <w:szCs w:val="20"/>
                <w:lang w:eastAsia="en-AU"/>
              </w:rPr>
            </w:pPr>
            <w:r w:rsidRPr="00C402DB">
              <w:rPr>
                <w:rFonts w:ascii="Arial Narrow" w:hAnsi="Arial Narrow"/>
                <w:szCs w:val="20"/>
                <w:u w:val="single"/>
              </w:rPr>
              <w:t>Quality</w:t>
            </w:r>
            <w:r w:rsidR="009D0A93" w:rsidRPr="00C402DB">
              <w:rPr>
                <w:rFonts w:ascii="Arial Narrow" w:hAnsi="Arial Narrow"/>
                <w:szCs w:val="20"/>
              </w:rPr>
              <w:t>:</w:t>
            </w:r>
          </w:p>
          <w:p w14:paraId="4D2E6D9E" w14:textId="6AE7C904" w:rsidR="003F767A" w:rsidRPr="00C402DB" w:rsidRDefault="003F767A" w:rsidP="00C402DB">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Low risk of bias</w:t>
            </w:r>
          </w:p>
        </w:tc>
        <w:tc>
          <w:tcPr>
            <w:tcW w:w="3535" w:type="dxa"/>
          </w:tcPr>
          <w:p w14:paraId="0AFDC7EB" w14:textId="76A0DCBB" w:rsidR="007518CF" w:rsidRPr="00C402DB" w:rsidRDefault="003F767A" w:rsidP="00C402DB">
            <w:pPr>
              <w:pStyle w:val="PlainText"/>
              <w:spacing w:beforeLines="40" w:before="96" w:afterLines="40" w:after="96" w:line="240" w:lineRule="auto"/>
              <w:rPr>
                <w:rFonts w:ascii="Arial Narrow" w:hAnsi="Arial Narrow"/>
              </w:rPr>
            </w:pPr>
            <w:r w:rsidRPr="00C402DB">
              <w:rPr>
                <w:rFonts w:ascii="Arial Narrow" w:hAnsi="Arial Narrow"/>
                <w:szCs w:val="20"/>
                <w:u w:val="single"/>
              </w:rPr>
              <w:lastRenderedPageBreak/>
              <w:t>Population</w:t>
            </w:r>
            <w:r w:rsidR="009D0A93" w:rsidRPr="00C402DB">
              <w:rPr>
                <w:rFonts w:ascii="Arial Narrow" w:hAnsi="Arial Narrow"/>
                <w:szCs w:val="20"/>
              </w:rPr>
              <w:t>:</w:t>
            </w:r>
            <w:r w:rsidRPr="00C402DB">
              <w:rPr>
                <w:rFonts w:ascii="Arial Narrow" w:hAnsi="Arial Narrow"/>
                <w:szCs w:val="20"/>
              </w:rPr>
              <w:t xml:space="preserve"> 340 cancer patients. 100 women (29%) already had at least one child. Indications were breast cancer (n=300), haematological malignancies (n=14), and other diseases requiring emergency </w:t>
            </w:r>
            <w:r w:rsidRPr="00C402DB">
              <w:rPr>
                <w:rFonts w:ascii="Arial Narrow" w:hAnsi="Arial Narrow"/>
                <w:szCs w:val="20"/>
              </w:rPr>
              <w:lastRenderedPageBreak/>
              <w:t>chemotherapy (n=26).</w:t>
            </w:r>
          </w:p>
          <w:p w14:paraId="11A2734C" w14:textId="77777777" w:rsidR="007518CF" w:rsidRPr="00C402DB" w:rsidRDefault="003F767A" w:rsidP="00C402DB">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301 women opted for oocyte cryopreservation, 39 patients chose embryo freezing and 47 had ovarian tissue cryopreservation in combination with in vitro maturation.</w:t>
            </w:r>
          </w:p>
          <w:p w14:paraId="07BD50C8" w14:textId="44EB4AD4" w:rsidR="003F767A" w:rsidRPr="00C402DB" w:rsidRDefault="003F767A" w:rsidP="00C402DB">
            <w:pPr>
              <w:spacing w:beforeLines="40" w:before="96" w:afterLines="40" w:after="96" w:line="240" w:lineRule="auto"/>
              <w:ind w:right="-57"/>
              <w:rPr>
                <w:rFonts w:ascii="Arial Narrow" w:hAnsi="Arial Narrow"/>
                <w:sz w:val="20"/>
                <w:szCs w:val="20"/>
              </w:rPr>
            </w:pPr>
          </w:p>
          <w:p w14:paraId="04D0ABBA" w14:textId="7CDC86C8" w:rsidR="003F767A" w:rsidRPr="00C402DB" w:rsidRDefault="003F767A" w:rsidP="00C402DB">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Mean age: 31.8</w:t>
            </w:r>
            <w:r w:rsidR="00CB05BE" w:rsidRPr="00C402DB">
              <w:rPr>
                <w:rFonts w:ascii="Arial Narrow" w:hAnsi="Arial Narrow"/>
                <w:sz w:val="20"/>
                <w:szCs w:val="20"/>
              </w:rPr>
              <w:t> ± </w:t>
            </w:r>
            <w:r w:rsidRPr="00C402DB">
              <w:rPr>
                <w:rFonts w:ascii="Arial Narrow" w:hAnsi="Arial Narrow"/>
                <w:sz w:val="20"/>
                <w:szCs w:val="20"/>
              </w:rPr>
              <w:t>4.5 years.</w:t>
            </w:r>
          </w:p>
          <w:p w14:paraId="5458B258" w14:textId="77777777" w:rsidR="003F767A" w:rsidRPr="00C402DB" w:rsidRDefault="003F767A" w:rsidP="00C402DB">
            <w:pPr>
              <w:spacing w:beforeLines="40" w:before="96" w:afterLines="40" w:after="96" w:line="240" w:lineRule="auto"/>
              <w:ind w:right="-57"/>
              <w:rPr>
                <w:rFonts w:ascii="Arial Narrow" w:hAnsi="Arial Narrow"/>
                <w:sz w:val="20"/>
                <w:szCs w:val="20"/>
                <w:u w:val="single"/>
              </w:rPr>
            </w:pPr>
          </w:p>
          <w:p w14:paraId="69BEC783" w14:textId="19094C50" w:rsidR="003F767A" w:rsidRPr="00C402DB" w:rsidRDefault="003F767A" w:rsidP="00C402DB">
            <w:pPr>
              <w:pStyle w:val="PlainText"/>
              <w:spacing w:beforeLines="40" w:before="96" w:afterLines="40" w:after="96" w:line="240" w:lineRule="auto"/>
              <w:rPr>
                <w:rFonts w:ascii="Arial Narrow" w:hAnsi="Arial Narrow"/>
              </w:rPr>
            </w:pPr>
            <w:r w:rsidRPr="00C402DB">
              <w:rPr>
                <w:rFonts w:ascii="Arial Narrow" w:hAnsi="Arial Narrow"/>
                <w:szCs w:val="20"/>
                <w:u w:val="single"/>
              </w:rPr>
              <w:t>Treatment</w:t>
            </w:r>
            <w:r w:rsidR="009D0A93" w:rsidRPr="00C402DB">
              <w:rPr>
                <w:rFonts w:ascii="Arial Narrow" w:hAnsi="Arial Narrow"/>
                <w:szCs w:val="20"/>
              </w:rPr>
              <w:t>:</w:t>
            </w:r>
            <w:r w:rsidRPr="00C402DB">
              <w:rPr>
                <w:rFonts w:ascii="Arial Narrow" w:hAnsi="Arial Narrow"/>
                <w:szCs w:val="20"/>
              </w:rPr>
              <w:t xml:space="preserve"> chemotherapy</w:t>
            </w:r>
          </w:p>
        </w:tc>
        <w:tc>
          <w:tcPr>
            <w:tcW w:w="3229" w:type="dxa"/>
          </w:tcPr>
          <w:p w14:paraId="1A29899E" w14:textId="56997C31" w:rsidR="007518CF" w:rsidRPr="00C402DB" w:rsidRDefault="003F767A" w:rsidP="00C402DB">
            <w:pPr>
              <w:pStyle w:val="PlainText"/>
              <w:spacing w:beforeLines="40" w:before="96" w:afterLines="40" w:after="96" w:line="240" w:lineRule="auto"/>
              <w:rPr>
                <w:rFonts w:ascii="Arial Narrow" w:hAnsi="Arial Narrow"/>
              </w:rPr>
            </w:pPr>
            <w:r w:rsidRPr="00C402DB">
              <w:rPr>
                <w:rFonts w:ascii="Arial Narrow" w:hAnsi="Arial Narrow"/>
                <w:szCs w:val="20"/>
                <w:u w:val="single"/>
              </w:rPr>
              <w:lastRenderedPageBreak/>
              <w:t>Objective</w:t>
            </w:r>
            <w:r w:rsidR="009D0A93" w:rsidRPr="00C402DB">
              <w:rPr>
                <w:rFonts w:ascii="Arial Narrow" w:hAnsi="Arial Narrow"/>
                <w:szCs w:val="20"/>
              </w:rPr>
              <w:t>:</w:t>
            </w:r>
            <w:r w:rsidRPr="00C402DB">
              <w:rPr>
                <w:rFonts w:ascii="Arial Narrow" w:hAnsi="Arial Narrow"/>
                <w:szCs w:val="20"/>
              </w:rPr>
              <w:t xml:space="preserve"> to determine the threshold values of AFC and AMH levels, for ensuring the cryopreservation of sufficient numbers of in vitro matured oocytes for cancer patients as candidates for fertility </w:t>
            </w:r>
            <w:r w:rsidRPr="00C402DB">
              <w:rPr>
                <w:rFonts w:ascii="Arial Narrow" w:hAnsi="Arial Narrow"/>
                <w:szCs w:val="20"/>
              </w:rPr>
              <w:lastRenderedPageBreak/>
              <w:t>preservation.</w:t>
            </w:r>
          </w:p>
          <w:p w14:paraId="241756A6" w14:textId="202DDAA4" w:rsidR="003F767A" w:rsidRPr="00C402DB" w:rsidRDefault="003F767A" w:rsidP="00C402DB">
            <w:pPr>
              <w:spacing w:beforeLines="40" w:before="96" w:afterLines="40" w:after="96" w:line="240" w:lineRule="auto"/>
              <w:ind w:right="-57"/>
              <w:rPr>
                <w:rFonts w:ascii="Arial Narrow" w:hAnsi="Arial Narrow"/>
                <w:sz w:val="20"/>
                <w:szCs w:val="20"/>
                <w:u w:val="single"/>
              </w:rPr>
            </w:pPr>
          </w:p>
          <w:p w14:paraId="2E63DBF9" w14:textId="028AFADA" w:rsidR="003F767A" w:rsidRPr="00C402DB" w:rsidRDefault="003F767A" w:rsidP="00C402DB">
            <w:pPr>
              <w:pStyle w:val="PlainText"/>
              <w:spacing w:beforeLines="40" w:before="96" w:afterLines="40" w:after="96" w:line="240" w:lineRule="auto"/>
              <w:rPr>
                <w:rFonts w:ascii="Arial Narrow" w:hAnsi="Arial Narrow"/>
              </w:rPr>
            </w:pPr>
            <w:r w:rsidRPr="00C402DB">
              <w:rPr>
                <w:rFonts w:ascii="Arial Narrow" w:hAnsi="Arial Narrow"/>
                <w:szCs w:val="20"/>
                <w:u w:val="single"/>
              </w:rPr>
              <w:t>Inclusion criteria</w:t>
            </w:r>
            <w:r w:rsidR="009D0A93" w:rsidRPr="00C402DB">
              <w:rPr>
                <w:rFonts w:ascii="Arial Narrow" w:hAnsi="Arial Narrow"/>
                <w:szCs w:val="20"/>
              </w:rPr>
              <w:t>:</w:t>
            </w:r>
            <w:r w:rsidR="00C402DB">
              <w:rPr>
                <w:rFonts w:ascii="Arial Narrow" w:hAnsi="Arial Narrow"/>
                <w:szCs w:val="20"/>
              </w:rPr>
              <w:t xml:space="preserve"> </w:t>
            </w:r>
            <w:r w:rsidRPr="00C402DB">
              <w:rPr>
                <w:rFonts w:ascii="Arial Narrow" w:hAnsi="Arial Narrow"/>
                <w:szCs w:val="20"/>
              </w:rPr>
              <w:t xml:space="preserve">two ovaries present, visible and easily accessible ultrasound-guided puncture; AFC </w:t>
            </w:r>
            <w:r w:rsidR="00035EEF" w:rsidRPr="00C402DB">
              <w:rPr>
                <w:rFonts w:ascii="Arial Narrow" w:hAnsi="Arial Narrow"/>
                <w:szCs w:val="20"/>
              </w:rPr>
              <w:t>&gt;</w:t>
            </w:r>
            <w:r w:rsidRPr="00C402DB">
              <w:rPr>
                <w:rFonts w:ascii="Arial Narrow" w:hAnsi="Arial Narrow"/>
                <w:szCs w:val="20"/>
              </w:rPr>
              <w:t>8 follicles; no previous history of chemotherapy</w:t>
            </w:r>
          </w:p>
          <w:p w14:paraId="47FAA5BD" w14:textId="3F1E600B" w:rsidR="003F767A" w:rsidRPr="00C402DB" w:rsidRDefault="003F767A" w:rsidP="00C402DB">
            <w:pPr>
              <w:pStyle w:val="PlainText"/>
              <w:spacing w:beforeLines="40" w:before="96" w:afterLines="40" w:after="96" w:line="240" w:lineRule="auto"/>
              <w:rPr>
                <w:rFonts w:ascii="Arial Narrow" w:hAnsi="Arial Narrow"/>
              </w:rPr>
            </w:pPr>
            <w:r w:rsidRPr="00C402DB">
              <w:rPr>
                <w:rFonts w:ascii="Arial Narrow" w:hAnsi="Arial Narrow"/>
                <w:szCs w:val="20"/>
                <w:u w:val="single"/>
              </w:rPr>
              <w:t>Exclusion criteria</w:t>
            </w:r>
            <w:r w:rsidR="009D0A93" w:rsidRPr="00C402DB">
              <w:rPr>
                <w:rFonts w:ascii="Arial Narrow" w:hAnsi="Arial Narrow"/>
                <w:szCs w:val="20"/>
              </w:rPr>
              <w:t>:</w:t>
            </w:r>
            <w:r w:rsidRPr="00C402DB">
              <w:rPr>
                <w:rFonts w:ascii="Arial Narrow" w:hAnsi="Arial Narrow"/>
                <w:szCs w:val="20"/>
              </w:rPr>
              <w:t xml:space="preserve"> -</w:t>
            </w:r>
          </w:p>
        </w:tc>
        <w:tc>
          <w:tcPr>
            <w:tcW w:w="3842" w:type="dxa"/>
          </w:tcPr>
          <w:p w14:paraId="75B52C08" w14:textId="0BCBE268" w:rsidR="003F767A" w:rsidRPr="00C402DB" w:rsidRDefault="003F767A" w:rsidP="00C402DB">
            <w:pPr>
              <w:pStyle w:val="PlainText"/>
              <w:spacing w:beforeLines="40" w:before="96" w:afterLines="40" w:after="96" w:line="240" w:lineRule="auto"/>
              <w:rPr>
                <w:rFonts w:ascii="Arial Narrow" w:hAnsi="Arial Narrow"/>
              </w:rPr>
            </w:pPr>
            <w:r w:rsidRPr="00C402DB">
              <w:rPr>
                <w:rFonts w:ascii="Arial Narrow" w:hAnsi="Arial Narrow"/>
                <w:szCs w:val="20"/>
                <w:u w:val="single"/>
              </w:rPr>
              <w:lastRenderedPageBreak/>
              <w:t>Test characteristics</w:t>
            </w:r>
            <w:r w:rsidR="009D0A93" w:rsidRPr="00C402DB">
              <w:rPr>
                <w:rFonts w:ascii="Arial Narrow" w:hAnsi="Arial Narrow"/>
                <w:szCs w:val="20"/>
              </w:rPr>
              <w:t>:</w:t>
            </w:r>
            <w:r w:rsidRPr="00C402DB">
              <w:rPr>
                <w:rFonts w:ascii="Arial Narrow" w:hAnsi="Arial Narrow"/>
                <w:szCs w:val="20"/>
              </w:rPr>
              <w:t xml:space="preserve"> Serum AMH levels were determined using an ultrasensitive </w:t>
            </w:r>
            <w:r w:rsidR="00776418">
              <w:rPr>
                <w:rFonts w:ascii="Arial Narrow" w:hAnsi="Arial Narrow"/>
                <w:szCs w:val="20"/>
              </w:rPr>
              <w:t>ELISA</w:t>
            </w:r>
            <w:r w:rsidRPr="00C402DB">
              <w:rPr>
                <w:rFonts w:ascii="Arial Narrow" w:hAnsi="Arial Narrow"/>
                <w:szCs w:val="20"/>
              </w:rPr>
              <w:t xml:space="preserve"> (Beckman</w:t>
            </w:r>
            <w:r w:rsidR="00DF36E4">
              <w:rPr>
                <w:rFonts w:ascii="Arial Narrow" w:hAnsi="Arial Narrow"/>
                <w:szCs w:val="20"/>
              </w:rPr>
              <w:t xml:space="preserve"> </w:t>
            </w:r>
            <w:r w:rsidRPr="00C402DB">
              <w:rPr>
                <w:rFonts w:ascii="Arial Narrow" w:hAnsi="Arial Narrow"/>
                <w:szCs w:val="20"/>
              </w:rPr>
              <w:t xml:space="preserve">Coulter, Villepinte, France). Intra- and inter-assay variation coefficients were 6 and 10%, respectively, the lower detection limit was 0.13 </w:t>
            </w:r>
            <w:r w:rsidRPr="00C402DB">
              <w:rPr>
                <w:rFonts w:ascii="Arial Narrow" w:hAnsi="Arial Narrow"/>
                <w:szCs w:val="20"/>
              </w:rPr>
              <w:lastRenderedPageBreak/>
              <w:t>ng/</w:t>
            </w:r>
            <w:r w:rsidR="00023800" w:rsidRPr="00C402DB">
              <w:rPr>
                <w:rFonts w:ascii="Arial Narrow" w:hAnsi="Arial Narrow"/>
                <w:szCs w:val="20"/>
              </w:rPr>
              <w:t>mL</w:t>
            </w:r>
            <w:r w:rsidRPr="00C402DB">
              <w:rPr>
                <w:rFonts w:ascii="Arial Narrow" w:hAnsi="Arial Narrow"/>
                <w:szCs w:val="20"/>
              </w:rPr>
              <w:t xml:space="preserve"> and linearity was up to 21 ng/</w:t>
            </w:r>
            <w:r w:rsidR="00023800" w:rsidRPr="00C402DB">
              <w:rPr>
                <w:rFonts w:ascii="Arial Narrow" w:hAnsi="Arial Narrow"/>
                <w:szCs w:val="20"/>
              </w:rPr>
              <w:t>mL</w:t>
            </w:r>
            <w:r w:rsidRPr="00C402DB">
              <w:rPr>
                <w:rFonts w:ascii="Arial Narrow" w:hAnsi="Arial Narrow"/>
                <w:szCs w:val="20"/>
              </w:rPr>
              <w:t>.</w:t>
            </w:r>
          </w:p>
          <w:p w14:paraId="42673015" w14:textId="77777777" w:rsidR="003F767A" w:rsidRPr="00C402DB" w:rsidRDefault="003F767A" w:rsidP="00C402DB">
            <w:pPr>
              <w:spacing w:beforeLines="40" w:before="96" w:afterLines="40" w:after="96" w:line="240" w:lineRule="auto"/>
              <w:ind w:right="-57"/>
              <w:rPr>
                <w:rFonts w:ascii="Arial Narrow" w:hAnsi="Arial Narrow"/>
                <w:sz w:val="20"/>
                <w:szCs w:val="20"/>
                <w:u w:val="single"/>
              </w:rPr>
            </w:pPr>
          </w:p>
          <w:p w14:paraId="6BB76794" w14:textId="662F8644" w:rsidR="003F767A" w:rsidRPr="00C402DB" w:rsidRDefault="003F767A" w:rsidP="00C402DB">
            <w:pPr>
              <w:pStyle w:val="PlainText"/>
              <w:spacing w:beforeLines="40" w:before="96" w:afterLines="40" w:after="96" w:line="240" w:lineRule="auto"/>
              <w:rPr>
                <w:rFonts w:ascii="Arial Narrow" w:hAnsi="Arial Narrow"/>
              </w:rPr>
            </w:pPr>
            <w:r w:rsidRPr="00C402DB">
              <w:rPr>
                <w:rFonts w:ascii="Arial Narrow" w:hAnsi="Arial Narrow"/>
                <w:szCs w:val="20"/>
                <w:u w:val="single"/>
              </w:rPr>
              <w:t>Analysis</w:t>
            </w:r>
            <w:r w:rsidR="009D0A93" w:rsidRPr="00C402DB">
              <w:rPr>
                <w:rFonts w:ascii="Arial Narrow" w:hAnsi="Arial Narrow"/>
                <w:szCs w:val="20"/>
              </w:rPr>
              <w:t>:</w:t>
            </w:r>
            <w:r w:rsidRPr="00C402DB">
              <w:rPr>
                <w:rFonts w:ascii="Arial Narrow" w:hAnsi="Arial Narrow"/>
                <w:szCs w:val="20"/>
              </w:rPr>
              <w:t xml:space="preserve"> Relationships between continuous variables were assessed using the Spearman test to determine coefficients of correlation. For each oocyte threshold, a univariate logistic regression was performed and effect measures were estimated using exposure </w:t>
            </w:r>
            <w:r w:rsidR="00205BD5">
              <w:rPr>
                <w:rFonts w:ascii="Arial Narrow" w:hAnsi="Arial Narrow"/>
                <w:szCs w:val="20"/>
              </w:rPr>
              <w:t>ORs</w:t>
            </w:r>
            <w:r w:rsidRPr="00C402DB">
              <w:rPr>
                <w:rFonts w:ascii="Arial Narrow" w:hAnsi="Arial Narrow"/>
                <w:szCs w:val="20"/>
              </w:rPr>
              <w:t xml:space="preserve"> and their corresponding</w:t>
            </w:r>
            <w:r w:rsidR="00C402DB">
              <w:rPr>
                <w:rFonts w:ascii="Arial Narrow" w:hAnsi="Arial Narrow"/>
                <w:szCs w:val="20"/>
              </w:rPr>
              <w:t xml:space="preserve"> </w:t>
            </w:r>
            <w:r w:rsidRPr="00C402DB">
              <w:rPr>
                <w:rFonts w:ascii="Arial Narrow" w:hAnsi="Arial Narrow"/>
                <w:szCs w:val="20"/>
              </w:rPr>
              <w:t xml:space="preserve">95% </w:t>
            </w:r>
            <w:r w:rsidR="00C402DB">
              <w:rPr>
                <w:rFonts w:ascii="Arial Narrow" w:hAnsi="Arial Narrow"/>
                <w:szCs w:val="20"/>
              </w:rPr>
              <w:t>CIs</w:t>
            </w:r>
            <w:r w:rsidRPr="00C402DB">
              <w:rPr>
                <w:rFonts w:ascii="Arial Narrow" w:hAnsi="Arial Narrow"/>
                <w:szCs w:val="20"/>
              </w:rPr>
              <w:t xml:space="preserve">. </w:t>
            </w:r>
            <w:r w:rsidR="00C402DB">
              <w:rPr>
                <w:rFonts w:ascii="Arial Narrow" w:hAnsi="Arial Narrow"/>
                <w:szCs w:val="20"/>
              </w:rPr>
              <w:t>ROC curves</w:t>
            </w:r>
            <w:r w:rsidRPr="00C402DB">
              <w:rPr>
                <w:rFonts w:ascii="Arial Narrow" w:hAnsi="Arial Narrow"/>
                <w:szCs w:val="20"/>
              </w:rPr>
              <w:t xml:space="preserve"> were plotted and </w:t>
            </w:r>
            <w:r w:rsidR="00C402DB">
              <w:rPr>
                <w:rFonts w:ascii="Arial Narrow" w:hAnsi="Arial Narrow"/>
                <w:szCs w:val="20"/>
              </w:rPr>
              <w:t>AUC</w:t>
            </w:r>
            <w:r w:rsidRPr="00C402DB">
              <w:rPr>
                <w:rFonts w:ascii="Arial Narrow" w:hAnsi="Arial Narrow"/>
                <w:szCs w:val="20"/>
              </w:rPr>
              <w:t xml:space="preserve"> was determined. ROC curves were calculated to examine the diagnostic test performance </w:t>
            </w:r>
            <w:r w:rsidR="00A422C7" w:rsidRPr="00C402DB">
              <w:rPr>
                <w:rFonts w:ascii="Arial Narrow" w:hAnsi="Arial Narrow"/>
                <w:szCs w:val="20"/>
              </w:rPr>
              <w:t xml:space="preserve">(i.e. </w:t>
            </w:r>
            <w:r w:rsidRPr="00C402DB">
              <w:rPr>
                <w:rFonts w:ascii="Arial Narrow" w:hAnsi="Arial Narrow"/>
                <w:szCs w:val="20"/>
              </w:rPr>
              <w:t>the ability to discriminate either patients for whom at least 8, 10 or 15 mature oocytes are cryopreserved, or those with ≤2). AUC was calculated and sensitivity as well as 1-specificity were plotted at each AFC and AMH</w:t>
            </w:r>
            <w:r w:rsidR="00C402DB">
              <w:rPr>
                <w:rFonts w:ascii="Arial Narrow" w:hAnsi="Arial Narrow"/>
                <w:szCs w:val="20"/>
              </w:rPr>
              <w:t xml:space="preserve"> </w:t>
            </w:r>
            <w:r w:rsidRPr="00C402DB">
              <w:rPr>
                <w:rFonts w:ascii="Arial Narrow" w:hAnsi="Arial Narrow"/>
                <w:szCs w:val="20"/>
              </w:rPr>
              <w:t>threshold value. Sensitivities and specificities were estimated with the choice of maximi</w:t>
            </w:r>
            <w:r w:rsidR="00495159">
              <w:rPr>
                <w:rFonts w:ascii="Arial Narrow" w:hAnsi="Arial Narrow"/>
                <w:szCs w:val="20"/>
              </w:rPr>
              <w:t>s</w:t>
            </w:r>
            <w:r w:rsidRPr="00C402DB">
              <w:rPr>
                <w:rFonts w:ascii="Arial Narrow" w:hAnsi="Arial Narrow"/>
                <w:szCs w:val="20"/>
              </w:rPr>
              <w:t>ing sensitivity (≈80%) with acceptable specificity</w:t>
            </w:r>
            <w:r w:rsidR="00C402DB">
              <w:rPr>
                <w:rFonts w:ascii="Arial Narrow" w:hAnsi="Arial Narrow"/>
                <w:szCs w:val="20"/>
              </w:rPr>
              <w:t xml:space="preserve"> </w:t>
            </w:r>
            <w:r w:rsidRPr="00C402DB">
              <w:rPr>
                <w:rFonts w:ascii="Arial Narrow" w:hAnsi="Arial Narrow"/>
                <w:szCs w:val="20"/>
              </w:rPr>
              <w:t>(≈60%). All tests were two-sided at a 0.05 significance level.</w:t>
            </w:r>
          </w:p>
        </w:tc>
        <w:tc>
          <w:tcPr>
            <w:tcW w:w="2307" w:type="dxa"/>
          </w:tcPr>
          <w:p w14:paraId="760D8DE0" w14:textId="77777777" w:rsidR="003F767A" w:rsidRPr="00C402DB" w:rsidRDefault="003F767A" w:rsidP="00A422C7">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lastRenderedPageBreak/>
              <w:t>Association between number of in vitro matured oocytes cryopreserved and AFC and serum AMH levels</w:t>
            </w:r>
          </w:p>
          <w:p w14:paraId="0108C6FC" w14:textId="77777777" w:rsidR="003F767A" w:rsidRPr="00C402DB" w:rsidRDefault="003F767A" w:rsidP="00A422C7">
            <w:pPr>
              <w:spacing w:beforeLines="40" w:before="96" w:afterLines="40" w:after="96" w:line="240" w:lineRule="auto"/>
              <w:ind w:right="-57"/>
              <w:rPr>
                <w:rFonts w:ascii="Arial Narrow" w:hAnsi="Arial Narrow"/>
                <w:sz w:val="20"/>
                <w:szCs w:val="20"/>
              </w:rPr>
            </w:pPr>
          </w:p>
          <w:p w14:paraId="48C667B8" w14:textId="3D3059D2" w:rsidR="003F767A" w:rsidRPr="00C402DB" w:rsidRDefault="003F767A" w:rsidP="00A422C7">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 xml:space="preserve">Threshold values and their sensitivity and specificity of AFC and serum AMH levels for obtaining ≤2 or </w:t>
            </w:r>
            <w:r w:rsidR="003B42B2" w:rsidRPr="00C402DB">
              <w:rPr>
                <w:rFonts w:ascii="Arial Narrow" w:hAnsi="Arial Narrow"/>
                <w:sz w:val="20"/>
                <w:szCs w:val="20"/>
              </w:rPr>
              <w:t>≥</w:t>
            </w:r>
            <w:r w:rsidRPr="00C402DB">
              <w:rPr>
                <w:rFonts w:ascii="Arial Narrow" w:hAnsi="Arial Narrow"/>
                <w:sz w:val="20"/>
                <w:szCs w:val="20"/>
              </w:rPr>
              <w:t>8, 10 or 15 mature oocytes frozen</w:t>
            </w:r>
            <w:r w:rsidR="0048183F">
              <w:rPr>
                <w:rFonts w:ascii="Arial Narrow" w:hAnsi="Arial Narrow"/>
                <w:sz w:val="20"/>
                <w:szCs w:val="20"/>
              </w:rPr>
              <w:t>.</w:t>
            </w:r>
          </w:p>
        </w:tc>
      </w:tr>
      <w:tr w:rsidR="003F767A" w:rsidRPr="003F767A" w14:paraId="69B82E5C" w14:textId="77777777" w:rsidTr="00835BA6">
        <w:trPr>
          <w:trHeight w:val="293"/>
        </w:trPr>
        <w:tc>
          <w:tcPr>
            <w:tcW w:w="2146" w:type="dxa"/>
          </w:tcPr>
          <w:p w14:paraId="71903C1C" w14:textId="6904EA28" w:rsidR="003F767A" w:rsidRPr="003F767A" w:rsidRDefault="003F767A" w:rsidP="00C402DB">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lastRenderedPageBreak/>
              <w:t xml:space="preserve">Takae et al. </w:t>
            </w:r>
            <w:r w:rsidR="00577E24">
              <w:rPr>
                <w:rFonts w:ascii="Arial Narrow" w:hAnsi="Arial Narrow"/>
                <w:sz w:val="20"/>
                <w:szCs w:val="20"/>
              </w:rPr>
              <w:fldChar w:fldCharType="begin"/>
            </w:r>
            <w:r w:rsidR="00577E24">
              <w:rPr>
                <w:rFonts w:ascii="Arial Narrow" w:hAnsi="Arial Narrow"/>
                <w:sz w:val="20"/>
                <w:szCs w:val="20"/>
              </w:rPr>
              <w:instrText xml:space="preserve"> ADDIN EN.CITE &lt;EndNote&gt;&lt;Cite ExcludeAuth="1"&gt;&lt;Author&gt;Takae&lt;/Author&gt;&lt;Year&gt;2015&lt;/Year&gt;&lt;RecNum&gt;340&lt;/RecNum&gt;&lt;IDText&gt;305-12&lt;/IDText&gt;&lt;DisplayText&gt;(2015)&lt;/DisplayText&gt;&lt;record&gt;&lt;rec-number&gt;340&lt;/rec-number&gt;&lt;foreign-keys&gt;&lt;key app="EN" db-id="s2dftfxw1fvsr1efx58vfvxtvfwzxea0td02" timestamp="1511748097"&gt;340&lt;/key&gt;&lt;/foreign-keys&gt;&lt;ref-type name="Journal Article"&gt;17&lt;/ref-type&gt;&lt;contributors&gt;&lt;authors&gt;&lt;author&gt;Takae, S.&lt;/author&gt;&lt;author&gt;Sugishita, Y.&lt;/author&gt;&lt;author&gt;Yoshioka, N.&lt;/author&gt;&lt;author&gt;Hoshina, M.&lt;/author&gt;&lt;author&gt;Horage, Y.&lt;/author&gt;&lt;author&gt;Sato, Y.&lt;/author&gt;&lt;author&gt;Nishijima, C.&lt;/author&gt;&lt;author&gt;Kawamura, K.&lt;/author&gt;&lt;author&gt;Suzuki, N.&lt;/author&gt;&lt;/authors&gt;&lt;/contributors&gt;&lt;titles&gt;&lt;title&gt;The role of menstrual cycle phase and AMH levels in breast cancer patients whose ovarian tissue was cryopreserved for oncofertility treatment&lt;/title&gt;&lt;secondary-title&gt;J Assist Reprod Genet&lt;/secondary-title&gt;&lt;/titles&gt;&lt;periodical&gt;&lt;full-title&gt;J Assist Reprod Genet&lt;/full-title&gt;&lt;/periodical&gt;&lt;pages&gt;305-12&lt;/pages&gt;&lt;volume&gt;32&lt;/volume&gt;&lt;number&gt;2&lt;/number&gt;&lt;keywords&gt;&lt;keyword&gt;Self-Fertilization&lt;/keyword&gt;&lt;keyword&gt;Cryopreservation&lt;/keyword&gt;&lt;keyword&gt;Oocytes&lt;/keyword&gt;&lt;keyword&gt;Menstrual Cycle&lt;/keyword&gt;&lt;keyword&gt;Breast Neoplasms&lt;/keyword&gt;&lt;/keywords&gt;&lt;dates&gt;&lt;year&gt;2015&lt;/year&gt;&lt;pub-dates&gt;&lt;date&gt;2015-1-1&lt;/date&gt;&lt;/pub-dates&gt;&lt;/dates&gt;&lt;isbn&gt;1058-0468 (Print) 1058-0468&lt;/isbn&gt;&lt;accession-num&gt;rayyan-6678920&lt;/accession-num&gt;&lt;urls&gt;&lt;related-urls&gt;&lt;url&gt;https://www.ncbi.nlm.nih.gov/pmc/articles/PMC4354192/pdf/10815_2014_Article_392.pdf&lt;/url&gt;&lt;/related-urls&gt;&lt;/urls&gt;&lt;custom1&gt;RAYYAN-INCLUSION: {&amp;quot;Sharon&amp;quot;=&amp;gt;true, &amp;quot;Joanne&amp;quot;=&amp;gt;true}&lt;/custom1&gt;&lt;language&gt;eng&lt;/language&gt;&lt;/record&gt;&lt;/Cite&gt;&lt;/EndNote&gt;</w:instrText>
            </w:r>
            <w:r w:rsidR="00577E24">
              <w:rPr>
                <w:rFonts w:ascii="Arial Narrow" w:hAnsi="Arial Narrow"/>
                <w:sz w:val="20"/>
                <w:szCs w:val="20"/>
              </w:rPr>
              <w:fldChar w:fldCharType="separate"/>
            </w:r>
            <w:r w:rsidR="00577E24">
              <w:rPr>
                <w:rFonts w:ascii="Arial Narrow" w:hAnsi="Arial Narrow"/>
                <w:noProof/>
                <w:sz w:val="20"/>
                <w:szCs w:val="20"/>
              </w:rPr>
              <w:t>(</w:t>
            </w:r>
            <w:hyperlink w:anchor="_ENREF_68" w:tooltip="Takae, 2015 #340" w:history="1">
              <w:r w:rsidR="00835BA6">
                <w:rPr>
                  <w:rFonts w:ascii="Arial Narrow" w:hAnsi="Arial Narrow"/>
                  <w:noProof/>
                  <w:sz w:val="20"/>
                  <w:szCs w:val="20"/>
                </w:rPr>
                <w:t>2015</w:t>
              </w:r>
            </w:hyperlink>
            <w:r w:rsidR="00577E24">
              <w:rPr>
                <w:rFonts w:ascii="Arial Narrow" w:hAnsi="Arial Narrow"/>
                <w:noProof/>
                <w:sz w:val="20"/>
                <w:szCs w:val="20"/>
              </w:rPr>
              <w:t>)</w:t>
            </w:r>
            <w:r w:rsidR="00577E24">
              <w:rPr>
                <w:rFonts w:ascii="Arial Narrow" w:hAnsi="Arial Narrow"/>
                <w:sz w:val="20"/>
                <w:szCs w:val="20"/>
              </w:rPr>
              <w:fldChar w:fldCharType="end"/>
            </w:r>
          </w:p>
          <w:p w14:paraId="455EF861" w14:textId="77777777" w:rsidR="003F767A" w:rsidRPr="003F767A" w:rsidRDefault="003F767A" w:rsidP="00C402DB">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t>Japan</w:t>
            </w:r>
          </w:p>
          <w:p w14:paraId="676B84F7" w14:textId="60ABCD58" w:rsidR="003F767A" w:rsidRPr="0025301A" w:rsidRDefault="003F767A" w:rsidP="00C402DB">
            <w:pPr>
              <w:pStyle w:val="PlainText"/>
              <w:spacing w:beforeLines="40" w:before="96" w:afterLines="40" w:after="96" w:line="240" w:lineRule="auto"/>
              <w:rPr>
                <w:rFonts w:ascii="Arial Narrow" w:hAnsi="Arial Narrow"/>
              </w:rPr>
            </w:pPr>
            <w:r w:rsidRPr="0025301A">
              <w:rPr>
                <w:rFonts w:ascii="Arial Narrow" w:hAnsi="Arial Narrow"/>
                <w:szCs w:val="20"/>
                <w:u w:val="single"/>
              </w:rPr>
              <w:t>Level</w:t>
            </w:r>
            <w:r w:rsidR="009D0A93" w:rsidRPr="0025301A">
              <w:rPr>
                <w:rFonts w:ascii="Arial Narrow" w:hAnsi="Arial Narrow"/>
                <w:szCs w:val="20"/>
              </w:rPr>
              <w:t>:</w:t>
            </w:r>
            <w:r w:rsidRPr="0025301A">
              <w:rPr>
                <w:rFonts w:ascii="Arial Narrow" w:hAnsi="Arial Narrow"/>
                <w:szCs w:val="20"/>
              </w:rPr>
              <w:t xml:space="preserve"> IV (retrospective study)</w:t>
            </w:r>
          </w:p>
          <w:p w14:paraId="48FF58B4" w14:textId="01DAC960" w:rsidR="007518CF" w:rsidRPr="0025301A" w:rsidRDefault="003F767A" w:rsidP="00C402DB">
            <w:pPr>
              <w:pStyle w:val="PlainText"/>
              <w:spacing w:beforeLines="40" w:before="96" w:afterLines="40" w:after="96" w:line="240" w:lineRule="auto"/>
              <w:rPr>
                <w:rFonts w:ascii="Arial Narrow" w:hAnsi="Arial Narrow"/>
              </w:rPr>
            </w:pPr>
            <w:r w:rsidRPr="0025301A">
              <w:rPr>
                <w:rFonts w:ascii="Arial Narrow" w:hAnsi="Arial Narrow"/>
                <w:szCs w:val="20"/>
                <w:u w:val="single"/>
              </w:rPr>
              <w:t>Quality</w:t>
            </w:r>
            <w:r w:rsidR="009D0A93" w:rsidRPr="0025301A">
              <w:rPr>
                <w:rFonts w:ascii="Arial Narrow" w:hAnsi="Arial Narrow"/>
                <w:szCs w:val="20"/>
              </w:rPr>
              <w:t>:</w:t>
            </w:r>
          </w:p>
          <w:p w14:paraId="77508D24" w14:textId="4691232D" w:rsidR="003F767A" w:rsidRPr="003F767A" w:rsidRDefault="003F767A" w:rsidP="00C402DB">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t>Moderate risk of bias</w:t>
            </w:r>
          </w:p>
        </w:tc>
        <w:tc>
          <w:tcPr>
            <w:tcW w:w="3535" w:type="dxa"/>
          </w:tcPr>
          <w:p w14:paraId="68439DC1" w14:textId="69FDAD67"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t>Population</w:t>
            </w:r>
            <w:r w:rsidR="009D0A93" w:rsidRPr="009D0A93">
              <w:rPr>
                <w:rFonts w:ascii="Arial Narrow" w:hAnsi="Arial Narrow"/>
                <w:szCs w:val="20"/>
              </w:rPr>
              <w:t>:</w:t>
            </w:r>
            <w:r w:rsidRPr="003F767A">
              <w:rPr>
                <w:rFonts w:ascii="Arial Narrow" w:hAnsi="Arial Narrow"/>
                <w:szCs w:val="20"/>
                <w:u w:val="single"/>
              </w:rPr>
              <w:t xml:space="preserve"> </w:t>
            </w:r>
            <w:r w:rsidRPr="003F767A">
              <w:rPr>
                <w:rFonts w:ascii="Arial Narrow" w:hAnsi="Arial Narrow"/>
                <w:szCs w:val="20"/>
              </w:rPr>
              <w:t>27 breast cancer patients with regular menstrual cycles. (7 patients had already been pregnant at least once)</w:t>
            </w:r>
          </w:p>
          <w:p w14:paraId="5D7EB1AD" w14:textId="30E5B150" w:rsidR="007518CF" w:rsidRDefault="003F767A" w:rsidP="00C402DB">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t>Mean age: 33.7</w:t>
            </w:r>
            <w:r w:rsidR="00FF109D">
              <w:rPr>
                <w:rFonts w:ascii="Arial Narrow" w:hAnsi="Arial Narrow"/>
                <w:sz w:val="20"/>
                <w:szCs w:val="20"/>
              </w:rPr>
              <w:t> </w:t>
            </w:r>
            <w:r w:rsidRPr="003F767A">
              <w:rPr>
                <w:rFonts w:ascii="Arial Narrow" w:hAnsi="Arial Narrow"/>
                <w:sz w:val="20"/>
                <w:szCs w:val="20"/>
              </w:rPr>
              <w:t>±</w:t>
            </w:r>
            <w:r w:rsidR="00FF109D">
              <w:rPr>
                <w:rFonts w:ascii="Arial Narrow" w:hAnsi="Arial Narrow"/>
                <w:sz w:val="20"/>
                <w:szCs w:val="20"/>
              </w:rPr>
              <w:t> </w:t>
            </w:r>
            <w:r w:rsidRPr="003F767A">
              <w:rPr>
                <w:rFonts w:ascii="Arial Narrow" w:hAnsi="Arial Narrow"/>
                <w:sz w:val="20"/>
                <w:szCs w:val="20"/>
              </w:rPr>
              <w:t>3.8 years.</w:t>
            </w:r>
          </w:p>
          <w:p w14:paraId="1A92162C" w14:textId="06FAC5B0" w:rsidR="003F767A" w:rsidRPr="003F767A" w:rsidRDefault="003F767A" w:rsidP="00C402DB">
            <w:pPr>
              <w:spacing w:beforeLines="40" w:before="96" w:afterLines="40" w:after="96" w:line="240" w:lineRule="auto"/>
              <w:ind w:right="-57"/>
              <w:rPr>
                <w:rFonts w:ascii="Arial Narrow" w:hAnsi="Arial Narrow"/>
                <w:sz w:val="20"/>
                <w:szCs w:val="20"/>
                <w:u w:val="single"/>
              </w:rPr>
            </w:pPr>
          </w:p>
          <w:p w14:paraId="71696196" w14:textId="4051B383"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t>Treatment</w:t>
            </w:r>
            <w:r w:rsidR="009D0A93" w:rsidRPr="009D0A93">
              <w:rPr>
                <w:rFonts w:ascii="Arial Narrow" w:hAnsi="Arial Narrow"/>
                <w:szCs w:val="20"/>
              </w:rPr>
              <w:t>:</w:t>
            </w:r>
            <w:r w:rsidRPr="003F767A">
              <w:rPr>
                <w:rFonts w:ascii="Arial Narrow" w:hAnsi="Arial Narrow"/>
                <w:szCs w:val="20"/>
              </w:rPr>
              <w:t xml:space="preserve"> NR</w:t>
            </w:r>
          </w:p>
        </w:tc>
        <w:tc>
          <w:tcPr>
            <w:tcW w:w="3229" w:type="dxa"/>
          </w:tcPr>
          <w:p w14:paraId="72D19BE5" w14:textId="26AF252D" w:rsidR="003F767A" w:rsidRPr="00E74EB5" w:rsidRDefault="003F767A" w:rsidP="00C402DB">
            <w:pPr>
              <w:spacing w:beforeLines="40" w:before="96" w:afterLines="40" w:after="96" w:line="240" w:lineRule="auto"/>
              <w:ind w:right="-57"/>
              <w:rPr>
                <w:rFonts w:ascii="Arial Narrow" w:hAnsi="Arial Narrow"/>
                <w:sz w:val="20"/>
                <w:szCs w:val="20"/>
                <w:u w:val="single"/>
              </w:rPr>
            </w:pPr>
            <w:r w:rsidRPr="00E74EB5">
              <w:rPr>
                <w:rFonts w:ascii="Arial Narrow" w:hAnsi="Arial Narrow"/>
                <w:sz w:val="20"/>
                <w:szCs w:val="20"/>
                <w:u w:val="single"/>
              </w:rPr>
              <w:t>Objective</w:t>
            </w:r>
            <w:r w:rsidR="009D0A93" w:rsidRPr="00E74EB5">
              <w:rPr>
                <w:rFonts w:ascii="Arial Narrow" w:hAnsi="Arial Narrow"/>
                <w:sz w:val="20"/>
                <w:szCs w:val="20"/>
              </w:rPr>
              <w:t>:</w:t>
            </w:r>
            <w:r w:rsidRPr="00E74EB5">
              <w:rPr>
                <w:rFonts w:ascii="Arial Narrow" w:hAnsi="Arial Narrow"/>
                <w:sz w:val="20"/>
                <w:szCs w:val="20"/>
              </w:rPr>
              <w:t xml:space="preserve"> to elucidate the factors that correlate to the efficacy of various combined fertility preservation methods on young breast cancer patients who received ovarian tissue cryopreservation for fertility preservation.</w:t>
            </w:r>
          </w:p>
          <w:p w14:paraId="6E568950" w14:textId="77777777" w:rsidR="003F767A" w:rsidRPr="00E74EB5" w:rsidRDefault="003F767A" w:rsidP="00C402DB">
            <w:pPr>
              <w:spacing w:beforeLines="40" w:before="96" w:afterLines="40" w:after="96" w:line="240" w:lineRule="auto"/>
              <w:ind w:right="-57"/>
              <w:rPr>
                <w:rFonts w:ascii="Arial Narrow" w:hAnsi="Arial Narrow"/>
                <w:sz w:val="20"/>
                <w:szCs w:val="20"/>
                <w:u w:val="single"/>
              </w:rPr>
            </w:pPr>
          </w:p>
          <w:p w14:paraId="27EECC84" w14:textId="26E69EDD" w:rsidR="00C402DB" w:rsidRPr="00E74EB5" w:rsidRDefault="003F767A" w:rsidP="00C402DB">
            <w:pPr>
              <w:spacing w:beforeLines="40" w:before="96" w:afterLines="40" w:after="96" w:line="240" w:lineRule="auto"/>
              <w:ind w:right="-57"/>
              <w:rPr>
                <w:rFonts w:ascii="Arial Narrow" w:hAnsi="Arial Narrow"/>
                <w:sz w:val="20"/>
                <w:szCs w:val="20"/>
                <w:u w:val="single"/>
              </w:rPr>
            </w:pPr>
            <w:r w:rsidRPr="00E74EB5">
              <w:rPr>
                <w:rFonts w:ascii="Arial Narrow" w:hAnsi="Arial Narrow"/>
                <w:sz w:val="20"/>
                <w:szCs w:val="20"/>
                <w:u w:val="single"/>
              </w:rPr>
              <w:t>Inclusion criteria</w:t>
            </w:r>
            <w:r w:rsidR="009D0A93" w:rsidRPr="000F1B86">
              <w:rPr>
                <w:rFonts w:ascii="Arial Narrow" w:hAnsi="Arial Narrow"/>
                <w:sz w:val="20"/>
                <w:szCs w:val="20"/>
              </w:rPr>
              <w:t>:</w:t>
            </w:r>
            <w:r w:rsidRPr="000F1B86">
              <w:rPr>
                <w:rFonts w:ascii="Arial Narrow" w:hAnsi="Arial Narrow"/>
                <w:sz w:val="20"/>
                <w:szCs w:val="20"/>
              </w:rPr>
              <w:t xml:space="preserve"> </w:t>
            </w:r>
            <w:r w:rsidR="000F1B86" w:rsidRPr="00177003">
              <w:rPr>
                <w:rFonts w:ascii="Arial Narrow" w:hAnsi="Arial Narrow"/>
                <w:sz w:val="20"/>
                <w:szCs w:val="20"/>
              </w:rPr>
              <w:t>B</w:t>
            </w:r>
            <w:r w:rsidRPr="00E74EB5">
              <w:rPr>
                <w:rFonts w:ascii="Arial Narrow" w:hAnsi="Arial Narrow"/>
                <w:sz w:val="20"/>
                <w:szCs w:val="20"/>
              </w:rPr>
              <w:t>reast</w:t>
            </w:r>
            <w:r w:rsidRPr="00177003">
              <w:rPr>
                <w:rFonts w:ascii="Arial Narrow" w:hAnsi="Arial Narrow"/>
                <w:sz w:val="20"/>
                <w:szCs w:val="20"/>
              </w:rPr>
              <w:t xml:space="preserve"> cancer patients referred to the oncofertility unit at the Center for Reproductive Medicine from February 2010 to March 2014.</w:t>
            </w:r>
          </w:p>
          <w:p w14:paraId="63E986CB" w14:textId="46AE4DE3" w:rsidR="003F767A" w:rsidRPr="003F767A" w:rsidRDefault="003F767A" w:rsidP="00C402DB">
            <w:pPr>
              <w:pStyle w:val="PlainText"/>
              <w:spacing w:beforeLines="40" w:before="96" w:afterLines="40" w:after="96" w:line="240" w:lineRule="auto"/>
            </w:pPr>
            <w:r w:rsidRPr="003F767A">
              <w:rPr>
                <w:rFonts w:ascii="Arial Narrow" w:hAnsi="Arial Narrow"/>
                <w:szCs w:val="20"/>
                <w:u w:val="single"/>
              </w:rPr>
              <w:lastRenderedPageBreak/>
              <w:t>Exclusion criteria</w:t>
            </w:r>
            <w:r w:rsidR="009D0A93" w:rsidRPr="00E74EB5">
              <w:rPr>
                <w:rFonts w:ascii="Arial Narrow" w:hAnsi="Arial Narrow"/>
                <w:szCs w:val="20"/>
              </w:rPr>
              <w:t>:</w:t>
            </w:r>
            <w:r w:rsidRPr="00E74EB5">
              <w:rPr>
                <w:rFonts w:ascii="Arial Narrow" w:hAnsi="Arial Narrow"/>
                <w:szCs w:val="20"/>
              </w:rPr>
              <w:t xml:space="preserve"> -</w:t>
            </w:r>
          </w:p>
        </w:tc>
        <w:tc>
          <w:tcPr>
            <w:tcW w:w="3842" w:type="dxa"/>
          </w:tcPr>
          <w:p w14:paraId="3EC58099" w14:textId="158F52AF" w:rsidR="003F767A" w:rsidRPr="00177003" w:rsidRDefault="003F767A" w:rsidP="00177003">
            <w:pPr>
              <w:pStyle w:val="PlainText"/>
              <w:spacing w:beforeLines="40" w:before="96" w:afterLines="40" w:after="96" w:line="240" w:lineRule="auto"/>
              <w:rPr>
                <w:rFonts w:ascii="Arial Narrow" w:hAnsi="Arial Narrow"/>
                <w:szCs w:val="20"/>
                <w:u w:val="single"/>
              </w:rPr>
            </w:pPr>
            <w:r w:rsidRPr="003F767A">
              <w:rPr>
                <w:rFonts w:ascii="Arial Narrow" w:hAnsi="Arial Narrow"/>
                <w:szCs w:val="20"/>
                <w:u w:val="single"/>
              </w:rPr>
              <w:lastRenderedPageBreak/>
              <w:t>Test characteristics</w:t>
            </w:r>
            <w:r w:rsidR="009D0A93" w:rsidRPr="009D0A93">
              <w:rPr>
                <w:rFonts w:ascii="Arial Narrow" w:hAnsi="Arial Narrow"/>
                <w:szCs w:val="20"/>
              </w:rPr>
              <w:t>:</w:t>
            </w:r>
            <w:r w:rsidRPr="003F767A">
              <w:rPr>
                <w:rFonts w:ascii="Arial Narrow" w:hAnsi="Arial Narrow"/>
                <w:szCs w:val="20"/>
              </w:rPr>
              <w:t xml:space="preserve"> Serum AMH levels were measured using a commercial assay kit (AMH Gen II ELISA, </w:t>
            </w:r>
            <w:r w:rsidR="00C402DB">
              <w:rPr>
                <w:rFonts w:ascii="Arial Narrow" w:hAnsi="Arial Narrow"/>
                <w:szCs w:val="20"/>
              </w:rPr>
              <w:t>Beckman Coulter</w:t>
            </w:r>
            <w:r w:rsidRPr="003F767A">
              <w:rPr>
                <w:rFonts w:ascii="Arial Narrow" w:hAnsi="Arial Narrow"/>
                <w:szCs w:val="20"/>
              </w:rPr>
              <w:t>, Brea, CA, USA) according to the manufacturer’s protocol. The detection limit of this kit was 0.16 ng/</w:t>
            </w:r>
            <w:r w:rsidR="00023800">
              <w:rPr>
                <w:rFonts w:ascii="Arial Narrow" w:hAnsi="Arial Narrow"/>
                <w:szCs w:val="20"/>
              </w:rPr>
              <w:t>mL</w:t>
            </w:r>
            <w:r w:rsidRPr="003F767A">
              <w:rPr>
                <w:rFonts w:ascii="Arial Narrow" w:hAnsi="Arial Narrow"/>
                <w:szCs w:val="20"/>
              </w:rPr>
              <w:t>.</w:t>
            </w:r>
          </w:p>
          <w:p w14:paraId="3663BD7F" w14:textId="77777777" w:rsidR="00177003" w:rsidRPr="003F767A" w:rsidRDefault="00177003" w:rsidP="00177003">
            <w:pPr>
              <w:pStyle w:val="PlainText"/>
              <w:spacing w:beforeLines="40" w:before="96" w:afterLines="40" w:after="96" w:line="240" w:lineRule="auto"/>
              <w:rPr>
                <w:rFonts w:ascii="Arial Narrow" w:hAnsi="Arial Narrow"/>
                <w:szCs w:val="20"/>
                <w:u w:val="single"/>
              </w:rPr>
            </w:pPr>
          </w:p>
          <w:p w14:paraId="76A9776F" w14:textId="68BD02FD" w:rsidR="003F767A" w:rsidRPr="003F767A" w:rsidRDefault="003F767A" w:rsidP="00C402DB">
            <w:pPr>
              <w:pStyle w:val="PlainText"/>
              <w:spacing w:beforeLines="40" w:before="96" w:afterLines="40" w:after="96" w:line="240" w:lineRule="auto"/>
              <w:rPr>
                <w:rFonts w:ascii="Arial Narrow" w:hAnsi="Arial Narrow"/>
                <w:szCs w:val="20"/>
                <w:u w:val="single"/>
              </w:rPr>
            </w:pPr>
            <w:r w:rsidRPr="003F767A">
              <w:rPr>
                <w:rFonts w:ascii="Arial Narrow" w:hAnsi="Arial Narrow"/>
                <w:szCs w:val="20"/>
                <w:u w:val="single"/>
              </w:rPr>
              <w:t>Analysis</w:t>
            </w:r>
            <w:r w:rsidR="009D0A93" w:rsidRPr="009D0A93">
              <w:rPr>
                <w:rFonts w:ascii="Arial Narrow" w:hAnsi="Arial Narrow"/>
                <w:szCs w:val="20"/>
              </w:rPr>
              <w:t>:</w:t>
            </w:r>
            <w:r w:rsidRPr="00E74EB5">
              <w:rPr>
                <w:rFonts w:ascii="Arial Narrow" w:hAnsi="Arial Narrow"/>
                <w:szCs w:val="20"/>
              </w:rPr>
              <w:t xml:space="preserve"> </w:t>
            </w:r>
            <w:r w:rsidRPr="003F767A">
              <w:rPr>
                <w:rFonts w:ascii="Arial Narrow" w:hAnsi="Arial Narrow"/>
                <w:szCs w:val="20"/>
              </w:rPr>
              <w:t>to investigate the correlations between AMH levels, age, BMI, ovarian tissue volume, and the number of extracted oocytes, a non-parametric Spearman’s correlation coefficient by rank test was used.</w:t>
            </w:r>
          </w:p>
        </w:tc>
        <w:tc>
          <w:tcPr>
            <w:tcW w:w="2307" w:type="dxa"/>
          </w:tcPr>
          <w:p w14:paraId="5E57CF4A" w14:textId="22B43C39" w:rsidR="003F767A" w:rsidRPr="003F767A" w:rsidRDefault="003F767A" w:rsidP="00A422C7">
            <w:pPr>
              <w:spacing w:beforeLines="40" w:before="96" w:afterLines="40" w:after="96" w:line="240" w:lineRule="auto"/>
              <w:ind w:right="-57"/>
              <w:rPr>
                <w:rFonts w:ascii="Arial Narrow" w:hAnsi="Arial Narrow"/>
                <w:sz w:val="20"/>
                <w:szCs w:val="20"/>
              </w:rPr>
            </w:pPr>
            <w:r w:rsidRPr="003F767A">
              <w:rPr>
                <w:rFonts w:ascii="Arial Narrow" w:hAnsi="Arial Narrow"/>
                <w:sz w:val="20"/>
                <w:szCs w:val="20"/>
              </w:rPr>
              <w:t>Correlation between the patient’s AMH level and the number of extracted oocytes</w:t>
            </w:r>
            <w:r w:rsidR="0048183F">
              <w:rPr>
                <w:rFonts w:ascii="Arial Narrow" w:hAnsi="Arial Narrow"/>
                <w:sz w:val="20"/>
                <w:szCs w:val="20"/>
              </w:rPr>
              <w:t>.</w:t>
            </w:r>
          </w:p>
        </w:tc>
      </w:tr>
    </w:tbl>
    <w:p w14:paraId="708B615B" w14:textId="55ECF8BD" w:rsidR="00835BA6" w:rsidRDefault="00835BA6" w:rsidP="00835BA6">
      <w:pPr>
        <w:pStyle w:val="Tablenotes0"/>
      </w:pPr>
      <w:r>
        <w:lastRenderedPageBreak/>
        <w:t>AFC = antral follicle count; AMH = anti-Müllerian hormone; AUC = area under the curve; BMI = body mass index; CI = confidence interval; CRA = chemotherapy</w:t>
      </w:r>
      <w:r w:rsidR="00DF36E4">
        <w:t>-</w:t>
      </w:r>
      <w:r>
        <w:t>related amenorrhea; E2 = estradiol; EIA = enzyme Immunoassay; ELISA = enzyme-linked immunosorbent assay; FSH = follicle-stimulating hormone; ICSI = intracytoplasmic sperm injection; LH = luteinising hormone; NA = not available; NR = not reported OR = odds ratio; ROC = rec</w:t>
      </w:r>
      <w:r w:rsidR="00F76C9E">
        <w:t>eiving operating characteristic</w:t>
      </w:r>
    </w:p>
    <w:p w14:paraId="6D88FD0A" w14:textId="64B8E5FC" w:rsidR="003F767A" w:rsidRPr="003F767A" w:rsidRDefault="003F767A" w:rsidP="003F767A">
      <w:pPr>
        <w:pStyle w:val="Caption"/>
        <w:rPr>
          <w:lang w:eastAsia="en-US"/>
        </w:rPr>
      </w:pPr>
      <w:bookmarkStart w:id="517" w:name="_Toc502833105"/>
      <w:r w:rsidRPr="003F767A">
        <w:rPr>
          <w:lang w:eastAsia="en-US"/>
        </w:rPr>
        <w:t xml:space="preserve">Table </w:t>
      </w:r>
      <w:r w:rsidRPr="003F767A">
        <w:rPr>
          <w:lang w:eastAsia="en-US"/>
        </w:rPr>
        <w:fldChar w:fldCharType="begin"/>
      </w:r>
      <w:r w:rsidRPr="003F767A">
        <w:rPr>
          <w:lang w:eastAsia="en-US"/>
        </w:rPr>
        <w:instrText xml:space="preserve"> SEQ Table \* ARABIC </w:instrText>
      </w:r>
      <w:r w:rsidRPr="003F767A">
        <w:rPr>
          <w:lang w:eastAsia="en-US"/>
        </w:rPr>
        <w:fldChar w:fldCharType="separate"/>
      </w:r>
      <w:r w:rsidR="00AC4BE5">
        <w:rPr>
          <w:noProof/>
          <w:lang w:eastAsia="en-US"/>
        </w:rPr>
        <w:t>87</w:t>
      </w:r>
      <w:r w:rsidRPr="003F767A">
        <w:rPr>
          <w:noProof/>
          <w:lang w:eastAsia="en-US"/>
        </w:rPr>
        <w:fldChar w:fldCharType="end"/>
      </w:r>
      <w:r w:rsidR="00E74EB5">
        <w:rPr>
          <w:lang w:eastAsia="en-US"/>
        </w:rPr>
        <w:tab/>
      </w:r>
      <w:r w:rsidRPr="003F767A">
        <w:rPr>
          <w:lang w:eastAsia="en-US"/>
        </w:rPr>
        <w:t>Prognostic evidence: AMH levels predicting pregnancy</w:t>
      </w:r>
      <w:bookmarkEnd w:id="517"/>
    </w:p>
    <w:tbl>
      <w:tblPr>
        <w:tblStyle w:val="TableGrid113"/>
        <w:tblW w:w="4978" w:type="pct"/>
        <w:tblLook w:val="04A0" w:firstRow="1" w:lastRow="0" w:firstColumn="1" w:lastColumn="0" w:noHBand="0" w:noVBand="1"/>
        <w:tblCaption w:val="Table 60 Profiles of comparative studies of MTA vs RFA in patients with primary liver tumours (Population 1) included in this assessment"/>
        <w:tblDescription w:val="Six comparative studies reporting on safety and effectiveness outcomes for Population 1 were included. This table indicates details on study design and quality, the study population, inclusion/ exclusion criteria, setting and technical details of the index test, and outcomes assessed."/>
      </w:tblPr>
      <w:tblGrid>
        <w:gridCol w:w="2178"/>
        <w:gridCol w:w="2809"/>
        <w:gridCol w:w="3433"/>
        <w:gridCol w:w="4523"/>
        <w:gridCol w:w="2341"/>
      </w:tblGrid>
      <w:tr w:rsidR="003F767A" w:rsidRPr="003F767A" w14:paraId="4C6C1A8A" w14:textId="77777777" w:rsidTr="00267CD2">
        <w:trPr>
          <w:cnfStyle w:val="100000000000" w:firstRow="1" w:lastRow="0" w:firstColumn="0" w:lastColumn="0" w:oddVBand="0" w:evenVBand="0" w:oddHBand="0" w:evenHBand="0" w:firstRowFirstColumn="0" w:firstRowLastColumn="0" w:lastRowFirstColumn="0" w:lastRowLastColumn="0"/>
          <w:tblHeader/>
        </w:trPr>
        <w:tc>
          <w:tcPr>
            <w:tcW w:w="1979" w:type="dxa"/>
          </w:tcPr>
          <w:p w14:paraId="3B6053B5" w14:textId="60156984" w:rsidR="003F767A" w:rsidRPr="00C402DB" w:rsidRDefault="00E74EB5" w:rsidP="003F767A">
            <w:pPr>
              <w:spacing w:after="0" w:line="240" w:lineRule="auto"/>
              <w:ind w:right="-57"/>
              <w:rPr>
                <w:rFonts w:ascii="Arial Narrow" w:hAnsi="Arial Narrow"/>
                <w:b/>
                <w:sz w:val="20"/>
                <w:szCs w:val="20"/>
              </w:rPr>
            </w:pPr>
            <w:r w:rsidRPr="00C402DB">
              <w:rPr>
                <w:rFonts w:ascii="Arial Narrow" w:hAnsi="Arial Narrow"/>
                <w:b/>
                <w:sz w:val="20"/>
                <w:szCs w:val="20"/>
              </w:rPr>
              <w:t>Author, year, c</w:t>
            </w:r>
            <w:r w:rsidR="003F767A" w:rsidRPr="00C402DB">
              <w:rPr>
                <w:rFonts w:ascii="Arial Narrow" w:hAnsi="Arial Narrow"/>
                <w:b/>
                <w:sz w:val="20"/>
                <w:szCs w:val="20"/>
              </w:rPr>
              <w:t>ountry</w:t>
            </w:r>
          </w:p>
          <w:p w14:paraId="79780FF5" w14:textId="77777777" w:rsidR="003F767A" w:rsidRPr="00C402DB" w:rsidRDefault="003F767A" w:rsidP="003F767A">
            <w:pPr>
              <w:spacing w:after="0" w:line="240" w:lineRule="auto"/>
              <w:ind w:right="-57"/>
              <w:rPr>
                <w:rFonts w:ascii="Arial Narrow" w:hAnsi="Arial Narrow"/>
                <w:b/>
                <w:sz w:val="20"/>
                <w:szCs w:val="20"/>
              </w:rPr>
            </w:pPr>
            <w:r w:rsidRPr="00C402DB">
              <w:rPr>
                <w:rFonts w:ascii="Arial Narrow" w:hAnsi="Arial Narrow"/>
                <w:b/>
                <w:sz w:val="20"/>
                <w:szCs w:val="20"/>
              </w:rPr>
              <w:t>Study design</w:t>
            </w:r>
          </w:p>
          <w:p w14:paraId="0E09159B" w14:textId="77777777" w:rsidR="003F767A" w:rsidRPr="00C402DB" w:rsidRDefault="003F767A" w:rsidP="003F767A">
            <w:pPr>
              <w:spacing w:after="0" w:line="240" w:lineRule="auto"/>
              <w:ind w:right="-57"/>
              <w:rPr>
                <w:rFonts w:ascii="Arial Narrow" w:hAnsi="Arial Narrow"/>
                <w:b/>
                <w:sz w:val="20"/>
                <w:szCs w:val="20"/>
              </w:rPr>
            </w:pPr>
            <w:r w:rsidRPr="00C402DB">
              <w:rPr>
                <w:rFonts w:ascii="Arial Narrow" w:hAnsi="Arial Narrow"/>
                <w:b/>
                <w:sz w:val="20"/>
                <w:szCs w:val="20"/>
              </w:rPr>
              <w:t>Level of evidence</w:t>
            </w:r>
          </w:p>
          <w:p w14:paraId="0D8E887E" w14:textId="77777777" w:rsidR="003F767A" w:rsidRPr="00C402DB" w:rsidRDefault="003F767A" w:rsidP="003F767A">
            <w:pPr>
              <w:spacing w:after="0" w:line="240" w:lineRule="auto"/>
              <w:ind w:right="-57"/>
              <w:rPr>
                <w:rFonts w:ascii="Arial Narrow" w:hAnsi="Arial Narrow"/>
                <w:b/>
                <w:sz w:val="20"/>
                <w:szCs w:val="20"/>
              </w:rPr>
            </w:pPr>
            <w:r w:rsidRPr="00C402DB">
              <w:rPr>
                <w:rFonts w:ascii="Arial Narrow" w:hAnsi="Arial Narrow"/>
                <w:b/>
                <w:sz w:val="20"/>
                <w:szCs w:val="20"/>
              </w:rPr>
              <w:t>Quality appraisal</w:t>
            </w:r>
          </w:p>
        </w:tc>
        <w:tc>
          <w:tcPr>
            <w:tcW w:w="2552" w:type="dxa"/>
          </w:tcPr>
          <w:p w14:paraId="3017118E" w14:textId="77777777" w:rsidR="003F767A" w:rsidRPr="00C402DB" w:rsidRDefault="003F767A" w:rsidP="003F767A">
            <w:pPr>
              <w:spacing w:after="0" w:line="240" w:lineRule="auto"/>
              <w:ind w:right="-57"/>
              <w:rPr>
                <w:rFonts w:ascii="Arial Narrow" w:hAnsi="Arial Narrow"/>
                <w:b/>
                <w:sz w:val="20"/>
                <w:szCs w:val="20"/>
              </w:rPr>
            </w:pPr>
            <w:r w:rsidRPr="00C402DB">
              <w:rPr>
                <w:rFonts w:ascii="Arial Narrow" w:hAnsi="Arial Narrow"/>
                <w:b/>
                <w:sz w:val="20"/>
                <w:szCs w:val="20"/>
              </w:rPr>
              <w:t>Population characteristics</w:t>
            </w:r>
          </w:p>
        </w:tc>
        <w:tc>
          <w:tcPr>
            <w:tcW w:w="3119" w:type="dxa"/>
          </w:tcPr>
          <w:p w14:paraId="00094EE1" w14:textId="77777777" w:rsidR="003F767A" w:rsidRPr="00C402DB" w:rsidRDefault="003F767A" w:rsidP="003F767A">
            <w:pPr>
              <w:spacing w:after="0" w:line="240" w:lineRule="auto"/>
              <w:ind w:right="-57"/>
              <w:rPr>
                <w:rFonts w:ascii="Arial Narrow" w:hAnsi="Arial Narrow"/>
                <w:b/>
                <w:sz w:val="20"/>
                <w:szCs w:val="20"/>
              </w:rPr>
            </w:pPr>
            <w:r w:rsidRPr="00C402DB">
              <w:rPr>
                <w:rFonts w:ascii="Arial Narrow" w:hAnsi="Arial Narrow"/>
                <w:b/>
                <w:sz w:val="20"/>
                <w:szCs w:val="20"/>
              </w:rPr>
              <w:t>Objectives</w:t>
            </w:r>
          </w:p>
          <w:p w14:paraId="0023BC7F" w14:textId="77777777" w:rsidR="003F767A" w:rsidRPr="00C402DB" w:rsidRDefault="003F767A" w:rsidP="003F767A">
            <w:pPr>
              <w:spacing w:after="0" w:line="240" w:lineRule="auto"/>
              <w:ind w:right="-57"/>
              <w:rPr>
                <w:rFonts w:ascii="Arial Narrow" w:hAnsi="Arial Narrow"/>
                <w:b/>
                <w:sz w:val="20"/>
                <w:szCs w:val="20"/>
              </w:rPr>
            </w:pPr>
            <w:r w:rsidRPr="00C402DB">
              <w:rPr>
                <w:rFonts w:ascii="Arial Narrow" w:hAnsi="Arial Narrow"/>
                <w:b/>
                <w:sz w:val="20"/>
                <w:szCs w:val="20"/>
              </w:rPr>
              <w:t>Eligibility criteria</w:t>
            </w:r>
          </w:p>
        </w:tc>
        <w:tc>
          <w:tcPr>
            <w:tcW w:w="4110" w:type="dxa"/>
          </w:tcPr>
          <w:p w14:paraId="760314CC" w14:textId="77777777" w:rsidR="003F767A" w:rsidRPr="00C402DB" w:rsidRDefault="003F767A" w:rsidP="003F767A">
            <w:pPr>
              <w:spacing w:after="0" w:line="240" w:lineRule="auto"/>
              <w:ind w:right="-57"/>
              <w:rPr>
                <w:rFonts w:ascii="Arial Narrow" w:hAnsi="Arial Narrow"/>
                <w:b/>
                <w:sz w:val="20"/>
                <w:szCs w:val="20"/>
              </w:rPr>
            </w:pPr>
            <w:r w:rsidRPr="00C402DB">
              <w:rPr>
                <w:rFonts w:ascii="Arial Narrow" w:hAnsi="Arial Narrow"/>
                <w:b/>
                <w:sz w:val="20"/>
                <w:szCs w:val="20"/>
              </w:rPr>
              <w:t>AMH test</w:t>
            </w:r>
          </w:p>
        </w:tc>
        <w:tc>
          <w:tcPr>
            <w:tcW w:w="2127" w:type="dxa"/>
          </w:tcPr>
          <w:p w14:paraId="6F41DA99" w14:textId="77777777" w:rsidR="003F767A" w:rsidRPr="00C402DB" w:rsidRDefault="003F767A" w:rsidP="003F767A">
            <w:pPr>
              <w:spacing w:after="0" w:line="240" w:lineRule="auto"/>
              <w:ind w:right="-57"/>
              <w:rPr>
                <w:rFonts w:ascii="Arial Narrow" w:hAnsi="Arial Narrow"/>
                <w:b/>
                <w:sz w:val="20"/>
                <w:szCs w:val="20"/>
              </w:rPr>
            </w:pPr>
            <w:r w:rsidRPr="00C402DB">
              <w:rPr>
                <w:rFonts w:ascii="Arial Narrow" w:hAnsi="Arial Narrow"/>
                <w:b/>
                <w:sz w:val="20"/>
                <w:szCs w:val="20"/>
              </w:rPr>
              <w:t>Prognostic outcomes assessed</w:t>
            </w:r>
          </w:p>
        </w:tc>
      </w:tr>
      <w:tr w:rsidR="003F767A" w:rsidRPr="003F767A" w14:paraId="16DE4DA5" w14:textId="77777777" w:rsidTr="00267CD2">
        <w:tc>
          <w:tcPr>
            <w:tcW w:w="1979" w:type="dxa"/>
          </w:tcPr>
          <w:p w14:paraId="6A42FCD1" w14:textId="77D00694"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 xml:space="preserve">Hamy et al. </w:t>
            </w:r>
            <w:r w:rsidR="00577E24" w:rsidRPr="00C402DB">
              <w:rPr>
                <w:rFonts w:ascii="Arial Narrow" w:hAnsi="Arial Narrow"/>
                <w:sz w:val="20"/>
                <w:szCs w:val="20"/>
              </w:rPr>
              <w:fldChar w:fldCharType="begin"/>
            </w:r>
            <w:r w:rsidR="00577E24" w:rsidRPr="00C402DB">
              <w:rPr>
                <w:rFonts w:ascii="Arial Narrow" w:hAnsi="Arial Narrow"/>
                <w:sz w:val="20"/>
                <w:szCs w:val="20"/>
              </w:rPr>
              <w:instrText xml:space="preserve"> ADDIN EN.CITE &lt;EndNote&gt;&lt;Cite ExcludeAuth="1"&gt;&lt;Author&gt;Hamy&lt;/Author&gt;&lt;Year&gt;2016&lt;/Year&gt;&lt;RecNum&gt;175&lt;/RecNum&gt;&lt;IDText&gt;299-307&lt;/IDText&gt;&lt;DisplayText&gt;(2016)&lt;/DisplayText&gt;&lt;record&gt;&lt;rec-number&gt;175&lt;/rec-number&gt;&lt;foreign-keys&gt;&lt;key app="EN" db-id="s2dftfxw1fvsr1efx58vfvxtvfwzxea0td02" timestamp="1511748076"&gt;175&lt;/key&gt;&lt;/foreign-keys&gt;&lt;ref-type name="Journal Article"&gt;17&lt;/ref-type&gt;&lt;contributors&gt;&lt;authors&gt;&lt;author&gt;Hamy, A. S.&lt;/author&gt;&lt;author&gt;Porcher, R.&lt;/author&gt;&lt;author&gt;Eskenazi, S.&lt;/author&gt;&lt;author&gt;Cuvier, C.&lt;/author&gt;&lt;author&gt;Giacchetti, S.&lt;/author&gt;&lt;author&gt;Coussy, F.&lt;/author&gt;&lt;author&gt;Hocini, H.&lt;/author&gt;&lt;author&gt;Tournant, B.&lt;/author&gt;&lt;author&gt;Perret, F.&lt;/author&gt;&lt;author&gt;Bonfils, S.&lt;/author&gt;&lt;author&gt;Charveriat, P.&lt;/author&gt;&lt;author&gt;Lacorte, J. M.&lt;/author&gt;&lt;author&gt;Espie, M.&lt;/author&gt;&lt;/authors&gt;&lt;/contributors&gt;&lt;titles&gt;&lt;title&gt;Anti-Mullerian hormone in breast cancer patients treated with chemotherapy: a retrospective evaluation of subsequent pregnancies&lt;/title&gt;&lt;secondary-title&gt;Reprod Biomed Online&lt;/secondary-title&gt;&lt;/titles&gt;&lt;periodical&gt;&lt;full-title&gt;Reprod Biomed Online&lt;/full-title&gt;&lt;/periodical&gt;&lt;pages&gt;299-307&lt;/pages&gt;&lt;volume&gt;32&lt;/volume&gt;&lt;number&gt;3&lt;/number&gt;&lt;keywords&gt;&lt;keyword&gt;Survival Rate&lt;/keyword&gt;&lt;keyword&gt;Hysterectomy&lt;/keyword&gt;&lt;keyword&gt;Pregnancy&lt;/keyword&gt;&lt;keyword&gt;Breast Neoplasms&lt;/keyword&gt;&lt;/keywords&gt;&lt;dates&gt;&lt;year&gt;2016&lt;/year&gt;&lt;pub-dates&gt;&lt;date&gt;2016-1-1&lt;/date&gt;&lt;/pub-dates&gt;&lt;/dates&gt;&lt;isbn&gt;1472-6483 (Print) 1472-6483&lt;/isbn&gt;&lt;accession-num&gt;rayyan-6674820&lt;/accession-num&gt;&lt;urls&gt;&lt;/urls&gt;&lt;custom1&gt;RAYYAN-INCLUSION: {&amp;quot;Sharon&amp;quot;=&amp;gt;true, &amp;quot;Joanne&amp;quot;=&amp;gt;true}&lt;/custom1&gt;&lt;language&gt;eng&lt;/language&gt;&lt;/record&gt;&lt;/Cite&gt;&lt;/EndNote&gt;</w:instrText>
            </w:r>
            <w:r w:rsidR="00577E24" w:rsidRPr="00C402DB">
              <w:rPr>
                <w:rFonts w:ascii="Arial Narrow" w:hAnsi="Arial Narrow"/>
                <w:sz w:val="20"/>
                <w:szCs w:val="20"/>
              </w:rPr>
              <w:fldChar w:fldCharType="separate"/>
            </w:r>
            <w:r w:rsidR="00577E24" w:rsidRPr="00C402DB">
              <w:rPr>
                <w:rFonts w:ascii="Arial Narrow" w:hAnsi="Arial Narrow"/>
                <w:noProof/>
                <w:sz w:val="20"/>
                <w:szCs w:val="20"/>
              </w:rPr>
              <w:t>(</w:t>
            </w:r>
            <w:hyperlink w:anchor="_ENREF_27" w:tooltip="Hamy, 2016 #175" w:history="1">
              <w:r w:rsidR="00835BA6" w:rsidRPr="00C402DB">
                <w:rPr>
                  <w:rFonts w:ascii="Arial Narrow" w:hAnsi="Arial Narrow"/>
                  <w:noProof/>
                  <w:sz w:val="20"/>
                  <w:szCs w:val="20"/>
                </w:rPr>
                <w:t>2016</w:t>
              </w:r>
            </w:hyperlink>
            <w:r w:rsidR="00577E24" w:rsidRPr="00C402DB">
              <w:rPr>
                <w:rFonts w:ascii="Arial Narrow" w:hAnsi="Arial Narrow"/>
                <w:noProof/>
                <w:sz w:val="20"/>
                <w:szCs w:val="20"/>
              </w:rPr>
              <w:t>)</w:t>
            </w:r>
            <w:r w:rsidR="00577E24" w:rsidRPr="00C402DB">
              <w:rPr>
                <w:rFonts w:ascii="Arial Narrow" w:hAnsi="Arial Narrow"/>
                <w:sz w:val="20"/>
                <w:szCs w:val="20"/>
              </w:rPr>
              <w:fldChar w:fldCharType="end"/>
            </w:r>
          </w:p>
          <w:p w14:paraId="26E9D237" w14:textId="77777777"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France</w:t>
            </w:r>
          </w:p>
          <w:p w14:paraId="7198A8E3" w14:textId="77777777" w:rsidR="00C402DB" w:rsidRPr="00C402DB"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Level</w:t>
            </w:r>
            <w:r w:rsidR="009D0A93" w:rsidRPr="00C402DB">
              <w:rPr>
                <w:rFonts w:ascii="Arial Narrow" w:hAnsi="Arial Narrow"/>
                <w:szCs w:val="20"/>
              </w:rPr>
              <w:t>:</w:t>
            </w:r>
            <w:r w:rsidR="00E74EB5" w:rsidRPr="00C402DB">
              <w:rPr>
                <w:rFonts w:ascii="Arial Narrow" w:hAnsi="Arial Narrow"/>
                <w:szCs w:val="20"/>
              </w:rPr>
              <w:t xml:space="preserve"> </w:t>
            </w:r>
            <w:r w:rsidRPr="00C402DB">
              <w:rPr>
                <w:rFonts w:ascii="Arial Narrow" w:hAnsi="Arial Narrow"/>
                <w:szCs w:val="20"/>
              </w:rPr>
              <w:t>IV (retrospective study)</w:t>
            </w:r>
          </w:p>
          <w:p w14:paraId="2F3211F0" w14:textId="08940C12" w:rsidR="007518CF" w:rsidRPr="00C402DB"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Quality</w:t>
            </w:r>
            <w:r w:rsidR="009D0A93" w:rsidRPr="00C402DB">
              <w:rPr>
                <w:rFonts w:ascii="Arial Narrow" w:hAnsi="Arial Narrow"/>
                <w:szCs w:val="20"/>
              </w:rPr>
              <w:t>:</w:t>
            </w:r>
          </w:p>
          <w:p w14:paraId="63158A27" w14:textId="25184594"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Moderate risk of bias</w:t>
            </w:r>
          </w:p>
        </w:tc>
        <w:tc>
          <w:tcPr>
            <w:tcW w:w="2552" w:type="dxa"/>
          </w:tcPr>
          <w:p w14:paraId="41F8687D" w14:textId="77777777" w:rsidR="00C402DB"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Population</w:t>
            </w:r>
            <w:r w:rsidR="009D0A93" w:rsidRPr="00C402DB">
              <w:rPr>
                <w:rFonts w:ascii="Arial Narrow" w:hAnsi="Arial Narrow"/>
                <w:szCs w:val="20"/>
              </w:rPr>
              <w:t>:</w:t>
            </w:r>
            <w:r w:rsidRPr="00C402DB">
              <w:rPr>
                <w:rFonts w:ascii="Arial Narrow" w:hAnsi="Arial Narrow"/>
                <w:szCs w:val="20"/>
              </w:rPr>
              <w:t xml:space="preserve"> 13</w:t>
            </w:r>
            <w:r w:rsidR="00C402DB">
              <w:rPr>
                <w:rFonts w:ascii="Arial Narrow" w:hAnsi="Arial Narrow"/>
                <w:szCs w:val="20"/>
              </w:rPr>
              <w:t>4/146 consecutive women aged 26–</w:t>
            </w:r>
            <w:r w:rsidRPr="00C402DB">
              <w:rPr>
                <w:rFonts w:ascii="Arial Narrow" w:hAnsi="Arial Narrow"/>
                <w:szCs w:val="20"/>
              </w:rPr>
              <w:t>43 years who received adjuvant or neoadjuvant chemotherapy for breast cancer were included.</w:t>
            </w:r>
          </w:p>
          <w:p w14:paraId="5A51D71E" w14:textId="77777777" w:rsidR="00157388" w:rsidRDefault="00157388" w:rsidP="00157388">
            <w:pPr>
              <w:pStyle w:val="PlainText"/>
              <w:spacing w:beforeLines="40" w:before="96" w:afterLines="40" w:after="96" w:line="240" w:lineRule="auto"/>
              <w:rPr>
                <w:rFonts w:ascii="Arial Narrow" w:hAnsi="Arial Narrow"/>
                <w:szCs w:val="20"/>
              </w:rPr>
            </w:pPr>
            <w:r>
              <w:rPr>
                <w:rFonts w:ascii="Arial Narrow" w:hAnsi="Arial Narrow"/>
                <w:szCs w:val="20"/>
              </w:rPr>
              <w:t>Median age (range): 35.5 (26–</w:t>
            </w:r>
            <w:r w:rsidR="003F767A" w:rsidRPr="00C402DB">
              <w:rPr>
                <w:rFonts w:ascii="Arial Narrow" w:hAnsi="Arial Narrow"/>
                <w:szCs w:val="20"/>
              </w:rPr>
              <w:t>43)</w:t>
            </w:r>
          </w:p>
          <w:p w14:paraId="435D6181" w14:textId="77777777" w:rsidR="00157388" w:rsidRDefault="00157388" w:rsidP="00157388">
            <w:pPr>
              <w:pStyle w:val="PlainText"/>
              <w:spacing w:beforeLines="40" w:before="96" w:afterLines="40" w:after="96" w:line="240" w:lineRule="auto"/>
              <w:rPr>
                <w:rFonts w:ascii="Arial Narrow" w:hAnsi="Arial Narrow"/>
                <w:szCs w:val="20"/>
              </w:rPr>
            </w:pPr>
          </w:p>
          <w:p w14:paraId="01FD2D49" w14:textId="686C3E06" w:rsidR="003F767A" w:rsidRPr="00157388"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Treatment</w:t>
            </w:r>
            <w:r w:rsidR="009D0A93" w:rsidRPr="00C402DB">
              <w:rPr>
                <w:rFonts w:ascii="Arial Narrow" w:hAnsi="Arial Narrow"/>
                <w:szCs w:val="20"/>
              </w:rPr>
              <w:t>:</w:t>
            </w:r>
            <w:r w:rsidRPr="00C402DB">
              <w:rPr>
                <w:rFonts w:ascii="Arial Narrow" w:hAnsi="Arial Narrow"/>
                <w:szCs w:val="20"/>
              </w:rPr>
              <w:t xml:space="preserve"> adjuvant or neoadjuvant chemotherapy</w:t>
            </w:r>
            <w:r w:rsidR="00E830B2">
              <w:rPr>
                <w:rFonts w:ascii="Arial Narrow" w:hAnsi="Arial Narrow"/>
                <w:szCs w:val="20"/>
              </w:rPr>
              <w:t>.</w:t>
            </w:r>
          </w:p>
        </w:tc>
        <w:tc>
          <w:tcPr>
            <w:tcW w:w="3119" w:type="dxa"/>
          </w:tcPr>
          <w:p w14:paraId="006A266C" w14:textId="67230F6E" w:rsidR="003F767A" w:rsidRPr="00C402DB" w:rsidRDefault="003F767A" w:rsidP="00157388">
            <w:pPr>
              <w:spacing w:beforeLines="40" w:before="96" w:afterLines="40" w:after="96" w:line="240" w:lineRule="auto"/>
              <w:ind w:right="-57"/>
              <w:rPr>
                <w:sz w:val="20"/>
                <w:szCs w:val="20"/>
              </w:rPr>
            </w:pPr>
            <w:r w:rsidRPr="00C402DB">
              <w:rPr>
                <w:rFonts w:ascii="Arial Narrow" w:hAnsi="Arial Narrow"/>
                <w:sz w:val="20"/>
                <w:szCs w:val="20"/>
                <w:u w:val="single"/>
              </w:rPr>
              <w:t>Objective</w:t>
            </w:r>
            <w:r w:rsidR="009D0A93" w:rsidRPr="00C402DB">
              <w:rPr>
                <w:rFonts w:ascii="Arial Narrow" w:hAnsi="Arial Narrow"/>
                <w:sz w:val="20"/>
                <w:szCs w:val="20"/>
              </w:rPr>
              <w:t>:</w:t>
            </w:r>
            <w:r w:rsidRPr="00C402DB">
              <w:rPr>
                <w:rFonts w:ascii="Arial Narrow" w:hAnsi="Arial Narrow"/>
                <w:sz w:val="20"/>
                <w:szCs w:val="20"/>
              </w:rPr>
              <w:t xml:space="preserve"> to investigate the relationship between the biological assessment of AMH and the occurrence of a pregnancy after treatment with chemotherapy in a cohort of women with breast cancer of reproductive age.</w:t>
            </w:r>
          </w:p>
          <w:p w14:paraId="7A64D245" w14:textId="77777777" w:rsidR="00E74EB5" w:rsidRPr="00C402DB" w:rsidRDefault="00E74EB5" w:rsidP="00157388">
            <w:pPr>
              <w:spacing w:beforeLines="40" w:before="96" w:afterLines="40" w:after="96" w:line="240" w:lineRule="auto"/>
              <w:ind w:right="-57"/>
              <w:rPr>
                <w:sz w:val="20"/>
                <w:szCs w:val="20"/>
              </w:rPr>
            </w:pPr>
          </w:p>
          <w:p w14:paraId="4B99EC95" w14:textId="4E81198E" w:rsidR="007518CF"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u w:val="single"/>
              </w:rPr>
              <w:t>Inclusion criteria</w:t>
            </w:r>
            <w:r w:rsidR="009D0A93" w:rsidRPr="00C402DB">
              <w:rPr>
                <w:rFonts w:ascii="Arial Narrow" w:hAnsi="Arial Narrow"/>
                <w:sz w:val="20"/>
                <w:szCs w:val="20"/>
              </w:rPr>
              <w:t>:</w:t>
            </w:r>
            <w:r w:rsidRPr="00C402DB">
              <w:rPr>
                <w:rFonts w:ascii="Arial Narrow" w:hAnsi="Arial Narrow"/>
                <w:sz w:val="20"/>
                <w:szCs w:val="20"/>
              </w:rPr>
              <w:t xml:space="preserve"> -</w:t>
            </w:r>
          </w:p>
          <w:p w14:paraId="4773007E" w14:textId="7777163E" w:rsidR="003F767A" w:rsidRPr="00C402DB" w:rsidRDefault="003F767A" w:rsidP="00157388">
            <w:pPr>
              <w:pStyle w:val="PlainText"/>
              <w:spacing w:beforeLines="40" w:before="96" w:afterLines="40" w:after="96" w:line="240" w:lineRule="auto"/>
              <w:rPr>
                <w:szCs w:val="20"/>
              </w:rPr>
            </w:pPr>
            <w:r w:rsidRPr="00C402DB">
              <w:rPr>
                <w:rFonts w:ascii="Arial Narrow" w:hAnsi="Arial Narrow"/>
                <w:szCs w:val="20"/>
                <w:u w:val="single"/>
              </w:rPr>
              <w:t>Exclusion criteria</w:t>
            </w:r>
            <w:r w:rsidR="009D0A93" w:rsidRPr="00C402DB">
              <w:rPr>
                <w:rFonts w:ascii="Arial Narrow" w:hAnsi="Arial Narrow"/>
                <w:szCs w:val="20"/>
              </w:rPr>
              <w:t>:</w:t>
            </w:r>
            <w:r w:rsidR="00E74EB5" w:rsidRPr="00C402DB">
              <w:rPr>
                <w:rFonts w:ascii="Arial Narrow" w:hAnsi="Arial Narrow"/>
                <w:szCs w:val="20"/>
              </w:rPr>
              <w:t xml:space="preserve"> metastases at diagnosis</w:t>
            </w:r>
            <w:r w:rsidR="0048183F">
              <w:rPr>
                <w:rFonts w:ascii="Arial Narrow" w:hAnsi="Arial Narrow"/>
                <w:szCs w:val="20"/>
              </w:rPr>
              <w:t>.</w:t>
            </w:r>
          </w:p>
        </w:tc>
        <w:tc>
          <w:tcPr>
            <w:tcW w:w="4110" w:type="dxa"/>
          </w:tcPr>
          <w:p w14:paraId="175C3498" w14:textId="77777777" w:rsidR="00157388"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Test characteristics</w:t>
            </w:r>
            <w:r w:rsidR="009D0A93" w:rsidRPr="00C402DB">
              <w:rPr>
                <w:rFonts w:ascii="Arial Narrow" w:hAnsi="Arial Narrow"/>
                <w:szCs w:val="20"/>
              </w:rPr>
              <w:t>:</w:t>
            </w:r>
            <w:r w:rsidRPr="00C402DB">
              <w:rPr>
                <w:rFonts w:ascii="Arial Narrow" w:hAnsi="Arial Narrow"/>
                <w:szCs w:val="20"/>
              </w:rPr>
              <w:t xml:space="preserve"> The analyses were carried out in duplicate using Immunotech A11893 kits (Beckman Coulter, Marseille, France). The lower limit of detection for AMH was 0.14 ng/</w:t>
            </w:r>
            <w:r w:rsidR="00023800" w:rsidRPr="00C402DB">
              <w:rPr>
                <w:rFonts w:ascii="Arial Narrow" w:hAnsi="Arial Narrow"/>
                <w:szCs w:val="20"/>
              </w:rPr>
              <w:t>mL</w:t>
            </w:r>
            <w:r w:rsidRPr="00C402DB">
              <w:rPr>
                <w:rFonts w:ascii="Arial Narrow" w:hAnsi="Arial Narrow"/>
                <w:szCs w:val="20"/>
              </w:rPr>
              <w:t>; according to the manufacturer’s instructions.</w:t>
            </w:r>
          </w:p>
          <w:p w14:paraId="705A2B0F" w14:textId="77777777" w:rsidR="00157388" w:rsidRDefault="00157388" w:rsidP="00157388">
            <w:pPr>
              <w:pStyle w:val="PlainText"/>
              <w:spacing w:beforeLines="40" w:before="96" w:afterLines="40" w:after="96" w:line="240" w:lineRule="auto"/>
              <w:rPr>
                <w:rFonts w:ascii="Arial Narrow" w:hAnsi="Arial Narrow"/>
                <w:szCs w:val="20"/>
              </w:rPr>
            </w:pPr>
          </w:p>
          <w:p w14:paraId="419E2DB3" w14:textId="02ED53F5" w:rsidR="007518CF" w:rsidRPr="00E77539"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Analysis</w:t>
            </w:r>
            <w:r w:rsidRPr="00C402DB">
              <w:rPr>
                <w:rFonts w:ascii="Arial Narrow" w:hAnsi="Arial Narrow"/>
                <w:szCs w:val="20"/>
              </w:rPr>
              <w:t>: Dat</w:t>
            </w:r>
            <w:r w:rsidR="00E77539">
              <w:rPr>
                <w:rFonts w:ascii="Arial Narrow" w:hAnsi="Arial Narrow"/>
                <w:szCs w:val="20"/>
              </w:rPr>
              <w:t>a are presented as a count (per </w:t>
            </w:r>
            <w:r w:rsidRPr="00C402DB">
              <w:rPr>
                <w:rFonts w:ascii="Arial Narrow" w:hAnsi="Arial Narrow"/>
                <w:szCs w:val="20"/>
              </w:rPr>
              <w:t>cent) or median (range). The occurrence of pregnancy during follow-up was analysed within a competing risk framework, with local tumour recurrence as a competing event. Indeed, it was assumed that tumour recurrence would prevent or modify the probability of pregnancy, particularly because of new chemotherapy received. Analyses of both cumulative incidence functions and cause-specific hazards were conducted, Cumulative incidence functions were estimated using standard methodology and compared between groups using Gray tests. Cox proportional cause</w:t>
            </w:r>
            <w:r w:rsidR="00DF36E4">
              <w:rPr>
                <w:rFonts w:ascii="Arial Narrow" w:hAnsi="Arial Narrow"/>
                <w:szCs w:val="20"/>
              </w:rPr>
              <w:t>-</w:t>
            </w:r>
            <w:r w:rsidRPr="00C402DB">
              <w:rPr>
                <w:rFonts w:ascii="Arial Narrow" w:hAnsi="Arial Narrow"/>
                <w:szCs w:val="20"/>
              </w:rPr>
              <w:t xml:space="preserve">specific hazards models were then used. The results are expressed as (cause-specific) </w:t>
            </w:r>
            <w:r w:rsidR="00776418">
              <w:rPr>
                <w:rFonts w:ascii="Arial Narrow" w:hAnsi="Arial Narrow"/>
                <w:szCs w:val="20"/>
              </w:rPr>
              <w:t>HRs</w:t>
            </w:r>
            <w:r w:rsidRPr="00C402DB">
              <w:rPr>
                <w:rFonts w:ascii="Arial Narrow" w:hAnsi="Arial Narrow"/>
                <w:szCs w:val="20"/>
              </w:rPr>
              <w:t xml:space="preserve"> versus a reference category, each being tested using a Wald test.</w:t>
            </w:r>
          </w:p>
          <w:p w14:paraId="31319A01" w14:textId="6B15E279" w:rsidR="003F767A" w:rsidRPr="00C402DB" w:rsidRDefault="003F767A" w:rsidP="00157388">
            <w:pPr>
              <w:spacing w:beforeLines="40" w:before="96" w:afterLines="40" w:after="96" w:line="240" w:lineRule="auto"/>
              <w:ind w:right="-57"/>
              <w:rPr>
                <w:rFonts w:ascii="Arial Narrow" w:hAnsi="Arial Narrow"/>
                <w:sz w:val="20"/>
                <w:szCs w:val="20"/>
              </w:rPr>
            </w:pPr>
          </w:p>
          <w:p w14:paraId="3A02F8E9" w14:textId="7AA0D7DC" w:rsidR="007518CF"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u w:val="single"/>
              </w:rPr>
              <w:lastRenderedPageBreak/>
              <w:t>Follow-up period</w:t>
            </w:r>
            <w:r w:rsidRPr="00C402DB">
              <w:rPr>
                <w:rFonts w:ascii="Arial Narrow" w:hAnsi="Arial Narrow"/>
                <w:sz w:val="20"/>
                <w:szCs w:val="20"/>
              </w:rPr>
              <w:t>: Blood samples for AMH assessment were retrieved the day of the first chemotherapy (baseline n</w:t>
            </w:r>
            <w:r w:rsidR="00EB382C" w:rsidRPr="00C402DB">
              <w:rPr>
                <w:rFonts w:ascii="Arial Narrow" w:hAnsi="Arial Narrow"/>
                <w:sz w:val="20"/>
                <w:szCs w:val="20"/>
              </w:rPr>
              <w:t>=</w:t>
            </w:r>
            <w:r w:rsidRPr="00C402DB">
              <w:rPr>
                <w:rFonts w:ascii="Arial Narrow" w:hAnsi="Arial Narrow"/>
                <w:sz w:val="20"/>
                <w:szCs w:val="20"/>
              </w:rPr>
              <w:t>135: one patient had two samples retrieved), during treatment (two to four samples; n</w:t>
            </w:r>
            <w:r w:rsidR="00EB382C" w:rsidRPr="00C402DB">
              <w:rPr>
                <w:rFonts w:ascii="Arial Narrow" w:hAnsi="Arial Narrow"/>
                <w:sz w:val="20"/>
                <w:szCs w:val="20"/>
              </w:rPr>
              <w:t>=</w:t>
            </w:r>
            <w:r w:rsidRPr="00C402DB">
              <w:rPr>
                <w:rFonts w:ascii="Arial Narrow" w:hAnsi="Arial Narrow"/>
                <w:sz w:val="20"/>
                <w:szCs w:val="20"/>
              </w:rPr>
              <w:t>393) and during follow-up (4 months to 5.5 years after the end of the chemotherapy; n</w:t>
            </w:r>
            <w:r w:rsidR="00EB382C" w:rsidRPr="00C402DB">
              <w:rPr>
                <w:rFonts w:ascii="Arial Narrow" w:hAnsi="Arial Narrow"/>
                <w:sz w:val="20"/>
                <w:szCs w:val="20"/>
              </w:rPr>
              <w:t>=</w:t>
            </w:r>
            <w:r w:rsidRPr="00C402DB">
              <w:rPr>
                <w:rFonts w:ascii="Arial Narrow" w:hAnsi="Arial Narrow"/>
                <w:sz w:val="20"/>
                <w:szCs w:val="20"/>
              </w:rPr>
              <w:t>343).</w:t>
            </w:r>
          </w:p>
          <w:p w14:paraId="00241592" w14:textId="7BC5EEF1" w:rsidR="003F767A" w:rsidRPr="00C402DB" w:rsidRDefault="003F767A" w:rsidP="00157388">
            <w:pPr>
              <w:spacing w:beforeLines="40" w:before="96" w:afterLines="40" w:after="96" w:line="240" w:lineRule="auto"/>
              <w:ind w:right="-57"/>
              <w:rPr>
                <w:rFonts w:ascii="Arial Narrow" w:hAnsi="Arial Narrow"/>
                <w:sz w:val="20"/>
                <w:szCs w:val="20"/>
                <w:u w:val="single"/>
              </w:rPr>
            </w:pPr>
            <w:r w:rsidRPr="00C402DB">
              <w:rPr>
                <w:rFonts w:ascii="Arial Narrow" w:hAnsi="Arial Narrow"/>
                <w:sz w:val="20"/>
                <w:szCs w:val="20"/>
              </w:rPr>
              <w:t>Median</w:t>
            </w:r>
            <w:r w:rsidR="00E77539">
              <w:rPr>
                <w:rFonts w:ascii="Arial Narrow" w:hAnsi="Arial Narrow"/>
                <w:sz w:val="20"/>
                <w:szCs w:val="20"/>
              </w:rPr>
              <w:t xml:space="preserve"> follow-up: 59 months (range 11</w:t>
            </w:r>
            <w:r w:rsidR="00E77539">
              <w:rPr>
                <w:rFonts w:ascii="Arial Narrow" w:hAnsi="Arial Narrow"/>
                <w:szCs w:val="20"/>
              </w:rPr>
              <w:t>–</w:t>
            </w:r>
            <w:r w:rsidR="00E830B2">
              <w:rPr>
                <w:rFonts w:ascii="Arial Narrow" w:hAnsi="Arial Narrow"/>
                <w:sz w:val="20"/>
                <w:szCs w:val="20"/>
              </w:rPr>
              <w:t>104).</w:t>
            </w:r>
          </w:p>
        </w:tc>
        <w:tc>
          <w:tcPr>
            <w:tcW w:w="2127" w:type="dxa"/>
          </w:tcPr>
          <w:p w14:paraId="035C2064" w14:textId="1C8F0BFC"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u w:val="single"/>
              </w:rPr>
              <w:lastRenderedPageBreak/>
              <w:t>Outcomes</w:t>
            </w:r>
            <w:r w:rsidR="009D0A93" w:rsidRPr="00C402DB">
              <w:rPr>
                <w:rFonts w:ascii="Arial Narrow" w:hAnsi="Arial Narrow"/>
                <w:sz w:val="20"/>
                <w:szCs w:val="20"/>
              </w:rPr>
              <w:t>:</w:t>
            </w:r>
          </w:p>
          <w:p w14:paraId="00533F1A" w14:textId="77777777"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Pregnancies achieved</w:t>
            </w:r>
            <w:r w:rsidRPr="00C402DB">
              <w:rPr>
                <w:rFonts w:ascii="Arial Narrow" w:hAnsi="Arial Narrow"/>
                <w:sz w:val="20"/>
                <w:szCs w:val="20"/>
              </w:rPr>
              <w:br/>
              <w:t>Spontaneous pregnancy rate.</w:t>
            </w:r>
          </w:p>
          <w:p w14:paraId="14A86EB9" w14:textId="77777777"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Time from chemotherapy to pregnancy.</w:t>
            </w:r>
          </w:p>
          <w:p w14:paraId="1CAC6B32" w14:textId="77777777"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Pregnancy outcomes.</w:t>
            </w:r>
          </w:p>
          <w:p w14:paraId="1D9922F2" w14:textId="77777777" w:rsidR="003F767A" w:rsidRPr="00C402DB" w:rsidRDefault="003F767A" w:rsidP="00157388">
            <w:pPr>
              <w:spacing w:beforeLines="40" w:before="96" w:afterLines="40" w:after="96" w:line="240" w:lineRule="auto"/>
              <w:ind w:right="-57"/>
              <w:rPr>
                <w:rFonts w:ascii="Arial Narrow" w:hAnsi="Arial Narrow"/>
                <w:sz w:val="20"/>
                <w:szCs w:val="20"/>
                <w:u w:val="single"/>
              </w:rPr>
            </w:pPr>
            <w:r w:rsidRPr="00C402DB">
              <w:rPr>
                <w:rFonts w:ascii="Arial Narrow" w:hAnsi="Arial Narrow"/>
                <w:sz w:val="20"/>
                <w:szCs w:val="20"/>
              </w:rPr>
              <w:t>Association of baseline AMH and end-of-chemotherapy AMH with occurrence of pregnancy.</w:t>
            </w:r>
          </w:p>
        </w:tc>
      </w:tr>
      <w:tr w:rsidR="003F767A" w:rsidRPr="003F767A" w14:paraId="0E7A46D8" w14:textId="77777777" w:rsidTr="00267CD2">
        <w:tc>
          <w:tcPr>
            <w:tcW w:w="1979" w:type="dxa"/>
          </w:tcPr>
          <w:p w14:paraId="69558177" w14:textId="04CE37ED"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lastRenderedPageBreak/>
              <w:t xml:space="preserve">Iwase et al. </w:t>
            </w:r>
            <w:r w:rsidR="00577E24" w:rsidRPr="00E77539">
              <w:rPr>
                <w:rFonts w:ascii="Arial Narrow" w:hAnsi="Arial Narrow"/>
                <w:sz w:val="20"/>
                <w:szCs w:val="20"/>
              </w:rPr>
              <w:fldChar w:fldCharType="begin"/>
            </w:r>
            <w:r w:rsidR="00577E24" w:rsidRPr="00E77539">
              <w:rPr>
                <w:rFonts w:ascii="Arial Narrow" w:hAnsi="Arial Narrow"/>
                <w:sz w:val="20"/>
                <w:szCs w:val="20"/>
              </w:rPr>
              <w:instrText xml:space="preserve"> ADDIN EN.CITE &lt;EndNote&gt;&lt;Cite ExcludeAuth="1"&gt;&lt;Author&gt;Iwase&lt;/Author&gt;&lt;Year&gt;2016&lt;/Year&gt;&lt;RecNum&gt;187&lt;/RecNum&gt;&lt;IDText&gt;293-297&lt;/IDText&gt;&lt;DisplayText&gt;(2016)&lt;/DisplayText&gt;&lt;record&gt;&lt;rec-number&gt;187&lt;/rec-number&gt;&lt;foreign-keys&gt;&lt;key app="EN" db-id="s2dftfxw1fvsr1efx58vfvxtvfwzxea0td02" timestamp="1511748078"&gt;187&lt;/key&gt;&lt;/foreign-keys&gt;&lt;ref-type name="Journal Article"&gt;17&lt;/ref-type&gt;&lt;contributors&gt;&lt;authors&gt;&lt;author&gt;Iwase, A.&lt;/author&gt;&lt;author&gt;Nakamura, T.&lt;/author&gt;&lt;author&gt;Kato, N.&lt;/author&gt;&lt;author&gt;Goto, M.&lt;/author&gt;&lt;author&gt;Takikawa, S.&lt;/author&gt;&lt;author&gt;Kondo, M.&lt;/author&gt;&lt;author&gt;Osuka, S.&lt;/author&gt;&lt;author&gt;Mori, M.&lt;/author&gt;&lt;author&gt;Kikkawa, F.&lt;/author&gt;&lt;/authors&gt;&lt;/contributors&gt;&lt;titles&gt;&lt;title&gt;Anti-Müllerian hormone levels after laparoscopic cystectomy for endometriomas as a possible predictor for pregnancy in infertility treatments&lt;/title&gt;&lt;secondary-title&gt;Gynecological Endocrinology&lt;/secondary-title&gt;&lt;/titles&gt;&lt;periodical&gt;&lt;full-title&gt;Gynecological Endocrinology&lt;/full-title&gt;&lt;/periodical&gt;&lt;pages&gt;293-297&lt;/pages&gt;&lt;volume&gt;32&lt;/volume&gt;&lt;number&gt;4&lt;/number&gt;&lt;keywords&gt;&lt;keyword&gt;Pregnancy&lt;/keyword&gt;&lt;keyword&gt;Endometriosis&lt;/keyword&gt;&lt;keyword&gt;Cystectomy&lt;/keyword&gt;&lt;/keywords&gt;&lt;dates&gt;&lt;year&gt;2016&lt;/year&gt;&lt;pub-dates&gt;&lt;date&gt;2016-1-1&lt;/date&gt;&lt;/pub-dates&gt;&lt;/dates&gt;&lt;isbn&gt;0951-3590&lt;/isbn&gt;&lt;accession-num&gt;rayyan-6675228&lt;/accession-num&gt;&lt;urls&gt;&lt;related-urls&gt;&lt;url&gt;http://www.embase.com/search/results?subaction=viewrecord&amp;amp;from=export&amp;amp;id=L607039833 http://dx.doi.org/10.3109/09513590.2015.1114078&lt;/url&gt;&lt;url&gt;http://www.tandfonline.com/doi/pdf/10.3109/09513590.2015.1114078?needAccess=true&lt;/url&gt;&lt;/related-urls&gt;&lt;/urls&gt;&lt;custom1&gt;RAYYAN-INCLUSION: {&amp;quot;Sharon&amp;quot;=&amp;gt;true}&lt;/custom1&gt;&lt;/record&gt;&lt;/Cite&gt;&lt;/EndNote&gt;</w:instrText>
            </w:r>
            <w:r w:rsidR="00577E24" w:rsidRPr="00E77539">
              <w:rPr>
                <w:rFonts w:ascii="Arial Narrow" w:hAnsi="Arial Narrow"/>
                <w:sz w:val="20"/>
                <w:szCs w:val="20"/>
              </w:rPr>
              <w:fldChar w:fldCharType="separate"/>
            </w:r>
            <w:r w:rsidR="00577E24" w:rsidRPr="00E77539">
              <w:rPr>
                <w:rFonts w:ascii="Arial Narrow" w:hAnsi="Arial Narrow"/>
                <w:noProof/>
                <w:sz w:val="20"/>
                <w:szCs w:val="20"/>
              </w:rPr>
              <w:t>(</w:t>
            </w:r>
            <w:hyperlink w:anchor="_ENREF_31" w:tooltip="Iwase, 2016 #187" w:history="1">
              <w:r w:rsidR="00835BA6" w:rsidRPr="00E77539">
                <w:rPr>
                  <w:rFonts w:ascii="Arial Narrow" w:hAnsi="Arial Narrow"/>
                  <w:noProof/>
                  <w:sz w:val="20"/>
                  <w:szCs w:val="20"/>
                </w:rPr>
                <w:t>2016</w:t>
              </w:r>
            </w:hyperlink>
            <w:r w:rsidR="00577E24" w:rsidRPr="00E77539">
              <w:rPr>
                <w:rFonts w:ascii="Arial Narrow" w:hAnsi="Arial Narrow"/>
                <w:noProof/>
                <w:sz w:val="20"/>
                <w:szCs w:val="20"/>
              </w:rPr>
              <w:t>)</w:t>
            </w:r>
            <w:r w:rsidR="00577E24" w:rsidRPr="00E77539">
              <w:rPr>
                <w:rFonts w:ascii="Arial Narrow" w:hAnsi="Arial Narrow"/>
                <w:sz w:val="20"/>
                <w:szCs w:val="20"/>
              </w:rPr>
              <w:fldChar w:fldCharType="end"/>
            </w:r>
          </w:p>
          <w:p w14:paraId="105499DC"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Japan</w:t>
            </w:r>
          </w:p>
          <w:p w14:paraId="189F486B" w14:textId="362279DD"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Level</w:t>
            </w:r>
            <w:r w:rsidR="009D0A93" w:rsidRPr="00E77539">
              <w:rPr>
                <w:rFonts w:ascii="Arial Narrow" w:hAnsi="Arial Narrow"/>
                <w:szCs w:val="20"/>
              </w:rPr>
              <w:t>:</w:t>
            </w:r>
            <w:r w:rsidRPr="00E77539">
              <w:rPr>
                <w:rFonts w:ascii="Arial Narrow" w:hAnsi="Arial Narrow"/>
                <w:szCs w:val="20"/>
              </w:rPr>
              <w:t xml:space="preserve"> IV</w:t>
            </w:r>
          </w:p>
          <w:p w14:paraId="55B3ED1A" w14:textId="050F836F"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Quality</w:t>
            </w:r>
            <w:r w:rsidR="009D0A93" w:rsidRPr="00E77539">
              <w:rPr>
                <w:rFonts w:ascii="Arial Narrow" w:hAnsi="Arial Narrow"/>
                <w:szCs w:val="20"/>
              </w:rPr>
              <w:t>:</w:t>
            </w:r>
          </w:p>
          <w:p w14:paraId="5EF1AD42" w14:textId="1F13CD33"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Moderate risk of bias</w:t>
            </w:r>
          </w:p>
        </w:tc>
        <w:tc>
          <w:tcPr>
            <w:tcW w:w="2552" w:type="dxa"/>
          </w:tcPr>
          <w:p w14:paraId="7890B349" w14:textId="18AF9EC1"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u w:val="single"/>
              </w:rPr>
              <w:t>Population</w:t>
            </w:r>
            <w:r w:rsidRPr="00E77539">
              <w:rPr>
                <w:rFonts w:ascii="Arial Narrow" w:hAnsi="Arial Narrow"/>
                <w:sz w:val="20"/>
                <w:szCs w:val="20"/>
              </w:rPr>
              <w:t>: N=</w:t>
            </w:r>
            <w:r w:rsidR="00E77539" w:rsidRPr="00E77539">
              <w:rPr>
                <w:rFonts w:ascii="Arial Narrow" w:hAnsi="Arial Narrow"/>
                <w:sz w:val="20"/>
                <w:szCs w:val="20"/>
              </w:rPr>
              <w:t>58 patients with endometrioma</w:t>
            </w:r>
          </w:p>
          <w:p w14:paraId="623AF074"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0A277294" w14:textId="6F7D94BA"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Treatment</w:t>
            </w:r>
            <w:r w:rsidR="009D0A93" w:rsidRPr="00E77539">
              <w:rPr>
                <w:rFonts w:ascii="Arial Narrow" w:hAnsi="Arial Narrow"/>
                <w:szCs w:val="20"/>
              </w:rPr>
              <w:t>:</w:t>
            </w:r>
            <w:r w:rsidR="00E77539" w:rsidRPr="00E77539">
              <w:rPr>
                <w:rFonts w:ascii="Arial Narrow" w:hAnsi="Arial Narrow"/>
                <w:szCs w:val="20"/>
              </w:rPr>
              <w:t xml:space="preserve"> laparoscopic cystectomy</w:t>
            </w:r>
            <w:r w:rsidR="00E830B2">
              <w:rPr>
                <w:rFonts w:ascii="Arial Narrow" w:hAnsi="Arial Narrow"/>
                <w:szCs w:val="20"/>
              </w:rPr>
              <w:t>.</w:t>
            </w:r>
          </w:p>
        </w:tc>
        <w:tc>
          <w:tcPr>
            <w:tcW w:w="3119" w:type="dxa"/>
          </w:tcPr>
          <w:p w14:paraId="2663427A" w14:textId="0426C570"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Objective</w:t>
            </w:r>
            <w:r w:rsidR="009D0A93" w:rsidRPr="00E77539">
              <w:rPr>
                <w:rFonts w:ascii="Arial Narrow" w:hAnsi="Arial Narrow"/>
                <w:szCs w:val="20"/>
              </w:rPr>
              <w:t>:</w:t>
            </w:r>
            <w:r w:rsidRPr="00E77539">
              <w:rPr>
                <w:rFonts w:ascii="Arial Narrow" w:hAnsi="Arial Narrow"/>
                <w:szCs w:val="20"/>
              </w:rPr>
              <w:t xml:space="preserve"> To evaluate the serum AMH levels after cystectomy for endometriomas with respect to the postsurgical pregnancy rate and recurrence of endometriomas.</w:t>
            </w:r>
          </w:p>
          <w:p w14:paraId="48FA0A54"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3B6B0159" w14:textId="18E4A14A"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Inclusion criteria</w:t>
            </w:r>
            <w:r w:rsidR="009D0A93" w:rsidRPr="00E77539">
              <w:rPr>
                <w:rFonts w:ascii="Arial Narrow" w:hAnsi="Arial Narrow"/>
                <w:szCs w:val="20"/>
              </w:rPr>
              <w:t>:</w:t>
            </w:r>
            <w:r w:rsidRPr="00E77539">
              <w:rPr>
                <w:rFonts w:ascii="Arial Narrow" w:hAnsi="Arial Narrow"/>
                <w:szCs w:val="20"/>
              </w:rPr>
              <w:t xml:space="preserve"> uni/bilateral endometrioma(s) diagnosed by two or more ultrasound examinations and by magnetic r</w:t>
            </w:r>
            <w:r w:rsidR="00E77539" w:rsidRPr="00E77539">
              <w:rPr>
                <w:rFonts w:ascii="Arial Narrow" w:hAnsi="Arial Narrow"/>
                <w:szCs w:val="20"/>
              </w:rPr>
              <w:t>esonance imaging, women aged 20–</w:t>
            </w:r>
            <w:r w:rsidRPr="00E77539">
              <w:rPr>
                <w:rFonts w:ascii="Arial Narrow" w:hAnsi="Arial Narrow"/>
                <w:szCs w:val="20"/>
              </w:rPr>
              <w:t>42 years with regular menstrual cycles, no evidence of any other endocrine disorders or apparent infertility causes.</w:t>
            </w:r>
          </w:p>
          <w:p w14:paraId="131F7C17" w14:textId="382C1232"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Exclusion criteria</w:t>
            </w:r>
            <w:r w:rsidR="009D0A93" w:rsidRPr="00E77539">
              <w:rPr>
                <w:rFonts w:ascii="Arial Narrow" w:hAnsi="Arial Narrow"/>
                <w:szCs w:val="20"/>
              </w:rPr>
              <w:t>:</w:t>
            </w:r>
            <w:r w:rsidRPr="00E77539">
              <w:rPr>
                <w:rFonts w:ascii="Arial Narrow" w:hAnsi="Arial Narrow"/>
                <w:szCs w:val="20"/>
              </w:rPr>
              <w:t xml:space="preserve"> previous history of adnexal surgery and any suspicious findings of malignant ovarian diseases.</w:t>
            </w:r>
          </w:p>
        </w:tc>
        <w:tc>
          <w:tcPr>
            <w:tcW w:w="4110" w:type="dxa"/>
          </w:tcPr>
          <w:p w14:paraId="1DF1915A" w14:textId="2684FBA1"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u w:val="single"/>
              </w:rPr>
              <w:t>Test characteristics</w:t>
            </w:r>
            <w:r w:rsidRPr="00E77539">
              <w:rPr>
                <w:rFonts w:ascii="Arial Narrow" w:hAnsi="Arial Narrow"/>
                <w:sz w:val="20"/>
                <w:szCs w:val="20"/>
              </w:rPr>
              <w:t>: The serum AMH concentrations were measured</w:t>
            </w:r>
            <w:r w:rsidR="00E77539" w:rsidRPr="00E77539">
              <w:rPr>
                <w:rFonts w:ascii="Arial Narrow" w:hAnsi="Arial Narrow"/>
                <w:sz w:val="20"/>
                <w:szCs w:val="20"/>
              </w:rPr>
              <w:t xml:space="preserve"> with an enzyme immunoassay kit </w:t>
            </w:r>
            <w:r w:rsidRPr="00E77539">
              <w:rPr>
                <w:rFonts w:ascii="Arial Narrow" w:hAnsi="Arial Narrow"/>
                <w:sz w:val="20"/>
                <w:szCs w:val="20"/>
              </w:rPr>
              <w:t xml:space="preserve">(EIA AMH/MIS; Immunotech, Marseille, France). AMH Gen II (Beckman Coulter, Inc., Brea, CA), a similar enzyme immunoassay kit for AMH, was used in the latter half of the study due to the EIA AMH/MIS no longer being available. The intra-assay and inter-assay </w:t>
            </w:r>
            <w:r w:rsidR="00205BD5">
              <w:rPr>
                <w:rFonts w:ascii="Arial Narrow" w:hAnsi="Arial Narrow"/>
                <w:sz w:val="20"/>
                <w:szCs w:val="20"/>
              </w:rPr>
              <w:t>CoV</w:t>
            </w:r>
            <w:r w:rsidRPr="00E77539">
              <w:rPr>
                <w:rFonts w:ascii="Arial Narrow" w:hAnsi="Arial Narrow"/>
                <w:sz w:val="20"/>
                <w:szCs w:val="20"/>
              </w:rPr>
              <w:t xml:space="preserve"> were below 12.3% and 14.2% for the EIA AMH/MIS kit and 5.4% and 5.6% for the AMH Gen II, respectively.</w:t>
            </w:r>
          </w:p>
          <w:p w14:paraId="5761EF3A"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6323737D" w14:textId="4ED16C9C"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Analysis</w:t>
            </w:r>
            <w:r w:rsidR="009D0A93" w:rsidRPr="00E77539">
              <w:rPr>
                <w:rFonts w:ascii="Arial Narrow" w:hAnsi="Arial Narrow"/>
                <w:szCs w:val="20"/>
              </w:rPr>
              <w:t>:</w:t>
            </w:r>
            <w:r w:rsidRPr="00E77539">
              <w:rPr>
                <w:rFonts w:ascii="Arial Narrow" w:hAnsi="Arial Narrow"/>
                <w:szCs w:val="20"/>
                <w:u w:val="single"/>
              </w:rPr>
              <w:t xml:space="preserve"> </w:t>
            </w:r>
            <w:r w:rsidR="00E77539" w:rsidRPr="00E77539">
              <w:rPr>
                <w:rFonts w:ascii="Arial Narrow" w:hAnsi="Arial Narrow"/>
                <w:szCs w:val="20"/>
              </w:rPr>
              <w:t>Student’s t-test, the Mann-</w:t>
            </w:r>
            <w:r w:rsidRPr="00E77539">
              <w:rPr>
                <w:rFonts w:ascii="Arial Narrow" w:hAnsi="Arial Narrow"/>
                <w:szCs w:val="20"/>
              </w:rPr>
              <w:t>Whitney U</w:t>
            </w:r>
            <w:r w:rsidR="00916047">
              <w:rPr>
                <w:rFonts w:ascii="Arial Narrow" w:hAnsi="Arial Narrow"/>
                <w:szCs w:val="20"/>
              </w:rPr>
              <w:t>-</w:t>
            </w:r>
            <w:r w:rsidRPr="00E77539">
              <w:rPr>
                <w:rFonts w:ascii="Arial Narrow" w:hAnsi="Arial Narrow"/>
                <w:szCs w:val="20"/>
              </w:rPr>
              <w:t>test and the Fisher’s exact test were used to compare the patient characteristics and variables between the pregnancy and non-pregnancy groups.</w:t>
            </w:r>
          </w:p>
          <w:p w14:paraId="62126012" w14:textId="77777777" w:rsidR="003F767A" w:rsidRPr="00E77539" w:rsidRDefault="003F767A" w:rsidP="00157388">
            <w:pPr>
              <w:spacing w:beforeLines="40" w:before="96" w:afterLines="40" w:after="96" w:line="240" w:lineRule="auto"/>
              <w:ind w:right="-57"/>
              <w:rPr>
                <w:rFonts w:ascii="Arial Narrow" w:hAnsi="Arial Narrow"/>
                <w:b/>
                <w:sz w:val="20"/>
                <w:szCs w:val="20"/>
                <w:u w:val="single"/>
              </w:rPr>
            </w:pPr>
          </w:p>
          <w:p w14:paraId="7021538C" w14:textId="4EC59A49" w:rsidR="003F767A" w:rsidRPr="00E77539" w:rsidRDefault="003F767A" w:rsidP="00E77539">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Follow-up period</w:t>
            </w:r>
            <w:r w:rsidR="009D0A93" w:rsidRPr="00E77539">
              <w:rPr>
                <w:rFonts w:ascii="Arial Narrow" w:hAnsi="Arial Narrow"/>
                <w:szCs w:val="20"/>
              </w:rPr>
              <w:t>:</w:t>
            </w:r>
            <w:r w:rsidRPr="00E77539">
              <w:rPr>
                <w:rFonts w:ascii="Arial Narrow" w:hAnsi="Arial Narrow"/>
                <w:szCs w:val="20"/>
              </w:rPr>
              <w:t xml:space="preserve"> </w:t>
            </w:r>
            <w:r w:rsidR="00035EEF" w:rsidRPr="00E77539">
              <w:rPr>
                <w:rFonts w:ascii="Arial Narrow" w:hAnsi="Arial Narrow"/>
                <w:szCs w:val="20"/>
              </w:rPr>
              <w:t>&gt;</w:t>
            </w:r>
            <w:r w:rsidRPr="00E77539">
              <w:rPr>
                <w:rFonts w:ascii="Arial Narrow" w:hAnsi="Arial Narrow"/>
                <w:szCs w:val="20"/>
              </w:rPr>
              <w:t>1 year</w:t>
            </w:r>
            <w:r w:rsidR="00E830B2">
              <w:rPr>
                <w:rFonts w:ascii="Arial Narrow" w:hAnsi="Arial Narrow"/>
                <w:szCs w:val="20"/>
              </w:rPr>
              <w:t>.</w:t>
            </w:r>
          </w:p>
        </w:tc>
        <w:tc>
          <w:tcPr>
            <w:tcW w:w="2127" w:type="dxa"/>
          </w:tcPr>
          <w:p w14:paraId="498F0331" w14:textId="0BBB61C0"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Mean AMH values at baseline, at 1 month post</w:t>
            </w:r>
            <w:r w:rsidR="00415491">
              <w:rPr>
                <w:rFonts w:ascii="Arial Narrow" w:hAnsi="Arial Narrow"/>
                <w:sz w:val="20"/>
                <w:szCs w:val="20"/>
              </w:rPr>
              <w:t>-operative</w:t>
            </w:r>
            <w:r w:rsidRPr="00E77539">
              <w:rPr>
                <w:rFonts w:ascii="Arial Narrow" w:hAnsi="Arial Narrow"/>
                <w:sz w:val="20"/>
                <w:szCs w:val="20"/>
              </w:rPr>
              <w:t xml:space="preserve"> and at 1 year post-operative, grouped by pregnancy or non-pregnancy (and </w:t>
            </w:r>
            <w:r w:rsidR="006F069F" w:rsidRPr="00E77539">
              <w:rPr>
                <w:rFonts w:ascii="Arial Narrow" w:hAnsi="Arial Narrow"/>
                <w:sz w:val="20"/>
                <w:szCs w:val="20"/>
              </w:rPr>
              <w:t>p-</w:t>
            </w:r>
            <w:r w:rsidR="00E830B2">
              <w:rPr>
                <w:rFonts w:ascii="Arial Narrow" w:hAnsi="Arial Narrow"/>
                <w:sz w:val="20"/>
                <w:szCs w:val="20"/>
              </w:rPr>
              <w:t>values).</w:t>
            </w:r>
          </w:p>
        </w:tc>
      </w:tr>
      <w:tr w:rsidR="003F767A" w:rsidRPr="003F767A" w14:paraId="142E965B" w14:textId="77777777" w:rsidTr="00267CD2">
        <w:tc>
          <w:tcPr>
            <w:tcW w:w="1979" w:type="dxa"/>
          </w:tcPr>
          <w:p w14:paraId="03FC905C" w14:textId="7EF370CC"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 xml:space="preserve">Lind et al. </w:t>
            </w:r>
            <w:r w:rsidR="00577E24" w:rsidRPr="00C402DB">
              <w:rPr>
                <w:rFonts w:ascii="Arial Narrow" w:hAnsi="Arial Narrow"/>
                <w:sz w:val="20"/>
                <w:szCs w:val="20"/>
              </w:rPr>
              <w:fldChar w:fldCharType="begin"/>
            </w:r>
            <w:r w:rsidR="00577E24" w:rsidRPr="00C402DB">
              <w:rPr>
                <w:rFonts w:ascii="Arial Narrow" w:hAnsi="Arial Narrow"/>
                <w:sz w:val="20"/>
                <w:szCs w:val="20"/>
              </w:rPr>
              <w:instrText xml:space="preserve"> ADDIN EN.CITE &lt;EndNote&gt;&lt;Cite ExcludeAuth="1"&gt;&lt;Author&gt;Lind&lt;/Author&gt;&lt;Year&gt;2016&lt;/Year&gt;&lt;RecNum&gt;234&lt;/RecNum&gt;&lt;IDText&gt;745-748&lt;/IDText&gt;&lt;DisplayText&gt;(2016)&lt;/DisplayText&gt;&lt;record&gt;&lt;rec-number&gt;234&lt;/rec-number&gt;&lt;foreign-keys&gt;&lt;key app="EN" db-id="s2dftfxw1fvsr1efx58vfvxtvfwzxea0td02" timestamp="1511748084"&gt;234&lt;/key&gt;&lt;/foreign-keys&gt;&lt;ref-type name="Journal Article"&gt;17&lt;/ref-type&gt;&lt;contributors&gt;&lt;authors&gt;&lt;author&gt;Lind, T.&lt;/author&gt;&lt;author&gt;Lampic, C.&lt;/author&gt;&lt;author&gt;Olofsson, J. I.&lt;/author&gt;&lt;author&gt;Rodriguez-Wallberg, K. A.&lt;/author&gt;&lt;/authors&gt;&lt;/contributors&gt;&lt;titles&gt;&lt;title&gt;Postoperative AMH reduction is not associated with reduced fecundity two years following ovarian cyst surgery&lt;/title&gt;&lt;secondary-title&gt;Gynecological Endocrinology&lt;/secondary-title&gt;&lt;/titles&gt;&lt;periodical&gt;&lt;full-title&gt;Gynecological Endocrinology&lt;/full-title&gt;&lt;/periodical&gt;&lt;pages&gt;745-748&lt;/pages&gt;&lt;volume&gt;32&lt;/volume&gt;&lt;number&gt;9&lt;/number&gt;&lt;keywords&gt;&lt;keyword&gt;Cysts&lt;/keyword&gt;&lt;keyword&gt;Ovarian Cysts&lt;/keyword&gt;&lt;keyword&gt;Pregnancy&lt;/keyword&gt;&lt;keyword&gt;Prospective Studies&lt;/keyword&gt;&lt;/keywords&gt;&lt;dates&gt;&lt;year&gt;2016&lt;/year&gt;&lt;pub-dates&gt;&lt;date&gt;2016-1-1&lt;/date&gt;&lt;/pub-dates&gt;&lt;/dates&gt;&lt;isbn&gt;0951-3590&lt;/isbn&gt;&lt;accession-num&gt;rayyan-6676199&lt;/accession-num&gt;&lt;urls&gt;&lt;related-urls&gt;&lt;url&gt;&amp;lt;Go to ISI&amp;gt;://WOS:000388797600014&lt;/url&gt;&lt;url&gt;http://www.tandfonline.com/doi/pdf/10.3109/09513590.2016.1166198?needAccess=true&lt;/url&gt;&lt;/related-urls&gt;&lt;/urls&gt;&lt;custom1&gt;RAYYAN-INCLUSION: {&amp;quot;Sharon&amp;quot;=&amp;gt;true}&lt;/custom1&gt;&lt;/record&gt;&lt;/Cite&gt;&lt;/EndNote&gt;</w:instrText>
            </w:r>
            <w:r w:rsidR="00577E24" w:rsidRPr="00C402DB">
              <w:rPr>
                <w:rFonts w:ascii="Arial Narrow" w:hAnsi="Arial Narrow"/>
                <w:sz w:val="20"/>
                <w:szCs w:val="20"/>
              </w:rPr>
              <w:fldChar w:fldCharType="separate"/>
            </w:r>
            <w:r w:rsidR="00577E24" w:rsidRPr="00C402DB">
              <w:rPr>
                <w:rFonts w:ascii="Arial Narrow" w:hAnsi="Arial Narrow"/>
                <w:noProof/>
                <w:sz w:val="20"/>
                <w:szCs w:val="20"/>
              </w:rPr>
              <w:t>(</w:t>
            </w:r>
            <w:hyperlink w:anchor="_ENREF_37" w:tooltip="Lind, 2016 #234" w:history="1">
              <w:r w:rsidR="00835BA6" w:rsidRPr="00C402DB">
                <w:rPr>
                  <w:rFonts w:ascii="Arial Narrow" w:hAnsi="Arial Narrow"/>
                  <w:noProof/>
                  <w:sz w:val="20"/>
                  <w:szCs w:val="20"/>
                </w:rPr>
                <w:t>2016</w:t>
              </w:r>
            </w:hyperlink>
            <w:r w:rsidR="00577E24" w:rsidRPr="00C402DB">
              <w:rPr>
                <w:rFonts w:ascii="Arial Narrow" w:hAnsi="Arial Narrow"/>
                <w:noProof/>
                <w:sz w:val="20"/>
                <w:szCs w:val="20"/>
              </w:rPr>
              <w:t>)</w:t>
            </w:r>
            <w:r w:rsidR="00577E24" w:rsidRPr="00C402DB">
              <w:rPr>
                <w:rFonts w:ascii="Arial Narrow" w:hAnsi="Arial Narrow"/>
                <w:sz w:val="20"/>
                <w:szCs w:val="20"/>
              </w:rPr>
              <w:fldChar w:fldCharType="end"/>
            </w:r>
          </w:p>
          <w:p w14:paraId="0B3ABC44" w14:textId="77777777"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t>Sweden</w:t>
            </w:r>
          </w:p>
          <w:p w14:paraId="675541EF" w14:textId="453A7DC7" w:rsidR="003F767A" w:rsidRPr="00C402DB"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Level</w:t>
            </w:r>
            <w:r w:rsidR="009D0A93" w:rsidRPr="00C402DB">
              <w:rPr>
                <w:rFonts w:ascii="Arial Narrow" w:hAnsi="Arial Narrow"/>
                <w:szCs w:val="20"/>
              </w:rPr>
              <w:t>:</w:t>
            </w:r>
            <w:r w:rsidRPr="00C402DB">
              <w:rPr>
                <w:rFonts w:ascii="Arial Narrow" w:hAnsi="Arial Narrow"/>
                <w:szCs w:val="20"/>
              </w:rPr>
              <w:t xml:space="preserve"> IV</w:t>
            </w:r>
          </w:p>
          <w:p w14:paraId="190A728F" w14:textId="77777777" w:rsidR="00C402DB" w:rsidRPr="00C402DB"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Quality</w:t>
            </w:r>
            <w:r w:rsidR="009D0A93" w:rsidRPr="00C402DB">
              <w:rPr>
                <w:rFonts w:ascii="Arial Narrow" w:hAnsi="Arial Narrow"/>
                <w:szCs w:val="20"/>
              </w:rPr>
              <w:t>:</w:t>
            </w:r>
          </w:p>
          <w:p w14:paraId="4BCB5F14" w14:textId="40D98462" w:rsidR="003F767A" w:rsidRPr="00C402DB" w:rsidRDefault="003F767A" w:rsidP="00157388">
            <w:pPr>
              <w:pStyle w:val="PlainText"/>
              <w:spacing w:beforeLines="40" w:before="96" w:afterLines="40" w:after="96" w:line="240" w:lineRule="auto"/>
              <w:rPr>
                <w:szCs w:val="20"/>
              </w:rPr>
            </w:pPr>
            <w:r w:rsidRPr="00C402DB">
              <w:rPr>
                <w:rFonts w:ascii="Arial Narrow" w:hAnsi="Arial Narrow"/>
                <w:szCs w:val="20"/>
              </w:rPr>
              <w:t>Moderate risk of bias</w:t>
            </w:r>
          </w:p>
        </w:tc>
        <w:tc>
          <w:tcPr>
            <w:tcW w:w="2552" w:type="dxa"/>
          </w:tcPr>
          <w:p w14:paraId="3E6EED30" w14:textId="1DA8F4B3" w:rsidR="00C402DB" w:rsidRDefault="003F767A" w:rsidP="00157388">
            <w:pPr>
              <w:pStyle w:val="PlainText"/>
              <w:spacing w:beforeLines="40" w:before="96" w:afterLines="40" w:after="96" w:line="240" w:lineRule="auto"/>
              <w:rPr>
                <w:rFonts w:ascii="Arial Narrow" w:hAnsi="Arial Narrow"/>
                <w:szCs w:val="20"/>
              </w:rPr>
            </w:pPr>
            <w:r w:rsidRPr="00C402DB">
              <w:rPr>
                <w:rFonts w:ascii="Arial Narrow" w:hAnsi="Arial Narrow"/>
                <w:szCs w:val="20"/>
                <w:u w:val="single"/>
              </w:rPr>
              <w:t>Population</w:t>
            </w:r>
            <w:r w:rsidR="009D0A93" w:rsidRPr="00C402DB">
              <w:rPr>
                <w:rFonts w:ascii="Arial Narrow" w:hAnsi="Arial Narrow"/>
                <w:szCs w:val="20"/>
              </w:rPr>
              <w:t>:</w:t>
            </w:r>
            <w:r w:rsidR="00E77539">
              <w:rPr>
                <w:rFonts w:ascii="Arial Narrow" w:hAnsi="Arial Narrow"/>
                <w:szCs w:val="20"/>
              </w:rPr>
              <w:t xml:space="preserve"> 45 w</w:t>
            </w:r>
            <w:r w:rsidRPr="00C402DB">
              <w:rPr>
                <w:rFonts w:ascii="Arial Narrow" w:hAnsi="Arial Narrow"/>
                <w:szCs w:val="20"/>
              </w:rPr>
              <w:t>ome</w:t>
            </w:r>
            <w:r w:rsidR="00E77539">
              <w:rPr>
                <w:rFonts w:ascii="Arial Narrow" w:hAnsi="Arial Narrow"/>
                <w:szCs w:val="20"/>
              </w:rPr>
              <w:t>n of reproductive age (18–</w:t>
            </w:r>
            <w:r w:rsidRPr="00C402DB">
              <w:rPr>
                <w:rFonts w:ascii="Arial Narrow" w:hAnsi="Arial Narrow"/>
                <w:szCs w:val="20"/>
              </w:rPr>
              <w:t xml:space="preserve">44 </w:t>
            </w:r>
            <w:r w:rsidR="00E77539" w:rsidRPr="00C402DB">
              <w:rPr>
                <w:rFonts w:ascii="Arial Narrow" w:hAnsi="Arial Narrow"/>
                <w:szCs w:val="20"/>
              </w:rPr>
              <w:t>years</w:t>
            </w:r>
            <w:r w:rsidRPr="00C402DB">
              <w:rPr>
                <w:rFonts w:ascii="Arial Narrow" w:hAnsi="Arial Narrow"/>
                <w:szCs w:val="20"/>
              </w:rPr>
              <w:t>) with a desire to have children with benign ovarian cysts.</w:t>
            </w:r>
          </w:p>
          <w:p w14:paraId="52EA88B4" w14:textId="35F34796" w:rsidR="003F767A" w:rsidRPr="00E77539" w:rsidRDefault="00E77539" w:rsidP="00157388">
            <w:pPr>
              <w:pStyle w:val="PlainText"/>
              <w:spacing w:beforeLines="40" w:before="96" w:afterLines="40" w:after="96" w:line="240" w:lineRule="auto"/>
              <w:rPr>
                <w:rFonts w:ascii="Arial Narrow" w:hAnsi="Arial Narrow"/>
                <w:szCs w:val="20"/>
              </w:rPr>
            </w:pPr>
            <w:r>
              <w:rPr>
                <w:rFonts w:ascii="Arial Narrow" w:hAnsi="Arial Narrow"/>
                <w:szCs w:val="20"/>
              </w:rPr>
              <w:t>Mean age at surgery: 30.4 ± 5.9 years</w:t>
            </w:r>
          </w:p>
          <w:p w14:paraId="0A8B486C" w14:textId="77777777" w:rsidR="003F767A" w:rsidRPr="00C402DB" w:rsidRDefault="003F767A" w:rsidP="00157388">
            <w:pPr>
              <w:spacing w:beforeLines="40" w:before="96" w:afterLines="40" w:after="96" w:line="240" w:lineRule="auto"/>
              <w:ind w:right="-57"/>
              <w:rPr>
                <w:rFonts w:ascii="Arial Narrow" w:hAnsi="Arial Narrow"/>
                <w:sz w:val="20"/>
                <w:szCs w:val="20"/>
              </w:rPr>
            </w:pPr>
            <w:r w:rsidRPr="00C402DB">
              <w:rPr>
                <w:rFonts w:ascii="Arial Narrow" w:hAnsi="Arial Narrow"/>
                <w:sz w:val="20"/>
                <w:szCs w:val="20"/>
              </w:rPr>
              <w:lastRenderedPageBreak/>
              <w:t>Complete data for 34 women.</w:t>
            </w:r>
          </w:p>
          <w:p w14:paraId="1C660159" w14:textId="77777777" w:rsidR="003F767A" w:rsidRPr="00C402DB" w:rsidRDefault="003F767A" w:rsidP="00157388">
            <w:pPr>
              <w:spacing w:beforeLines="40" w:before="96" w:afterLines="40" w:after="96" w:line="240" w:lineRule="auto"/>
              <w:ind w:right="-57"/>
              <w:rPr>
                <w:rFonts w:ascii="Arial Narrow" w:hAnsi="Arial Narrow"/>
                <w:sz w:val="20"/>
                <w:szCs w:val="20"/>
                <w:u w:val="single"/>
              </w:rPr>
            </w:pPr>
          </w:p>
          <w:p w14:paraId="104E69F5" w14:textId="7267ADD5" w:rsidR="003F767A" w:rsidRPr="00C402DB" w:rsidRDefault="003F767A" w:rsidP="00157388">
            <w:pPr>
              <w:pStyle w:val="PlainText"/>
              <w:spacing w:beforeLines="40" w:before="96" w:afterLines="40" w:after="96" w:line="240" w:lineRule="auto"/>
              <w:rPr>
                <w:szCs w:val="20"/>
              </w:rPr>
            </w:pPr>
            <w:r w:rsidRPr="00C402DB">
              <w:rPr>
                <w:rFonts w:ascii="Arial Narrow" w:hAnsi="Arial Narrow"/>
                <w:szCs w:val="20"/>
                <w:u w:val="single"/>
              </w:rPr>
              <w:t>Treatment</w:t>
            </w:r>
            <w:r w:rsidR="009D0A93" w:rsidRPr="00C402DB">
              <w:rPr>
                <w:rFonts w:ascii="Arial Narrow" w:hAnsi="Arial Narrow"/>
                <w:szCs w:val="20"/>
              </w:rPr>
              <w:t>:</w:t>
            </w:r>
            <w:r w:rsidRPr="00C402DB">
              <w:rPr>
                <w:rFonts w:ascii="Arial Narrow" w:hAnsi="Arial Narrow"/>
                <w:szCs w:val="20"/>
              </w:rPr>
              <w:t xml:space="preserve"> ovarian cyst surgery (laparoscopy or </w:t>
            </w:r>
            <w:r w:rsidR="00E830B2">
              <w:rPr>
                <w:rFonts w:ascii="Arial Narrow" w:hAnsi="Arial Narrow"/>
                <w:szCs w:val="20"/>
              </w:rPr>
              <w:t>laparotomy).</w:t>
            </w:r>
          </w:p>
        </w:tc>
        <w:tc>
          <w:tcPr>
            <w:tcW w:w="3119" w:type="dxa"/>
          </w:tcPr>
          <w:p w14:paraId="511DBB44" w14:textId="01822C3A"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lastRenderedPageBreak/>
              <w:t>Objective</w:t>
            </w:r>
            <w:r w:rsidR="009D0A93" w:rsidRPr="00E77539">
              <w:rPr>
                <w:rFonts w:ascii="Arial Narrow" w:hAnsi="Arial Narrow"/>
                <w:szCs w:val="20"/>
              </w:rPr>
              <w:t>:</w:t>
            </w:r>
            <w:r w:rsidRPr="00E77539">
              <w:rPr>
                <w:rFonts w:ascii="Arial Narrow" w:hAnsi="Arial Narrow"/>
                <w:szCs w:val="20"/>
              </w:rPr>
              <w:t xml:space="preserve"> to investigate the impact on ovarian cyst surgery on ovarian reserve and on reproductive outcome of women that attempted to achieve pregnancy within a two-year post</w:t>
            </w:r>
            <w:r w:rsidR="00415491">
              <w:rPr>
                <w:rFonts w:ascii="Arial Narrow" w:hAnsi="Arial Narrow"/>
                <w:szCs w:val="20"/>
              </w:rPr>
              <w:t>-operative</w:t>
            </w:r>
            <w:r w:rsidRPr="00E77539">
              <w:rPr>
                <w:rFonts w:ascii="Arial Narrow" w:hAnsi="Arial Narrow"/>
                <w:szCs w:val="20"/>
              </w:rPr>
              <w:t xml:space="preserve"> follow-up.</w:t>
            </w:r>
          </w:p>
          <w:p w14:paraId="5C4877CF" w14:textId="1FCB30D9"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04E7AC3E" w14:textId="77D6639C"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lastRenderedPageBreak/>
              <w:t>Inclusion criteria</w:t>
            </w:r>
            <w:r w:rsidR="009D0A93" w:rsidRPr="00E77539">
              <w:rPr>
                <w:rFonts w:ascii="Arial Narrow" w:hAnsi="Arial Narrow"/>
                <w:szCs w:val="20"/>
              </w:rPr>
              <w:t>:</w:t>
            </w:r>
            <w:r w:rsidRPr="00E77539">
              <w:rPr>
                <w:rFonts w:ascii="Arial Narrow" w:hAnsi="Arial Narrow"/>
                <w:szCs w:val="20"/>
              </w:rPr>
              <w:t xml:space="preserve"> women with pain, an ovarian cyst and fear of cancer, scheduled for ovarian cyst surgery.</w:t>
            </w:r>
          </w:p>
          <w:p w14:paraId="3B76DC31" w14:textId="153EAA18"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Exclusion criteria</w:t>
            </w:r>
            <w:r w:rsidR="009D0A93" w:rsidRPr="00E77539">
              <w:rPr>
                <w:rFonts w:ascii="Arial Narrow" w:hAnsi="Arial Narrow"/>
                <w:szCs w:val="20"/>
              </w:rPr>
              <w:t>:</w:t>
            </w:r>
            <w:r w:rsidRPr="00E77539">
              <w:rPr>
                <w:rFonts w:ascii="Arial Narrow" w:hAnsi="Arial Narrow"/>
                <w:szCs w:val="20"/>
                <w:u w:val="single"/>
              </w:rPr>
              <w:t xml:space="preserve"> </w:t>
            </w:r>
            <w:r w:rsidRPr="00E77539">
              <w:rPr>
                <w:rFonts w:ascii="Arial Narrow" w:hAnsi="Arial Narrow"/>
                <w:szCs w:val="20"/>
              </w:rPr>
              <w:t>pregnancy at inclusion, unilateral oophorectomy, requirement of repeated surgery for new ovarian cysts during follow-up, no attendance at follow-up, malignancy.</w:t>
            </w:r>
          </w:p>
        </w:tc>
        <w:tc>
          <w:tcPr>
            <w:tcW w:w="4110" w:type="dxa"/>
          </w:tcPr>
          <w:p w14:paraId="59EA20B6" w14:textId="02F3A34E"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lastRenderedPageBreak/>
              <w:t>Test characteristics</w:t>
            </w:r>
            <w:r w:rsidR="009D0A93" w:rsidRPr="00E77539">
              <w:rPr>
                <w:rFonts w:ascii="Arial Narrow" w:hAnsi="Arial Narrow"/>
                <w:szCs w:val="20"/>
              </w:rPr>
              <w:t>:</w:t>
            </w:r>
            <w:r w:rsidRPr="00E77539">
              <w:rPr>
                <w:rFonts w:ascii="Arial Narrow" w:hAnsi="Arial Narrow"/>
                <w:szCs w:val="20"/>
              </w:rPr>
              <w:t xml:space="preserve"> AMH tests were done using an </w:t>
            </w:r>
            <w:r w:rsidR="0076789D">
              <w:rPr>
                <w:rFonts w:ascii="Arial Narrow" w:hAnsi="Arial Narrow"/>
                <w:szCs w:val="20"/>
              </w:rPr>
              <w:t>ELISA</w:t>
            </w:r>
            <w:r w:rsidRPr="00E77539">
              <w:rPr>
                <w:rFonts w:ascii="Arial Narrow" w:hAnsi="Arial Narrow"/>
                <w:szCs w:val="20"/>
              </w:rPr>
              <w:t xml:space="preserve"> kit (ACTIVE AMH gen II ELISA, Beckman</w:t>
            </w:r>
            <w:r w:rsidR="00DF36E4">
              <w:rPr>
                <w:rFonts w:ascii="Arial Narrow" w:hAnsi="Arial Narrow"/>
                <w:szCs w:val="20"/>
              </w:rPr>
              <w:t xml:space="preserve"> </w:t>
            </w:r>
            <w:r w:rsidRPr="00E77539">
              <w:rPr>
                <w:rFonts w:ascii="Arial Narrow" w:hAnsi="Arial Narrow"/>
                <w:szCs w:val="20"/>
              </w:rPr>
              <w:t>Coulter Inc. Webster, NY). The intra-assay and inter</w:t>
            </w:r>
            <w:r w:rsidR="00916047">
              <w:rPr>
                <w:rFonts w:ascii="Arial Narrow" w:hAnsi="Arial Narrow"/>
                <w:szCs w:val="20"/>
              </w:rPr>
              <w:t>-assay</w:t>
            </w:r>
            <w:r w:rsidRPr="00E77539">
              <w:rPr>
                <w:rFonts w:ascii="Arial Narrow" w:hAnsi="Arial Narrow"/>
                <w:szCs w:val="20"/>
              </w:rPr>
              <w:t xml:space="preserve"> </w:t>
            </w:r>
            <w:r w:rsidR="00205BD5">
              <w:rPr>
                <w:rFonts w:ascii="Arial Narrow" w:hAnsi="Arial Narrow"/>
                <w:szCs w:val="20"/>
              </w:rPr>
              <w:t>CoV</w:t>
            </w:r>
            <w:r w:rsidRPr="00E77539">
              <w:rPr>
                <w:rFonts w:ascii="Arial Narrow" w:hAnsi="Arial Narrow"/>
                <w:szCs w:val="20"/>
              </w:rPr>
              <w:t xml:space="preserve"> were 5.4% and 5.6%, respectively.</w:t>
            </w:r>
          </w:p>
          <w:p w14:paraId="05F5C8F4"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30A5FBB8" w14:textId="6C999D19" w:rsidR="003F767A" w:rsidRPr="00E77539" w:rsidRDefault="003F767A" w:rsidP="00E77539">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Analysis</w:t>
            </w:r>
            <w:r w:rsidR="009D0A93" w:rsidRPr="00E77539">
              <w:rPr>
                <w:rFonts w:ascii="Arial Narrow" w:hAnsi="Arial Narrow"/>
                <w:szCs w:val="20"/>
              </w:rPr>
              <w:t>:</w:t>
            </w:r>
            <w:r w:rsidRPr="00E77539">
              <w:rPr>
                <w:rFonts w:ascii="Arial Narrow" w:hAnsi="Arial Narrow" w:cs="Times New Roman"/>
                <w:szCs w:val="20"/>
              </w:rPr>
              <w:t xml:space="preserve"> </w:t>
            </w:r>
            <w:r w:rsidRPr="00E77539">
              <w:rPr>
                <w:rFonts w:ascii="Arial Narrow" w:hAnsi="Arial Narrow"/>
                <w:szCs w:val="20"/>
              </w:rPr>
              <w:t xml:space="preserve">Independent t-test, Chi-square test/Fischer’s </w:t>
            </w:r>
            <w:r w:rsidRPr="00E77539">
              <w:rPr>
                <w:rFonts w:ascii="Arial Narrow" w:hAnsi="Arial Narrow"/>
                <w:szCs w:val="20"/>
              </w:rPr>
              <w:lastRenderedPageBreak/>
              <w:t>exact test or Pearson Chi-square test were used for comparisons</w:t>
            </w:r>
            <w:r w:rsidR="007F4459" w:rsidRPr="00E77539">
              <w:rPr>
                <w:rFonts w:ascii="Arial Narrow" w:hAnsi="Arial Narrow"/>
                <w:szCs w:val="20"/>
              </w:rPr>
              <w:t xml:space="preserve">. </w:t>
            </w:r>
            <w:r w:rsidRPr="00E77539">
              <w:rPr>
                <w:rFonts w:ascii="Arial Narrow" w:hAnsi="Arial Narrow"/>
                <w:szCs w:val="20"/>
              </w:rPr>
              <w:t>One-way</w:t>
            </w:r>
            <w:r w:rsidR="00E77539">
              <w:rPr>
                <w:rFonts w:ascii="Arial Narrow" w:hAnsi="Arial Narrow"/>
                <w:szCs w:val="20"/>
              </w:rPr>
              <w:t xml:space="preserve"> ANOVA</w:t>
            </w:r>
            <w:r w:rsidR="001E7102">
              <w:rPr>
                <w:rFonts w:ascii="Arial Narrow" w:hAnsi="Arial Narrow"/>
                <w:szCs w:val="20"/>
              </w:rPr>
              <w:t xml:space="preserve"> test, the Kruskal-</w:t>
            </w:r>
            <w:r w:rsidRPr="00E77539">
              <w:rPr>
                <w:rFonts w:ascii="Arial Narrow" w:hAnsi="Arial Narrow"/>
                <w:szCs w:val="20"/>
              </w:rPr>
              <w:t>Wallis test and Pearson´s Chi-squared test were used to compare subgroups based on desire for children at baseline, achievement of pregnancy and absolute AMH concentration at the six-month follow-up visit</w:t>
            </w:r>
          </w:p>
          <w:p w14:paraId="6AB68CFF" w14:textId="77777777" w:rsidR="003F767A" w:rsidRPr="00E77539" w:rsidRDefault="003F767A" w:rsidP="00157388">
            <w:pPr>
              <w:spacing w:beforeLines="40" w:before="96" w:afterLines="40" w:after="96" w:line="240" w:lineRule="auto"/>
              <w:ind w:right="-57"/>
              <w:rPr>
                <w:rFonts w:ascii="Arial Narrow" w:hAnsi="Arial Narrow"/>
                <w:b/>
                <w:sz w:val="20"/>
                <w:szCs w:val="20"/>
                <w:u w:val="single"/>
              </w:rPr>
            </w:pPr>
          </w:p>
          <w:p w14:paraId="784BF397" w14:textId="06B39570"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Follow-up period</w:t>
            </w:r>
            <w:r w:rsidR="009D0A93" w:rsidRPr="00E77539">
              <w:rPr>
                <w:rFonts w:ascii="Arial Narrow" w:hAnsi="Arial Narrow"/>
                <w:szCs w:val="20"/>
              </w:rPr>
              <w:t>:</w:t>
            </w:r>
            <w:r w:rsidR="00E77539">
              <w:rPr>
                <w:rFonts w:ascii="Arial Narrow" w:hAnsi="Arial Narrow"/>
                <w:szCs w:val="20"/>
              </w:rPr>
              <w:t xml:space="preserve"> </w:t>
            </w:r>
            <w:r w:rsidRPr="00E77539">
              <w:rPr>
                <w:rFonts w:ascii="Arial Narrow" w:hAnsi="Arial Narrow"/>
                <w:szCs w:val="20"/>
              </w:rPr>
              <w:t>follow-up visits were scheduled at 6 and 24 months post-surgery.</w:t>
            </w:r>
          </w:p>
        </w:tc>
        <w:tc>
          <w:tcPr>
            <w:tcW w:w="2127" w:type="dxa"/>
          </w:tcPr>
          <w:p w14:paraId="14CCE9B6"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lastRenderedPageBreak/>
              <w:t xml:space="preserve">Reproductive behaviour, pregnancy rate and live births per AMH category group. </w:t>
            </w:r>
          </w:p>
        </w:tc>
      </w:tr>
      <w:tr w:rsidR="003F767A" w:rsidRPr="003F767A" w14:paraId="747D9F51" w14:textId="77777777" w:rsidTr="00267CD2">
        <w:tc>
          <w:tcPr>
            <w:tcW w:w="1979" w:type="dxa"/>
          </w:tcPr>
          <w:p w14:paraId="5A4ACD1D" w14:textId="1C634486"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lastRenderedPageBreak/>
              <w:t xml:space="preserve">Ozaki et al. </w:t>
            </w:r>
            <w:r w:rsidR="00577E24" w:rsidRPr="00E77539">
              <w:rPr>
                <w:rFonts w:ascii="Arial Narrow" w:hAnsi="Arial Narrow"/>
                <w:sz w:val="20"/>
                <w:szCs w:val="20"/>
              </w:rPr>
              <w:fldChar w:fldCharType="begin"/>
            </w:r>
            <w:r w:rsidR="00577E24" w:rsidRPr="00E77539">
              <w:rPr>
                <w:rFonts w:ascii="Arial Narrow" w:hAnsi="Arial Narrow"/>
                <w:sz w:val="20"/>
                <w:szCs w:val="20"/>
              </w:rPr>
              <w:instrText xml:space="preserve"> ADDIN EN.CITE &lt;EndNote&gt;&lt;Cite ExcludeAuth="1"&gt;&lt;Author&gt;Ozaki&lt;/Author&gt;&lt;Year&gt;2016&lt;/Year&gt;&lt;RecNum&gt;278&lt;/RecNum&gt;&lt;DisplayText&gt;(2016)&lt;/DisplayText&gt;&lt;record&gt;&lt;rec-number&gt;278&lt;/rec-number&gt;&lt;foreign-keys&gt;&lt;key app="EN" db-id="s2dftfxw1fvsr1efx58vfvxtvfwzxea0td02" timestamp="1511748090"&gt;278&lt;/key&gt;&lt;/foreign-keys&gt;&lt;ref-type name="Journal Article"&gt;17&lt;/ref-type&gt;&lt;contributors&gt;&lt;authors&gt;&lt;author&gt;Ozaki, R.&lt;/author&gt;&lt;author&gt;Kumakiri, J.&lt;/author&gt;&lt;author&gt;Tinelli, A.&lt;/author&gt;&lt;author&gt;Grimbizis, G. F.&lt;/author&gt;&lt;author&gt;Kitade, M.&lt;/author&gt;&lt;author&gt;Takeda, S.&lt;/author&gt;&lt;/authors&gt;&lt;/contributors&gt;&lt;titles&gt;&lt;title&gt;Evaluation of factors predicting diminished ovarian reserve before and after laparoscopic cystectomy for ovarian endometriomas: A prospective cohort study&lt;/title&gt;&lt;secondary-title&gt;Journal of Ovarian Research&lt;/secondary-title&gt;&lt;/titles&gt;&lt;periodical&gt;&lt;full-title&gt;Journal of Ovarian Research&lt;/full-title&gt;&lt;/periodical&gt;&lt;volume&gt;9&lt;/volume&gt;&lt;number&gt;1&lt;/number&gt;&lt;keywords&gt;&lt;keyword&gt;Cohort Studies&lt;/keyword&gt;&lt;keyword&gt;Endometriosis&lt;/keyword&gt;&lt;keyword&gt;Cystectomy&lt;/keyword&gt;&lt;/keywords&gt;&lt;dates&gt;&lt;year&gt;2016&lt;/year&gt;&lt;pub-dates&gt;&lt;date&gt;2016-1-1&lt;/date&gt;&lt;/pub-dates&gt;&lt;/dates&gt;&lt;isbn&gt;1757-2215&lt;/isbn&gt;&lt;accession-num&gt;rayyan-6677301&lt;/accession-num&gt;&lt;urls&gt;&lt;related-urls&gt;&lt;url&gt;http://www.embase.com/search/results?subaction=viewrecord&amp;amp;from=export&amp;amp;id=L610858466 http://dx.doi.org/10.1186/s13048-016-0241-z&lt;/url&gt;&lt;/related-urls&gt;&lt;/urls&gt;&lt;custom1&gt;RAYYAN-INCLUSION: {&amp;quot;Sharon&amp;quot;=&amp;gt;true}&lt;/custom1&gt;&lt;/record&gt;&lt;/Cite&gt;&lt;/EndNote&gt;</w:instrText>
            </w:r>
            <w:r w:rsidR="00577E24" w:rsidRPr="00E77539">
              <w:rPr>
                <w:rFonts w:ascii="Arial Narrow" w:hAnsi="Arial Narrow"/>
                <w:sz w:val="20"/>
                <w:szCs w:val="20"/>
              </w:rPr>
              <w:fldChar w:fldCharType="separate"/>
            </w:r>
            <w:r w:rsidR="00577E24" w:rsidRPr="00E77539">
              <w:rPr>
                <w:rFonts w:ascii="Arial Narrow" w:hAnsi="Arial Narrow"/>
                <w:noProof/>
                <w:sz w:val="20"/>
                <w:szCs w:val="20"/>
              </w:rPr>
              <w:t>(</w:t>
            </w:r>
            <w:hyperlink w:anchor="_ENREF_52" w:tooltip="Ozaki, 2016 #278" w:history="1">
              <w:r w:rsidR="00835BA6" w:rsidRPr="00E77539">
                <w:rPr>
                  <w:rFonts w:ascii="Arial Narrow" w:hAnsi="Arial Narrow"/>
                  <w:noProof/>
                  <w:sz w:val="20"/>
                  <w:szCs w:val="20"/>
                </w:rPr>
                <w:t>2016</w:t>
              </w:r>
            </w:hyperlink>
            <w:r w:rsidR="00577E24" w:rsidRPr="00E77539">
              <w:rPr>
                <w:rFonts w:ascii="Arial Narrow" w:hAnsi="Arial Narrow"/>
                <w:noProof/>
                <w:sz w:val="20"/>
                <w:szCs w:val="20"/>
              </w:rPr>
              <w:t>)</w:t>
            </w:r>
            <w:r w:rsidR="00577E24" w:rsidRPr="00E77539">
              <w:rPr>
                <w:rFonts w:ascii="Arial Narrow" w:hAnsi="Arial Narrow"/>
                <w:sz w:val="20"/>
                <w:szCs w:val="20"/>
              </w:rPr>
              <w:fldChar w:fldCharType="end"/>
            </w:r>
          </w:p>
          <w:p w14:paraId="02ABCA40"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Japan</w:t>
            </w:r>
          </w:p>
          <w:p w14:paraId="137A9E45" w14:textId="6C6F3E21"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Level</w:t>
            </w:r>
            <w:r w:rsidR="009D0A93" w:rsidRPr="00E77539">
              <w:rPr>
                <w:rFonts w:ascii="Arial Narrow" w:hAnsi="Arial Narrow"/>
                <w:szCs w:val="20"/>
              </w:rPr>
              <w:t>:</w:t>
            </w:r>
            <w:r w:rsidRPr="00E77539">
              <w:rPr>
                <w:rFonts w:ascii="Arial Narrow" w:hAnsi="Arial Narrow"/>
                <w:szCs w:val="20"/>
              </w:rPr>
              <w:t xml:space="preserve"> IV (prospective)</w:t>
            </w:r>
          </w:p>
          <w:p w14:paraId="6E9D184A" w14:textId="1FB14C6A"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Quality</w:t>
            </w:r>
            <w:r w:rsidR="009D0A93" w:rsidRPr="00E77539">
              <w:rPr>
                <w:rFonts w:ascii="Arial Narrow" w:hAnsi="Arial Narrow"/>
                <w:szCs w:val="20"/>
              </w:rPr>
              <w:t>:</w:t>
            </w:r>
          </w:p>
          <w:p w14:paraId="105BBF05" w14:textId="46C78098"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Moderate risk of bias</w:t>
            </w:r>
          </w:p>
        </w:tc>
        <w:tc>
          <w:tcPr>
            <w:tcW w:w="2552" w:type="dxa"/>
          </w:tcPr>
          <w:p w14:paraId="2ABBEC66" w14:textId="2F200C6B"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Population</w:t>
            </w:r>
            <w:r w:rsidR="009D0A93" w:rsidRPr="00E77539">
              <w:rPr>
                <w:rFonts w:ascii="Arial Narrow" w:hAnsi="Arial Narrow"/>
                <w:szCs w:val="20"/>
              </w:rPr>
              <w:t>:</w:t>
            </w:r>
            <w:r w:rsidRPr="00E77539">
              <w:rPr>
                <w:rFonts w:ascii="Arial Narrow" w:hAnsi="Arial Narrow"/>
                <w:szCs w:val="20"/>
              </w:rPr>
              <w:t xml:space="preserve"> Women with endometriomas and no pre-surgical diminished ovarian reserve. 35/112 women tried to have a spontaneous pregnancy following surgery.</w:t>
            </w:r>
          </w:p>
          <w:p w14:paraId="0668C6C5" w14:textId="2962DDA3"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Mean age: 33.5</w:t>
            </w:r>
            <w:r w:rsidR="00CB05BE" w:rsidRPr="00E77539">
              <w:rPr>
                <w:rFonts w:ascii="Arial Narrow" w:hAnsi="Arial Narrow"/>
                <w:sz w:val="20"/>
                <w:szCs w:val="20"/>
              </w:rPr>
              <w:t> ± </w:t>
            </w:r>
            <w:r w:rsidRPr="00E77539">
              <w:rPr>
                <w:rFonts w:ascii="Arial Narrow" w:hAnsi="Arial Narrow"/>
                <w:sz w:val="20"/>
                <w:szCs w:val="20"/>
              </w:rPr>
              <w:t>4.9</w:t>
            </w:r>
          </w:p>
          <w:p w14:paraId="7C9E3281"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5C046EE1" w14:textId="5BE41607"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Treatment</w:t>
            </w:r>
            <w:r w:rsidR="009D0A93" w:rsidRPr="00E77539">
              <w:rPr>
                <w:rFonts w:ascii="Arial Narrow" w:hAnsi="Arial Narrow"/>
                <w:szCs w:val="20"/>
              </w:rPr>
              <w:t>:</w:t>
            </w:r>
            <w:r w:rsidRPr="00E77539">
              <w:rPr>
                <w:rFonts w:ascii="Arial Narrow" w:hAnsi="Arial Narrow"/>
                <w:szCs w:val="20"/>
              </w:rPr>
              <w:t xml:space="preserve"> laparoscopic cystectomy</w:t>
            </w:r>
          </w:p>
        </w:tc>
        <w:tc>
          <w:tcPr>
            <w:tcW w:w="3119" w:type="dxa"/>
          </w:tcPr>
          <w:p w14:paraId="7E7465B5" w14:textId="58799DCD" w:rsidR="003F767A" w:rsidRPr="00E77539" w:rsidRDefault="003F767A" w:rsidP="00E77539">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Objective</w:t>
            </w:r>
            <w:r w:rsidR="009D0A93" w:rsidRPr="00E77539">
              <w:rPr>
                <w:rFonts w:ascii="Arial Narrow" w:hAnsi="Arial Narrow"/>
                <w:szCs w:val="20"/>
              </w:rPr>
              <w:t>:</w:t>
            </w:r>
            <w:r w:rsidRPr="00E77539">
              <w:rPr>
                <w:rFonts w:ascii="Arial Narrow" w:hAnsi="Arial Narrow"/>
                <w:szCs w:val="20"/>
              </w:rPr>
              <w:t xml:space="preserve"> Investigate the factors associated with diminished ovarian reserve and the potential risk of becoming a poor ovarian responder before and after laparoscopic</w:t>
            </w:r>
            <w:r w:rsidR="00E77539" w:rsidRPr="00E77539">
              <w:rPr>
                <w:rFonts w:ascii="Arial Narrow" w:hAnsi="Arial Narrow"/>
                <w:szCs w:val="20"/>
              </w:rPr>
              <w:t xml:space="preserve"> </w:t>
            </w:r>
            <w:r w:rsidRPr="00E77539">
              <w:rPr>
                <w:rFonts w:ascii="Arial Narrow" w:hAnsi="Arial Narrow"/>
                <w:szCs w:val="20"/>
              </w:rPr>
              <w:t>cystectomy.</w:t>
            </w:r>
          </w:p>
          <w:p w14:paraId="526EBD06"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1F0D50AA" w14:textId="59BCFA5D"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Inclusion criteria</w:t>
            </w:r>
            <w:r w:rsidR="009D0A93" w:rsidRPr="00E77539">
              <w:rPr>
                <w:rFonts w:ascii="Arial Narrow" w:hAnsi="Arial Narrow"/>
                <w:szCs w:val="20"/>
              </w:rPr>
              <w:t>:</w:t>
            </w:r>
            <w:r w:rsidRPr="00E77539">
              <w:rPr>
                <w:rFonts w:ascii="Arial Narrow" w:hAnsi="Arial Narrow"/>
                <w:szCs w:val="20"/>
              </w:rPr>
              <w:t xml:space="preserve"> symptomatic ovarian endometrioma with a cyst &gt;4 cm, non-pregnant</w:t>
            </w:r>
          </w:p>
          <w:p w14:paraId="79BF5730" w14:textId="514C62CF"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Exclusion criteria</w:t>
            </w:r>
            <w:r w:rsidR="009D0A93" w:rsidRPr="00E77539">
              <w:rPr>
                <w:rFonts w:ascii="Arial Narrow" w:hAnsi="Arial Narrow"/>
                <w:szCs w:val="20"/>
              </w:rPr>
              <w:t>:</w:t>
            </w:r>
            <w:r w:rsidRPr="00E77539">
              <w:rPr>
                <w:rFonts w:ascii="Arial Narrow" w:hAnsi="Arial Narrow"/>
                <w:szCs w:val="20"/>
                <w:u w:val="single"/>
              </w:rPr>
              <w:t xml:space="preserve"> </w:t>
            </w:r>
            <w:r w:rsidRPr="00E77539">
              <w:rPr>
                <w:rFonts w:ascii="Arial Narrow" w:hAnsi="Arial Narrow"/>
                <w:szCs w:val="20"/>
              </w:rPr>
              <w:t>patients with pre-surgical adve</w:t>
            </w:r>
            <w:r w:rsidR="00E77539">
              <w:rPr>
                <w:rFonts w:ascii="Arial Narrow" w:hAnsi="Arial Narrow"/>
                <w:szCs w:val="20"/>
              </w:rPr>
              <w:t>rse diminished ovarian reserve.</w:t>
            </w:r>
          </w:p>
        </w:tc>
        <w:tc>
          <w:tcPr>
            <w:tcW w:w="4110" w:type="dxa"/>
          </w:tcPr>
          <w:p w14:paraId="3C80CC57" w14:textId="61C8D34D"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Test characteristics</w:t>
            </w:r>
            <w:r w:rsidR="009D0A93" w:rsidRPr="00E77539">
              <w:rPr>
                <w:rFonts w:ascii="Arial Narrow" w:hAnsi="Arial Narrow"/>
                <w:szCs w:val="20"/>
              </w:rPr>
              <w:t>:</w:t>
            </w:r>
            <w:r w:rsidRPr="00E77539">
              <w:rPr>
                <w:rFonts w:ascii="Arial Narrow" w:hAnsi="Arial Narrow"/>
                <w:szCs w:val="20"/>
              </w:rPr>
              <w:t xml:space="preserve"> The serum AMH concentrations were measured using an enzyme immunoassay kit according to the manufacturer’s instructions (EIA AMH/MIS; Immunotech, Marseille, France). The intra- and inter-assay </w:t>
            </w:r>
            <w:r w:rsidR="00205BD5">
              <w:rPr>
                <w:rFonts w:ascii="Arial Narrow" w:hAnsi="Arial Narrow"/>
                <w:szCs w:val="20"/>
              </w:rPr>
              <w:t>CoV</w:t>
            </w:r>
            <w:r w:rsidRPr="00E77539">
              <w:rPr>
                <w:rFonts w:ascii="Arial Narrow" w:hAnsi="Arial Narrow"/>
                <w:szCs w:val="20"/>
              </w:rPr>
              <w:t xml:space="preserve"> for the AMH assay were below 12.3 and 14.2 %, respectively.</w:t>
            </w:r>
          </w:p>
          <w:p w14:paraId="342C01D8"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174F85F3" w14:textId="3960FFEC"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Analysis</w:t>
            </w:r>
            <w:r w:rsidR="009D0A93" w:rsidRPr="00E77539">
              <w:rPr>
                <w:rFonts w:ascii="Arial Narrow" w:hAnsi="Arial Narrow"/>
                <w:szCs w:val="20"/>
              </w:rPr>
              <w:t>:</w:t>
            </w:r>
            <w:r w:rsidRPr="007102C6">
              <w:rPr>
                <w:rFonts w:ascii="Arial Narrow" w:hAnsi="Arial Narrow"/>
                <w:szCs w:val="20"/>
              </w:rPr>
              <w:t xml:space="preserve"> </w:t>
            </w:r>
            <w:r w:rsidRPr="00E77539">
              <w:rPr>
                <w:rFonts w:ascii="Arial Narrow" w:hAnsi="Arial Narrow"/>
                <w:szCs w:val="20"/>
              </w:rPr>
              <w:t>Unpaired Student’s t-tests or the Mann</w:t>
            </w:r>
            <w:r w:rsidR="00415491">
              <w:rPr>
                <w:rFonts w:ascii="Arial Narrow" w:hAnsi="Arial Narrow"/>
                <w:szCs w:val="20"/>
              </w:rPr>
              <w:t>-</w:t>
            </w:r>
            <w:r w:rsidRPr="00E77539">
              <w:rPr>
                <w:rFonts w:ascii="Arial Narrow" w:hAnsi="Arial Narrow"/>
                <w:szCs w:val="20"/>
              </w:rPr>
              <w:t>Whitney U-test was performed to compare consecutive variables, and chi-square tests or Fisher’s exact test was performed to compare categorical variables.</w:t>
            </w:r>
          </w:p>
          <w:p w14:paraId="60D283E2" w14:textId="77777777" w:rsidR="003F767A" w:rsidRPr="00E77539" w:rsidRDefault="003F767A" w:rsidP="00157388">
            <w:pPr>
              <w:spacing w:beforeLines="40" w:before="96" w:afterLines="40" w:after="96" w:line="240" w:lineRule="auto"/>
              <w:ind w:right="-57"/>
              <w:rPr>
                <w:rFonts w:ascii="Arial Narrow" w:hAnsi="Arial Narrow"/>
                <w:b/>
                <w:sz w:val="20"/>
                <w:szCs w:val="20"/>
                <w:u w:val="single"/>
              </w:rPr>
            </w:pPr>
          </w:p>
          <w:p w14:paraId="1761A494" w14:textId="79F29D3D" w:rsidR="003F767A" w:rsidRPr="00E77539" w:rsidRDefault="003F767A" w:rsidP="00E77539">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Follow-up period</w:t>
            </w:r>
            <w:r w:rsidR="009D0A93" w:rsidRPr="00E77539">
              <w:rPr>
                <w:rFonts w:ascii="Arial Narrow" w:hAnsi="Arial Narrow"/>
                <w:szCs w:val="20"/>
              </w:rPr>
              <w:t>:</w:t>
            </w:r>
            <w:r w:rsidRPr="00E77539">
              <w:rPr>
                <w:rFonts w:ascii="Arial Narrow" w:hAnsi="Arial Narrow"/>
                <w:szCs w:val="20"/>
              </w:rPr>
              <w:t xml:space="preserve"> pregnancy rates were measured 2 years post-surgery</w:t>
            </w:r>
            <w:r w:rsidR="00E830B2">
              <w:rPr>
                <w:rFonts w:ascii="Arial Narrow" w:hAnsi="Arial Narrow"/>
                <w:szCs w:val="20"/>
              </w:rPr>
              <w:t>.</w:t>
            </w:r>
          </w:p>
        </w:tc>
        <w:tc>
          <w:tcPr>
            <w:tcW w:w="2127" w:type="dxa"/>
          </w:tcPr>
          <w:p w14:paraId="17F3868D" w14:textId="15D566F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 xml:space="preserve">Cumulative spontaneous pregnancy rate (low AMH compared to normal/high </w:t>
            </w:r>
            <w:r w:rsidR="00E830B2">
              <w:rPr>
                <w:rFonts w:ascii="Arial Narrow" w:hAnsi="Arial Narrow"/>
                <w:sz w:val="20"/>
                <w:szCs w:val="20"/>
              </w:rPr>
              <w:t>AMH).</w:t>
            </w:r>
          </w:p>
        </w:tc>
      </w:tr>
      <w:tr w:rsidR="003F767A" w:rsidRPr="003F767A" w14:paraId="73899166" w14:textId="77777777" w:rsidTr="00267CD2">
        <w:tc>
          <w:tcPr>
            <w:tcW w:w="1979" w:type="dxa"/>
          </w:tcPr>
          <w:p w14:paraId="1255ED4D" w14:textId="5802BD7A"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 xml:space="preserve">Pup et al. </w:t>
            </w:r>
            <w:r w:rsidR="00577E24" w:rsidRPr="00E77539">
              <w:rPr>
                <w:rFonts w:ascii="Arial Narrow" w:hAnsi="Arial Narrow"/>
                <w:sz w:val="20"/>
                <w:szCs w:val="20"/>
              </w:rPr>
              <w:fldChar w:fldCharType="begin"/>
            </w:r>
            <w:r w:rsidR="00577E24" w:rsidRPr="00E77539">
              <w:rPr>
                <w:rFonts w:ascii="Arial Narrow" w:hAnsi="Arial Narrow"/>
                <w:sz w:val="20"/>
                <w:szCs w:val="20"/>
              </w:rPr>
              <w:instrText xml:space="preserve"> ADDIN EN.CITE &lt;EndNote&gt;&lt;Cite ExcludeAuth="1"&gt;&lt;Author&gt;Pup&lt;/Author&gt;&lt;Year&gt;2014&lt;/Year&gt;&lt;RecNum&gt;291&lt;/RecNum&gt;&lt;IDText&gt;293-9&lt;/IDText&gt;&lt;DisplayText&gt;(2014)&lt;/DisplayText&gt;&lt;record&gt;&lt;rec-number&gt;291&lt;/rec-number&gt;&lt;foreign-keys&gt;&lt;key app="EN" db-id="s2dftfxw1fvsr1efx58vfvxtvfwzxea0td02" timestamp="1511748092"&gt;291&lt;/key&gt;&lt;/foreign-keys&gt;&lt;ref-type name="Journal Article"&gt;17&lt;/ref-type&gt;&lt;contributors&gt;&lt;authors&gt;&lt;author&gt;Pup, L. D.&lt;/author&gt;&lt;author&gt;Zanet, E.&lt;/author&gt;&lt;author&gt;Rupolo, M.&lt;/author&gt;&lt;author&gt;Talamini, R.&lt;/author&gt;&lt;author&gt;Tirelli, U.&lt;/author&gt;&lt;author&gt;Mazzucato, M.&lt;/author&gt;&lt;author&gt;Steffan, A.&lt;/author&gt;&lt;author&gt;Zanussi, S.&lt;/author&gt;&lt;author&gt;Doretto, P.&lt;/author&gt;&lt;author&gt;Michieli, M.&lt;/author&gt;&lt;/authors&gt;&lt;/contributors&gt;&lt;titles&gt;&lt;title&gt;Which tools may help physicians in female fertility prediction after autologous bone marrow transplantation for lymphoma? A pilot study&lt;/title&gt;&lt;secondary-title&gt;J Chemother&lt;/secondary-title&gt;&lt;/titles&gt;&lt;periodical&gt;&lt;full-title&gt;J Chemother&lt;/full-title&gt;&lt;/periodical&gt;&lt;pages&gt;293-9&lt;/pages&gt;&lt;volume&gt;26&lt;/volume&gt;&lt;number&gt;5&lt;/number&gt;&lt;keywords&gt;&lt;keyword&gt;Fertility&lt;/keyword&gt;&lt;keyword&gt;Fertilizers&lt;/keyword&gt;&lt;keyword&gt;Cell Transplantation&lt;/keyword&gt;&lt;keyword&gt;Gonadotropin-Releasing Hormone&lt;/keyword&gt;&lt;keyword&gt;Lymphoma&lt;/keyword&gt;&lt;keyword&gt;Retrospective Studies&lt;/keyword&gt;&lt;keyword&gt;Bone Marrow Transplantation&lt;/keyword&gt;&lt;keyword&gt;Pregnancy&lt;/keyword&gt;&lt;keyword&gt;Pilot Projects&lt;/keyword&gt;&lt;keyword&gt;Self-Fertilization&lt;/keyword&gt;&lt;/keywords&gt;&lt;dates&gt;&lt;year&gt;2014&lt;/year&gt;&lt;pub-dates&gt;&lt;date&gt;2014-1-1&lt;/date&gt;&lt;/pub-dates&gt;&lt;/dates&gt;&lt;isbn&gt;1120-009X (Print) 1120-009x&lt;/isbn&gt;&lt;accession-num&gt;rayyan-6677719&lt;/accession-num&gt;&lt;urls&gt;&lt;related-urls&gt;&lt;url&gt;http://www.tandfonline.com/doi/pdf/10.1179/1973947813Y.0000000162?needAccess=true&lt;/url&gt;&lt;/related-urls&gt;&lt;/urls&gt;&lt;custom1&gt;RAYYAN-INCLUSION: {&amp;quot;Sharon&amp;quot;=&amp;gt;true, &amp;quot;Joanne&amp;quot;=&amp;gt;true}&lt;/custom1&gt;&lt;language&gt;eng&lt;/language&gt;&lt;/record&gt;&lt;/Cite&gt;&lt;/EndNote&gt;</w:instrText>
            </w:r>
            <w:r w:rsidR="00577E24" w:rsidRPr="00E77539">
              <w:rPr>
                <w:rFonts w:ascii="Arial Narrow" w:hAnsi="Arial Narrow"/>
                <w:sz w:val="20"/>
                <w:szCs w:val="20"/>
              </w:rPr>
              <w:fldChar w:fldCharType="separate"/>
            </w:r>
            <w:r w:rsidR="00577E24" w:rsidRPr="00E77539">
              <w:rPr>
                <w:rFonts w:ascii="Arial Narrow" w:hAnsi="Arial Narrow"/>
                <w:noProof/>
                <w:sz w:val="20"/>
                <w:szCs w:val="20"/>
              </w:rPr>
              <w:t>(</w:t>
            </w:r>
            <w:hyperlink w:anchor="_ENREF_57" w:tooltip="Pup, 2014 #291" w:history="1">
              <w:r w:rsidR="00835BA6" w:rsidRPr="00E77539">
                <w:rPr>
                  <w:rFonts w:ascii="Arial Narrow" w:hAnsi="Arial Narrow"/>
                  <w:noProof/>
                  <w:sz w:val="20"/>
                  <w:szCs w:val="20"/>
                </w:rPr>
                <w:t>2014</w:t>
              </w:r>
            </w:hyperlink>
            <w:r w:rsidR="00577E24" w:rsidRPr="00E77539">
              <w:rPr>
                <w:rFonts w:ascii="Arial Narrow" w:hAnsi="Arial Narrow"/>
                <w:noProof/>
                <w:sz w:val="20"/>
                <w:szCs w:val="20"/>
              </w:rPr>
              <w:t>)</w:t>
            </w:r>
            <w:r w:rsidR="00577E24" w:rsidRPr="00E77539">
              <w:rPr>
                <w:rFonts w:ascii="Arial Narrow" w:hAnsi="Arial Narrow"/>
                <w:sz w:val="20"/>
                <w:szCs w:val="20"/>
              </w:rPr>
              <w:fldChar w:fldCharType="end"/>
            </w:r>
          </w:p>
          <w:p w14:paraId="057D54A7"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Italy</w:t>
            </w:r>
          </w:p>
          <w:p w14:paraId="0AF77803" w14:textId="1C610602"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Level</w:t>
            </w:r>
            <w:r w:rsidR="009D0A93" w:rsidRPr="00E77539">
              <w:rPr>
                <w:rFonts w:ascii="Arial Narrow" w:hAnsi="Arial Narrow"/>
                <w:szCs w:val="20"/>
              </w:rPr>
              <w:t>:</w:t>
            </w:r>
            <w:r w:rsidRPr="00E77539">
              <w:rPr>
                <w:rFonts w:ascii="Arial Narrow" w:hAnsi="Arial Narrow"/>
                <w:szCs w:val="20"/>
              </w:rPr>
              <w:t xml:space="preserve"> IV (retrospective)</w:t>
            </w:r>
          </w:p>
          <w:p w14:paraId="3A97F0AB" w14:textId="4254DC73"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Quality</w:t>
            </w:r>
            <w:r w:rsidR="009D0A93" w:rsidRPr="00E77539">
              <w:rPr>
                <w:rFonts w:ascii="Arial Narrow" w:hAnsi="Arial Narrow"/>
                <w:szCs w:val="20"/>
              </w:rPr>
              <w:t>:</w:t>
            </w:r>
          </w:p>
          <w:p w14:paraId="32CB3EFB" w14:textId="52C3BF8A"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Moderate risk of bias</w:t>
            </w:r>
          </w:p>
        </w:tc>
        <w:tc>
          <w:tcPr>
            <w:tcW w:w="2552" w:type="dxa"/>
          </w:tcPr>
          <w:p w14:paraId="29752BB7" w14:textId="0FFBCF32" w:rsidR="003F767A" w:rsidRPr="00E77539" w:rsidRDefault="003F767A" w:rsidP="00E77539">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Population</w:t>
            </w:r>
            <w:r w:rsidR="009D0A93" w:rsidRPr="00E77539">
              <w:rPr>
                <w:rFonts w:ascii="Arial Narrow" w:hAnsi="Arial Narrow"/>
                <w:szCs w:val="20"/>
              </w:rPr>
              <w:t>:</w:t>
            </w:r>
            <w:r w:rsidRPr="00E77539">
              <w:rPr>
                <w:rFonts w:ascii="Arial Narrow" w:hAnsi="Arial Narrow"/>
                <w:szCs w:val="20"/>
              </w:rPr>
              <w:t xml:space="preserve"> 17 women </w:t>
            </w:r>
            <w:r w:rsidR="00E77539" w:rsidRPr="00E77539">
              <w:rPr>
                <w:rFonts w:ascii="Arial Narrow" w:hAnsi="Arial Narrow"/>
                <w:szCs w:val="20"/>
              </w:rPr>
              <w:t>of child</w:t>
            </w:r>
            <w:r w:rsidR="00916047">
              <w:rPr>
                <w:rFonts w:ascii="Arial Narrow" w:hAnsi="Arial Narrow"/>
                <w:szCs w:val="20"/>
              </w:rPr>
              <w:t>bearing</w:t>
            </w:r>
            <w:r w:rsidR="00E77539" w:rsidRPr="00E77539">
              <w:rPr>
                <w:rFonts w:ascii="Arial Narrow" w:hAnsi="Arial Narrow"/>
                <w:szCs w:val="20"/>
              </w:rPr>
              <w:t xml:space="preserve"> age affected by l</w:t>
            </w:r>
            <w:r w:rsidRPr="00E77539">
              <w:rPr>
                <w:rFonts w:ascii="Arial Narrow" w:hAnsi="Arial Narrow"/>
                <w:szCs w:val="20"/>
              </w:rPr>
              <w:t>ymphoma. 12 women had AMH testing before treatment.</w:t>
            </w:r>
          </w:p>
          <w:p w14:paraId="0F1AE5C6"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15ED8BB0" w14:textId="0BE81BCA" w:rsidR="003F767A" w:rsidRPr="00E77539" w:rsidRDefault="003F767A" w:rsidP="00E77539">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Treatment</w:t>
            </w:r>
            <w:r w:rsidR="009D0A93" w:rsidRPr="00E77539">
              <w:rPr>
                <w:rFonts w:ascii="Arial Narrow" w:hAnsi="Arial Narrow"/>
                <w:szCs w:val="20"/>
              </w:rPr>
              <w:t>:</w:t>
            </w:r>
            <w:r w:rsidRPr="00E77539">
              <w:rPr>
                <w:rFonts w:ascii="Arial Narrow" w:hAnsi="Arial Narrow"/>
                <w:szCs w:val="20"/>
              </w:rPr>
              <w:t xml:space="preserve"> Haematopoietic cell </w:t>
            </w:r>
            <w:r w:rsidRPr="00E77539">
              <w:rPr>
                <w:rFonts w:ascii="Arial Narrow" w:hAnsi="Arial Narrow"/>
                <w:szCs w:val="20"/>
              </w:rPr>
              <w:lastRenderedPageBreak/>
              <w:t>transplantation. Patients received chemotherapy before HCT. Twelve patients received radiotherapy.</w:t>
            </w:r>
          </w:p>
        </w:tc>
        <w:tc>
          <w:tcPr>
            <w:tcW w:w="3119" w:type="dxa"/>
          </w:tcPr>
          <w:p w14:paraId="55149F9A" w14:textId="72A16564"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lastRenderedPageBreak/>
              <w:t>Objective</w:t>
            </w:r>
            <w:r w:rsidR="009D0A93" w:rsidRPr="00E77539">
              <w:rPr>
                <w:rFonts w:ascii="Arial Narrow" w:hAnsi="Arial Narrow"/>
                <w:szCs w:val="20"/>
              </w:rPr>
              <w:t>:</w:t>
            </w:r>
            <w:r w:rsidRPr="00E77539">
              <w:rPr>
                <w:rFonts w:ascii="Arial Narrow" w:hAnsi="Arial Narrow"/>
                <w:szCs w:val="20"/>
              </w:rPr>
              <w:t xml:space="preserve"> to report on the experience of fertility preservation after HCT and to validate specific tools that may predict long-term ovarian function (i.e. AMH).</w:t>
            </w:r>
          </w:p>
          <w:p w14:paraId="133BA76C"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729290DB" w14:textId="1C6DA9A4"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Inclusion criteria</w:t>
            </w:r>
            <w:r w:rsidR="009D0A93" w:rsidRPr="00E77539">
              <w:rPr>
                <w:rFonts w:ascii="Arial Narrow" w:hAnsi="Arial Narrow"/>
                <w:szCs w:val="20"/>
              </w:rPr>
              <w:t>:</w:t>
            </w:r>
            <w:r w:rsidRPr="00E77539">
              <w:rPr>
                <w:rFonts w:ascii="Arial Narrow" w:hAnsi="Arial Narrow"/>
                <w:szCs w:val="20"/>
              </w:rPr>
              <w:t xml:space="preserve"> women of childbearing </w:t>
            </w:r>
            <w:r w:rsidRPr="00E77539">
              <w:rPr>
                <w:rFonts w:ascii="Arial Narrow" w:hAnsi="Arial Narrow"/>
                <w:szCs w:val="20"/>
              </w:rPr>
              <w:lastRenderedPageBreak/>
              <w:t>age affected by lymphoma and submitted to haematopoietic cell transplantation</w:t>
            </w:r>
          </w:p>
          <w:p w14:paraId="7BCC0B5B" w14:textId="366E3E85"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Exclusion criteria</w:t>
            </w:r>
            <w:r w:rsidR="009D0A93" w:rsidRPr="00E77539">
              <w:rPr>
                <w:rFonts w:ascii="Arial Narrow" w:hAnsi="Arial Narrow"/>
                <w:szCs w:val="20"/>
              </w:rPr>
              <w:t>:</w:t>
            </w:r>
            <w:r w:rsidR="00E77539">
              <w:rPr>
                <w:rFonts w:ascii="Arial Narrow" w:hAnsi="Arial Narrow"/>
                <w:szCs w:val="20"/>
              </w:rPr>
              <w:t xml:space="preserve"> -</w:t>
            </w:r>
          </w:p>
        </w:tc>
        <w:tc>
          <w:tcPr>
            <w:tcW w:w="4110" w:type="dxa"/>
          </w:tcPr>
          <w:p w14:paraId="5DDC8E2E" w14:textId="0888BC9D"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lastRenderedPageBreak/>
              <w:t>Test characteristics</w:t>
            </w:r>
            <w:r w:rsidR="009D0A93" w:rsidRPr="00E77539">
              <w:rPr>
                <w:rFonts w:ascii="Arial Narrow" w:hAnsi="Arial Narrow"/>
                <w:szCs w:val="20"/>
              </w:rPr>
              <w:t>:</w:t>
            </w:r>
            <w:r w:rsidRPr="00E77539">
              <w:rPr>
                <w:rFonts w:ascii="Arial Narrow" w:hAnsi="Arial Narrow"/>
                <w:szCs w:val="20"/>
              </w:rPr>
              <w:t xml:space="preserve"> NR</w:t>
            </w:r>
          </w:p>
          <w:p w14:paraId="714758BE"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59246FA7" w14:textId="45012AC0"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Analysis</w:t>
            </w:r>
            <w:r w:rsidR="009D0A93" w:rsidRPr="00E77539">
              <w:rPr>
                <w:rFonts w:ascii="Arial Narrow" w:hAnsi="Arial Narrow"/>
                <w:szCs w:val="20"/>
              </w:rPr>
              <w:t>:</w:t>
            </w:r>
            <w:r w:rsidRPr="00E77539">
              <w:rPr>
                <w:rFonts w:ascii="Arial Narrow" w:hAnsi="Arial Narrow"/>
                <w:szCs w:val="20"/>
              </w:rPr>
              <w:t xml:space="preserve"> Standard descriptive methods were used (median, ranges, Chi-squared test, and Fischer’s exact test)</w:t>
            </w:r>
          </w:p>
          <w:p w14:paraId="65DC329B" w14:textId="77777777" w:rsidR="003F767A" w:rsidRPr="00E77539" w:rsidRDefault="003F767A" w:rsidP="00157388">
            <w:pPr>
              <w:spacing w:beforeLines="40" w:before="96" w:afterLines="40" w:after="96" w:line="240" w:lineRule="auto"/>
              <w:ind w:right="-57"/>
              <w:rPr>
                <w:rFonts w:ascii="Arial Narrow" w:hAnsi="Arial Narrow"/>
                <w:b/>
                <w:sz w:val="20"/>
                <w:szCs w:val="20"/>
                <w:u w:val="single"/>
              </w:rPr>
            </w:pPr>
          </w:p>
          <w:p w14:paraId="2E710142" w14:textId="77529837" w:rsidR="003F767A" w:rsidRPr="00E77539" w:rsidRDefault="003F767A" w:rsidP="00E77539">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Follow-up period</w:t>
            </w:r>
            <w:r w:rsidR="009D0A93" w:rsidRPr="00E77539">
              <w:rPr>
                <w:rFonts w:ascii="Arial Narrow" w:hAnsi="Arial Narrow"/>
                <w:szCs w:val="20"/>
              </w:rPr>
              <w:t>:</w:t>
            </w:r>
            <w:r w:rsidRPr="00E77539">
              <w:rPr>
                <w:rFonts w:ascii="Arial Narrow" w:hAnsi="Arial Narrow"/>
                <w:szCs w:val="20"/>
              </w:rPr>
              <w:t xml:space="preserve"> NR</w:t>
            </w:r>
          </w:p>
        </w:tc>
        <w:tc>
          <w:tcPr>
            <w:tcW w:w="2127" w:type="dxa"/>
          </w:tcPr>
          <w:p w14:paraId="404A0AB5" w14:textId="40E7CF74"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lastRenderedPageBreak/>
              <w:t xml:space="preserve">Pregnancy rate (low AMH compared to normal/high </w:t>
            </w:r>
            <w:r w:rsidR="00E830B2">
              <w:rPr>
                <w:rFonts w:ascii="Arial Narrow" w:hAnsi="Arial Narrow"/>
                <w:sz w:val="20"/>
                <w:szCs w:val="20"/>
              </w:rPr>
              <w:t>AMH).</w:t>
            </w:r>
          </w:p>
        </w:tc>
      </w:tr>
      <w:tr w:rsidR="003F767A" w:rsidRPr="003F767A" w14:paraId="523B5668" w14:textId="77777777" w:rsidTr="00267CD2">
        <w:tc>
          <w:tcPr>
            <w:tcW w:w="1979" w:type="dxa"/>
          </w:tcPr>
          <w:p w14:paraId="7F9BF97A" w14:textId="6CE9F680"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lastRenderedPageBreak/>
              <w:t xml:space="preserve">Stochino-Loi et al. </w:t>
            </w:r>
            <w:r w:rsidR="00577E24" w:rsidRPr="00E77539">
              <w:rPr>
                <w:rFonts w:ascii="Arial Narrow" w:hAnsi="Arial Narrow"/>
                <w:sz w:val="20"/>
                <w:szCs w:val="20"/>
              </w:rPr>
              <w:fldChar w:fldCharType="begin"/>
            </w:r>
            <w:r w:rsidR="00577E24" w:rsidRPr="00E77539">
              <w:rPr>
                <w:rFonts w:ascii="Arial Narrow" w:hAnsi="Arial Narrow"/>
                <w:sz w:val="20"/>
                <w:szCs w:val="20"/>
              </w:rPr>
              <w:instrText xml:space="preserve"> ADDIN EN.CITE &lt;EndNote&gt;&lt;Cite ExcludeAuth="1"&gt;&lt;Author&gt;Stochino-Loi&lt;/Author&gt;&lt;Year&gt;2017&lt;/Year&gt;&lt;RecNum&gt;332&lt;/RecNum&gt;&lt;IDText&gt;707-713 e3&lt;/IDText&gt;&lt;DisplayText&gt;(2017)&lt;/DisplayText&gt;&lt;record&gt;&lt;rec-number&gt;332&lt;/rec-number&gt;&lt;foreign-keys&gt;&lt;key app="EN" db-id="s2dftfxw1fvsr1efx58vfvxtvfwzxea0td02" timestamp="1511748097"&gt;332&lt;/key&gt;&lt;/foreign-keys&gt;&lt;ref-type name="Journal Article"&gt;17&lt;/ref-type&gt;&lt;contributors&gt;&lt;authors&gt;&lt;author&gt;Stochino-Loi, E.&lt;/author&gt;&lt;author&gt;Darwish, B.&lt;/author&gt;&lt;author&gt;Mircea, O.&lt;/author&gt;&lt;author&gt;Touleimat, S.&lt;/author&gt;&lt;author&gt;Millochau, J. C.&lt;/author&gt;&lt;author&gt;Abo, C.&lt;/author&gt;&lt;author&gt;Angioni, S.&lt;/author&gt;&lt;author&gt;Roman, H.&lt;/author&gt;&lt;/authors&gt;&lt;/contributors&gt;&lt;titles&gt;&lt;title&gt;Does preoperative antimullerian hormone level influence postoperative pregnancy rate in women undergoing surgery for severe endometriosis?&lt;/title&gt;&lt;secondary-title&gt;Fertil Steril&lt;/secondary-title&gt;&lt;/titles&gt;&lt;periodical&gt;&lt;full-title&gt;Fertil Steril&lt;/full-title&gt;&lt;/periodical&gt;&lt;pages&gt;707-713 e3&lt;/pages&gt;&lt;volume&gt;107&lt;/volume&gt;&lt;number&gt;3&lt;/number&gt;&lt;keywords&gt;&lt;keyword&gt;Self-Fertilization&lt;/keyword&gt;&lt;keyword&gt;Pregnancy Rate&lt;/keyword&gt;&lt;keyword&gt;Probability&lt;/keyword&gt;&lt;keyword&gt;Endometriosis&lt;/keyword&gt;&lt;keyword&gt;Pregnancy&lt;/keyword&gt;&lt;/keywords&gt;&lt;dates&gt;&lt;year&gt;2017&lt;/year&gt;&lt;pub-dates&gt;&lt;date&gt;2017-1-1&lt;/date&gt;&lt;/pub-dates&gt;&lt;/dates&gt;&lt;isbn&gt;0015-0282&lt;/isbn&gt;&lt;accession-num&gt;rayyan-6678804&lt;/accession-num&gt;&lt;urls&gt;&lt;/urls&gt;&lt;custom1&gt;RAYYAN-INCLUSION: {&amp;quot;Sharon&amp;quot;=&amp;gt;true}&lt;/custom1&gt;&lt;language&gt;eng&lt;/language&gt;&lt;/record&gt;&lt;/Cite&gt;&lt;/EndNote&gt;</w:instrText>
            </w:r>
            <w:r w:rsidR="00577E24" w:rsidRPr="00E77539">
              <w:rPr>
                <w:rFonts w:ascii="Arial Narrow" w:hAnsi="Arial Narrow"/>
                <w:sz w:val="20"/>
                <w:szCs w:val="20"/>
              </w:rPr>
              <w:fldChar w:fldCharType="separate"/>
            </w:r>
            <w:r w:rsidR="00577E24" w:rsidRPr="00E77539">
              <w:rPr>
                <w:rFonts w:ascii="Arial Narrow" w:hAnsi="Arial Narrow"/>
                <w:noProof/>
                <w:sz w:val="20"/>
                <w:szCs w:val="20"/>
              </w:rPr>
              <w:t>(</w:t>
            </w:r>
            <w:hyperlink w:anchor="_ENREF_62" w:tooltip="Stochino-Loi, 2017 #332" w:history="1">
              <w:r w:rsidR="00835BA6" w:rsidRPr="00E77539">
                <w:rPr>
                  <w:rFonts w:ascii="Arial Narrow" w:hAnsi="Arial Narrow"/>
                  <w:noProof/>
                  <w:sz w:val="20"/>
                  <w:szCs w:val="20"/>
                </w:rPr>
                <w:t>2017</w:t>
              </w:r>
            </w:hyperlink>
            <w:r w:rsidR="00577E24" w:rsidRPr="00E77539">
              <w:rPr>
                <w:rFonts w:ascii="Arial Narrow" w:hAnsi="Arial Narrow"/>
                <w:noProof/>
                <w:sz w:val="20"/>
                <w:szCs w:val="20"/>
              </w:rPr>
              <w:t>)</w:t>
            </w:r>
            <w:r w:rsidR="00577E24" w:rsidRPr="00E77539">
              <w:rPr>
                <w:rFonts w:ascii="Arial Narrow" w:hAnsi="Arial Narrow"/>
                <w:sz w:val="20"/>
                <w:szCs w:val="20"/>
              </w:rPr>
              <w:fldChar w:fldCharType="end"/>
            </w:r>
          </w:p>
          <w:p w14:paraId="1DBEAE3D"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France</w:t>
            </w:r>
          </w:p>
          <w:p w14:paraId="372F29CF" w14:textId="34BB0E09"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Level</w:t>
            </w:r>
            <w:r w:rsidR="009D0A93" w:rsidRPr="00E77539">
              <w:rPr>
                <w:rFonts w:ascii="Arial Narrow" w:hAnsi="Arial Narrow"/>
                <w:szCs w:val="20"/>
              </w:rPr>
              <w:t>:</w:t>
            </w:r>
            <w:r w:rsidRPr="00E77539">
              <w:rPr>
                <w:rFonts w:ascii="Arial Narrow" w:hAnsi="Arial Narrow"/>
                <w:szCs w:val="20"/>
              </w:rPr>
              <w:t xml:space="preserve"> IV (retrospective study)</w:t>
            </w:r>
          </w:p>
          <w:p w14:paraId="69444F11" w14:textId="7A92A4C6"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Quality</w:t>
            </w:r>
            <w:r w:rsidR="009D0A93" w:rsidRPr="00E77539">
              <w:rPr>
                <w:rFonts w:ascii="Arial Narrow" w:hAnsi="Arial Narrow"/>
                <w:szCs w:val="20"/>
              </w:rPr>
              <w:t>:</w:t>
            </w:r>
          </w:p>
          <w:p w14:paraId="39E01FBF" w14:textId="71F89A4C"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Low/moderate/high risk of bias</w:t>
            </w:r>
          </w:p>
        </w:tc>
        <w:tc>
          <w:tcPr>
            <w:tcW w:w="2552" w:type="dxa"/>
          </w:tcPr>
          <w:p w14:paraId="662EA406" w14:textId="16B0A1D2"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Population</w:t>
            </w:r>
            <w:r w:rsidR="009D0A93" w:rsidRPr="00E77539">
              <w:rPr>
                <w:rFonts w:ascii="Arial Narrow" w:hAnsi="Arial Narrow"/>
                <w:szCs w:val="20"/>
              </w:rPr>
              <w:t>:</w:t>
            </w:r>
            <w:r w:rsidR="00E77539">
              <w:rPr>
                <w:rFonts w:ascii="Arial Narrow" w:hAnsi="Arial Narrow"/>
                <w:szCs w:val="20"/>
              </w:rPr>
              <w:t xml:space="preserve"> </w:t>
            </w:r>
            <w:r w:rsidRPr="00E77539">
              <w:rPr>
                <w:rFonts w:ascii="Arial Narrow" w:hAnsi="Arial Narrow"/>
                <w:szCs w:val="20"/>
              </w:rPr>
              <w:t>180 women with stage 3 and 4 endom</w:t>
            </w:r>
            <w:r w:rsidR="00E77539">
              <w:rPr>
                <w:rFonts w:ascii="Arial Narrow" w:hAnsi="Arial Narrow"/>
                <w:szCs w:val="20"/>
              </w:rPr>
              <w:t xml:space="preserve">etriosis </w:t>
            </w:r>
            <w:r w:rsidRPr="00E77539">
              <w:rPr>
                <w:rFonts w:ascii="Arial Narrow" w:hAnsi="Arial Narrow"/>
                <w:szCs w:val="20"/>
              </w:rPr>
              <w:t>and pregnancy intention</w:t>
            </w:r>
          </w:p>
          <w:p w14:paraId="414822E6" w14:textId="5DEC6644" w:rsidR="007518CF"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Mean age: 30.5</w:t>
            </w:r>
            <w:r w:rsidR="00CB05BE" w:rsidRPr="00E77539">
              <w:rPr>
                <w:rFonts w:ascii="Arial Narrow" w:hAnsi="Arial Narrow"/>
                <w:sz w:val="20"/>
                <w:szCs w:val="20"/>
              </w:rPr>
              <w:t> ± </w:t>
            </w:r>
            <w:r w:rsidRPr="00E77539">
              <w:rPr>
                <w:rFonts w:ascii="Arial Narrow" w:hAnsi="Arial Narrow"/>
                <w:sz w:val="20"/>
                <w:szCs w:val="20"/>
              </w:rPr>
              <w:t>4.1 years</w:t>
            </w:r>
          </w:p>
          <w:p w14:paraId="7FEB8DBA" w14:textId="7C9A29F2"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118793F1" w14:textId="7041F12D" w:rsidR="003F767A" w:rsidRPr="00E77539" w:rsidRDefault="003F767A" w:rsidP="00E77539">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Treatment</w:t>
            </w:r>
            <w:r w:rsidR="009D0A93" w:rsidRPr="00E77539">
              <w:rPr>
                <w:rFonts w:ascii="Arial Narrow" w:hAnsi="Arial Narrow"/>
                <w:szCs w:val="20"/>
              </w:rPr>
              <w:t>:</w:t>
            </w:r>
            <w:r w:rsidR="00E77539">
              <w:rPr>
                <w:rFonts w:ascii="Arial Narrow" w:hAnsi="Arial Narrow"/>
                <w:szCs w:val="20"/>
              </w:rPr>
              <w:t xml:space="preserve"> </w:t>
            </w:r>
            <w:r w:rsidRPr="00E77539">
              <w:rPr>
                <w:rFonts w:ascii="Arial Narrow" w:hAnsi="Arial Narrow"/>
                <w:szCs w:val="20"/>
              </w:rPr>
              <w:t>ovarian endometrioma ablation.</w:t>
            </w:r>
          </w:p>
        </w:tc>
        <w:tc>
          <w:tcPr>
            <w:tcW w:w="3119" w:type="dxa"/>
          </w:tcPr>
          <w:p w14:paraId="194343CB" w14:textId="0ABAC0D6"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Objective</w:t>
            </w:r>
            <w:r w:rsidR="009D0A93" w:rsidRPr="00E77539">
              <w:rPr>
                <w:rFonts w:ascii="Arial Narrow" w:hAnsi="Arial Narrow"/>
                <w:szCs w:val="20"/>
              </w:rPr>
              <w:t>:</w:t>
            </w:r>
            <w:r w:rsidRPr="00E77539">
              <w:rPr>
                <w:rFonts w:ascii="Arial Narrow" w:hAnsi="Arial Narrow"/>
                <w:szCs w:val="20"/>
              </w:rPr>
              <w:t xml:space="preserve"> to investigate whether surgery for severe endometriosis may be proposed in women with low ovarian reserve with good fertility outcomes.</w:t>
            </w:r>
          </w:p>
          <w:p w14:paraId="448C81E9"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5D60A634" w14:textId="2F01721D"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Inclusion criteria</w:t>
            </w:r>
            <w:r w:rsidR="009D0A93" w:rsidRPr="00E77539">
              <w:rPr>
                <w:rFonts w:ascii="Arial Narrow" w:hAnsi="Arial Narrow"/>
                <w:szCs w:val="20"/>
              </w:rPr>
              <w:t>:</w:t>
            </w:r>
            <w:r w:rsidRPr="00E77539">
              <w:rPr>
                <w:rFonts w:ascii="Arial Narrow" w:hAnsi="Arial Narrow"/>
                <w:szCs w:val="20"/>
              </w:rPr>
              <w:t xml:space="preserve"> deep infiltrating endometriosis or endometriomas measuring </w:t>
            </w:r>
            <w:r w:rsidR="00035EEF" w:rsidRPr="00E77539">
              <w:rPr>
                <w:rFonts w:ascii="Arial Narrow" w:hAnsi="Arial Narrow"/>
                <w:szCs w:val="20"/>
              </w:rPr>
              <w:t>&gt;</w:t>
            </w:r>
            <w:r w:rsidRPr="00E77539">
              <w:rPr>
                <w:rFonts w:ascii="Arial Narrow" w:hAnsi="Arial Narrow"/>
                <w:szCs w:val="20"/>
              </w:rPr>
              <w:t>3 cm, pregnancy intention before surgery, benefited from pre- and post</w:t>
            </w:r>
            <w:r w:rsidR="00415491">
              <w:rPr>
                <w:rFonts w:ascii="Arial Narrow" w:hAnsi="Arial Narrow"/>
                <w:szCs w:val="20"/>
              </w:rPr>
              <w:t>-operative</w:t>
            </w:r>
            <w:r w:rsidRPr="00E77539">
              <w:rPr>
                <w:rFonts w:ascii="Arial Narrow" w:hAnsi="Arial Narrow"/>
                <w:szCs w:val="20"/>
              </w:rPr>
              <w:t xml:space="preserve"> assessment of AMH, minimum 12 month follow-up.</w:t>
            </w:r>
          </w:p>
          <w:p w14:paraId="5FD4FB92" w14:textId="1AF012EE"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Exclusion criteria</w:t>
            </w:r>
            <w:r w:rsidR="009D0A93" w:rsidRPr="00E77539">
              <w:rPr>
                <w:rFonts w:ascii="Arial Narrow" w:hAnsi="Arial Narrow"/>
                <w:szCs w:val="20"/>
              </w:rPr>
              <w:t>:</w:t>
            </w:r>
            <w:r w:rsidRPr="00E77539">
              <w:rPr>
                <w:rFonts w:ascii="Arial Narrow" w:hAnsi="Arial Narrow"/>
                <w:szCs w:val="20"/>
              </w:rPr>
              <w:t xml:space="preserve"> women with superficial endometri</w:t>
            </w:r>
            <w:r w:rsidR="00E77539">
              <w:rPr>
                <w:rFonts w:ascii="Arial Narrow" w:hAnsi="Arial Narrow"/>
                <w:szCs w:val="20"/>
              </w:rPr>
              <w:t>osis and hydro salpinx</w:t>
            </w:r>
            <w:r w:rsidR="00E830B2">
              <w:rPr>
                <w:rFonts w:ascii="Arial Narrow" w:hAnsi="Arial Narrow"/>
                <w:szCs w:val="20"/>
              </w:rPr>
              <w:t>.</w:t>
            </w:r>
          </w:p>
        </w:tc>
        <w:tc>
          <w:tcPr>
            <w:tcW w:w="4110" w:type="dxa"/>
          </w:tcPr>
          <w:p w14:paraId="08C3F259" w14:textId="48EDA516"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Test characteristics</w:t>
            </w:r>
            <w:r w:rsidR="009D0A93" w:rsidRPr="00E77539">
              <w:rPr>
                <w:rFonts w:ascii="Arial Narrow" w:hAnsi="Arial Narrow"/>
                <w:szCs w:val="20"/>
              </w:rPr>
              <w:t>:</w:t>
            </w:r>
            <w:r w:rsidR="00E77539">
              <w:rPr>
                <w:rFonts w:ascii="Arial Narrow" w:hAnsi="Arial Narrow"/>
                <w:szCs w:val="20"/>
              </w:rPr>
              <w:t xml:space="preserve"> NR</w:t>
            </w:r>
          </w:p>
          <w:p w14:paraId="6034FFCB" w14:textId="77777777" w:rsidR="003F767A" w:rsidRPr="00E77539" w:rsidRDefault="003F767A" w:rsidP="00157388">
            <w:pPr>
              <w:spacing w:beforeLines="40" w:before="96" w:afterLines="40" w:after="96" w:line="240" w:lineRule="auto"/>
              <w:ind w:right="-57"/>
              <w:rPr>
                <w:rFonts w:ascii="Arial Narrow" w:hAnsi="Arial Narrow"/>
                <w:sz w:val="20"/>
                <w:szCs w:val="20"/>
                <w:u w:val="single"/>
              </w:rPr>
            </w:pPr>
          </w:p>
          <w:p w14:paraId="51631E90" w14:textId="3E373314" w:rsidR="007518CF"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Analysis</w:t>
            </w:r>
            <w:r w:rsidR="009D0A93" w:rsidRPr="00E77539">
              <w:rPr>
                <w:rFonts w:ascii="Arial Narrow" w:hAnsi="Arial Narrow"/>
                <w:szCs w:val="20"/>
              </w:rPr>
              <w:t>:</w:t>
            </w:r>
            <w:r w:rsidRPr="00E77539">
              <w:rPr>
                <w:rFonts w:ascii="Arial Narrow" w:hAnsi="Arial Narrow"/>
                <w:szCs w:val="20"/>
              </w:rPr>
              <w:t xml:space="preserve"> Fisher’s exact test was used to compare qu</w:t>
            </w:r>
            <w:r w:rsidR="00E77539">
              <w:rPr>
                <w:rFonts w:ascii="Arial Narrow" w:hAnsi="Arial Narrow"/>
                <w:szCs w:val="20"/>
              </w:rPr>
              <w:t>alitative variables, Student’s t</w:t>
            </w:r>
            <w:r w:rsidRPr="00E77539">
              <w:rPr>
                <w:rFonts w:ascii="Arial Narrow" w:hAnsi="Arial Narrow"/>
                <w:szCs w:val="20"/>
              </w:rPr>
              <w:t>-test and Mann-Whitney U</w:t>
            </w:r>
            <w:r w:rsidR="00916047">
              <w:rPr>
                <w:rFonts w:ascii="Arial Narrow" w:hAnsi="Arial Narrow"/>
                <w:szCs w:val="20"/>
              </w:rPr>
              <w:t>-</w:t>
            </w:r>
            <w:r w:rsidRPr="00E77539">
              <w:rPr>
                <w:rFonts w:ascii="Arial Narrow" w:hAnsi="Arial Narrow"/>
                <w:szCs w:val="20"/>
              </w:rPr>
              <w:t>test were used to compare continuous variables. Kaplan-Meier curves were done to estimate the probability of non-pregnancy according to post</w:t>
            </w:r>
            <w:r w:rsidR="00415491">
              <w:rPr>
                <w:rFonts w:ascii="Arial Narrow" w:hAnsi="Arial Narrow"/>
                <w:szCs w:val="20"/>
              </w:rPr>
              <w:t>-operative</w:t>
            </w:r>
            <w:r w:rsidRPr="00E77539">
              <w:rPr>
                <w:rFonts w:ascii="Arial Narrow" w:hAnsi="Arial Narrow"/>
                <w:szCs w:val="20"/>
              </w:rPr>
              <w:t xml:space="preserve"> time and were compared using the log</w:t>
            </w:r>
            <w:r w:rsidR="00916047">
              <w:rPr>
                <w:rFonts w:ascii="Arial Narrow" w:hAnsi="Arial Narrow"/>
                <w:szCs w:val="20"/>
              </w:rPr>
              <w:t xml:space="preserve"> </w:t>
            </w:r>
            <w:r w:rsidRPr="00E77539">
              <w:rPr>
                <w:rFonts w:ascii="Arial Narrow" w:hAnsi="Arial Narrow"/>
                <w:szCs w:val="20"/>
              </w:rPr>
              <w:t>rank test.</w:t>
            </w:r>
          </w:p>
          <w:p w14:paraId="55DAFBE8" w14:textId="36B1785B" w:rsidR="003F767A" w:rsidRPr="00E77539" w:rsidRDefault="003F767A" w:rsidP="00157388">
            <w:pPr>
              <w:spacing w:beforeLines="40" w:before="96" w:afterLines="40" w:after="96" w:line="240" w:lineRule="auto"/>
              <w:ind w:right="-57"/>
              <w:rPr>
                <w:rFonts w:ascii="Arial Narrow" w:hAnsi="Arial Narrow"/>
                <w:b/>
                <w:sz w:val="20"/>
                <w:szCs w:val="20"/>
                <w:u w:val="single"/>
              </w:rPr>
            </w:pPr>
          </w:p>
          <w:p w14:paraId="67911E9A" w14:textId="5BDFCE2A" w:rsidR="003F767A" w:rsidRPr="00E77539" w:rsidRDefault="003F767A" w:rsidP="00157388">
            <w:pPr>
              <w:pStyle w:val="PlainText"/>
              <w:spacing w:beforeLines="40" w:before="96" w:afterLines="40" w:after="96" w:line="240" w:lineRule="auto"/>
              <w:rPr>
                <w:rFonts w:ascii="Arial Narrow" w:hAnsi="Arial Narrow"/>
                <w:szCs w:val="20"/>
              </w:rPr>
            </w:pPr>
            <w:r w:rsidRPr="00E77539">
              <w:rPr>
                <w:rFonts w:ascii="Arial Narrow" w:hAnsi="Arial Narrow"/>
                <w:szCs w:val="20"/>
                <w:u w:val="single"/>
              </w:rPr>
              <w:t>Follow-up period</w:t>
            </w:r>
            <w:r w:rsidR="009D0A93" w:rsidRPr="00E77539">
              <w:rPr>
                <w:rFonts w:ascii="Arial Narrow" w:hAnsi="Arial Narrow"/>
                <w:szCs w:val="20"/>
              </w:rPr>
              <w:t>:</w:t>
            </w:r>
            <w:r w:rsidRPr="00E77539">
              <w:rPr>
                <w:rFonts w:ascii="Arial Narrow" w:hAnsi="Arial Narrow"/>
                <w:szCs w:val="20"/>
              </w:rPr>
              <w:t xml:space="preserve"> </w:t>
            </w:r>
            <w:r w:rsidR="00035EEF" w:rsidRPr="00E77539">
              <w:rPr>
                <w:rFonts w:ascii="Arial Narrow" w:hAnsi="Arial Narrow"/>
                <w:szCs w:val="20"/>
              </w:rPr>
              <w:t>&gt;</w:t>
            </w:r>
            <w:r w:rsidRPr="00E77539">
              <w:rPr>
                <w:rFonts w:ascii="Arial Narrow" w:hAnsi="Arial Narrow"/>
                <w:szCs w:val="20"/>
              </w:rPr>
              <w:t>1 year. Post</w:t>
            </w:r>
            <w:r w:rsidR="00415491">
              <w:rPr>
                <w:rFonts w:ascii="Arial Narrow" w:hAnsi="Arial Narrow"/>
                <w:szCs w:val="20"/>
              </w:rPr>
              <w:t>-operative</w:t>
            </w:r>
            <w:r w:rsidRPr="00E77539">
              <w:rPr>
                <w:rFonts w:ascii="Arial Narrow" w:hAnsi="Arial Narrow"/>
                <w:szCs w:val="20"/>
              </w:rPr>
              <w:t xml:space="preserve"> follow-up was based on data from questionnaires completed at 1, 3, and 5 years after surgery.</w:t>
            </w:r>
          </w:p>
        </w:tc>
        <w:tc>
          <w:tcPr>
            <w:tcW w:w="2127" w:type="dxa"/>
          </w:tcPr>
          <w:p w14:paraId="454FEA90"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Patients were enrolled in groups (low AMH vs normal/high AMH)</w:t>
            </w:r>
          </w:p>
          <w:p w14:paraId="25E67061" w14:textId="77777777" w:rsidR="003F767A" w:rsidRPr="00E77539" w:rsidRDefault="003F767A" w:rsidP="00157388">
            <w:pPr>
              <w:spacing w:beforeLines="40" w:before="96" w:afterLines="40" w:after="96" w:line="240" w:lineRule="auto"/>
              <w:ind w:right="-57"/>
              <w:rPr>
                <w:rFonts w:ascii="Arial Narrow" w:hAnsi="Arial Narrow"/>
                <w:sz w:val="20"/>
                <w:szCs w:val="20"/>
              </w:rPr>
            </w:pPr>
          </w:p>
          <w:p w14:paraId="737BA42A"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Time from surgery to first pregnancy</w:t>
            </w:r>
          </w:p>
          <w:p w14:paraId="6955D4F8" w14:textId="3F0CB7D1"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Pregnancy outcomes (delivery, miscarriage, ectopic pregnancy, on</w:t>
            </w:r>
            <w:r w:rsidR="00916047">
              <w:rPr>
                <w:rFonts w:ascii="Arial Narrow" w:hAnsi="Arial Narrow"/>
                <w:sz w:val="20"/>
                <w:szCs w:val="20"/>
              </w:rPr>
              <w:t>going</w:t>
            </w:r>
            <w:r w:rsidRPr="00E77539">
              <w:rPr>
                <w:rFonts w:ascii="Arial Narrow" w:hAnsi="Arial Narrow"/>
                <w:sz w:val="20"/>
                <w:szCs w:val="20"/>
              </w:rPr>
              <w:t xml:space="preserve"> pregnancies)</w:t>
            </w:r>
          </w:p>
          <w:p w14:paraId="1CD815B9"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Conception mode (spontaneous or ART)</w:t>
            </w:r>
          </w:p>
          <w:p w14:paraId="28C615B4" w14:textId="77777777" w:rsidR="003F767A" w:rsidRPr="00E77539" w:rsidRDefault="003F767A" w:rsidP="00157388">
            <w:pPr>
              <w:spacing w:beforeLines="40" w:before="96" w:afterLines="40" w:after="96" w:line="240" w:lineRule="auto"/>
              <w:ind w:right="-57"/>
              <w:rPr>
                <w:rFonts w:ascii="Arial Narrow" w:hAnsi="Arial Narrow"/>
                <w:sz w:val="20"/>
                <w:szCs w:val="20"/>
              </w:rPr>
            </w:pPr>
            <w:r w:rsidRPr="00E77539">
              <w:rPr>
                <w:rFonts w:ascii="Arial Narrow" w:hAnsi="Arial Narrow"/>
                <w:sz w:val="20"/>
                <w:szCs w:val="20"/>
              </w:rPr>
              <w:t>Pregnancy rate</w:t>
            </w:r>
          </w:p>
        </w:tc>
      </w:tr>
    </w:tbl>
    <w:p w14:paraId="72B146AB" w14:textId="56B617DE" w:rsidR="00835BA6" w:rsidRDefault="00835BA6" w:rsidP="00835BA6">
      <w:pPr>
        <w:pStyle w:val="Tablenotes0"/>
      </w:pPr>
      <w:r>
        <w:t xml:space="preserve">AMH = anti-Müllerian hormone; </w:t>
      </w:r>
      <w:r w:rsidRPr="00256563">
        <w:t>ANOVA = analysis of variance</w:t>
      </w:r>
      <w:r>
        <w:t xml:space="preserve">; ART = assisted reproductive technology; </w:t>
      </w:r>
      <w:r w:rsidR="00205BD5">
        <w:t xml:space="preserve">CoV = coefficient(s) of variation; </w:t>
      </w:r>
      <w:r>
        <w:t>EIA = enzyme Immunoassay; ELISA = enzyme-linked immunosorbent assay; HCT = haematopoietic cell transplantation; NR = not reported</w:t>
      </w:r>
    </w:p>
    <w:p w14:paraId="694BB553" w14:textId="43E1E018" w:rsidR="00A81273" w:rsidRPr="003F767A" w:rsidRDefault="00A81273" w:rsidP="003F767A">
      <w:pPr>
        <w:tabs>
          <w:tab w:val="left" w:pos="1522"/>
        </w:tabs>
        <w:rPr>
          <w:lang w:eastAsia="en-US"/>
        </w:rPr>
        <w:sectPr w:rsidR="00A81273" w:rsidRPr="003F767A" w:rsidSect="008D77C9">
          <w:footerReference w:type="even" r:id="rId105"/>
          <w:pgSz w:w="16838" w:h="11906" w:orient="landscape"/>
          <w:pgMar w:top="1440" w:right="851" w:bottom="1440" w:left="851" w:header="720" w:footer="720" w:gutter="0"/>
          <w:paperSrc w:first="7" w:other="7"/>
          <w:cols w:space="720"/>
        </w:sectPr>
      </w:pPr>
    </w:p>
    <w:p w14:paraId="0437B1D7" w14:textId="6B4914DC" w:rsidR="00C8141B" w:rsidRPr="00A869F4" w:rsidRDefault="00C8141B" w:rsidP="00A869F4">
      <w:pPr>
        <w:pStyle w:val="Heading1"/>
        <w:jc w:val="both"/>
      </w:pPr>
      <w:bookmarkStart w:id="518" w:name="_Ref421611175"/>
      <w:bookmarkStart w:id="519" w:name="_Toc502833004"/>
      <w:r>
        <w:lastRenderedPageBreak/>
        <w:t xml:space="preserve">Appendix </w:t>
      </w:r>
      <w:r w:rsidR="00AC4BE5">
        <w:fldChar w:fldCharType="begin"/>
      </w:r>
      <w:r w:rsidR="00AC4BE5">
        <w:instrText xml:space="preserve"> SEQ Appendix \* ALPHABETIC </w:instrText>
      </w:r>
      <w:r w:rsidR="00AC4BE5">
        <w:fldChar w:fldCharType="separate"/>
      </w:r>
      <w:r w:rsidR="00AC4BE5">
        <w:rPr>
          <w:noProof/>
        </w:rPr>
        <w:t>D</w:t>
      </w:r>
      <w:r w:rsidR="00AC4BE5">
        <w:rPr>
          <w:noProof/>
        </w:rPr>
        <w:fldChar w:fldCharType="end"/>
      </w:r>
      <w:bookmarkEnd w:id="518"/>
      <w:r w:rsidR="004446E6">
        <w:tab/>
        <w:t>Evidence profile t</w:t>
      </w:r>
      <w:r>
        <w:t>ables</w:t>
      </w:r>
      <w:bookmarkEnd w:id="519"/>
    </w:p>
    <w:p w14:paraId="1C8FB1A3" w14:textId="5773590E" w:rsidR="00D7433F" w:rsidRDefault="00D7433F" w:rsidP="00D7433F">
      <w:pPr>
        <w:pStyle w:val="Caption"/>
        <w:keepNext/>
      </w:pPr>
      <w:bookmarkStart w:id="520" w:name="_Ref421016257"/>
      <w:bookmarkStart w:id="521" w:name="_Toc494977375"/>
      <w:bookmarkStart w:id="522" w:name="_Toc502833106"/>
      <w:r>
        <w:t xml:space="preserve">Table </w:t>
      </w:r>
      <w:r w:rsidR="00AC4BE5">
        <w:fldChar w:fldCharType="begin"/>
      </w:r>
      <w:r w:rsidR="00AC4BE5">
        <w:instrText xml:space="preserve"> SEQ Table \* ARABIC </w:instrText>
      </w:r>
      <w:r w:rsidR="00AC4BE5">
        <w:fldChar w:fldCharType="separate"/>
      </w:r>
      <w:r w:rsidR="00AC4BE5">
        <w:rPr>
          <w:noProof/>
        </w:rPr>
        <w:t>88</w:t>
      </w:r>
      <w:r w:rsidR="00AC4BE5">
        <w:rPr>
          <w:noProof/>
        </w:rPr>
        <w:fldChar w:fldCharType="end"/>
      </w:r>
      <w:bookmarkEnd w:id="520"/>
      <w:r>
        <w:tab/>
      </w:r>
      <w:bookmarkEnd w:id="521"/>
      <w:r w:rsidR="001A0058" w:rsidRPr="002A275B">
        <w:t xml:space="preserve">Evidence profile table for the </w:t>
      </w:r>
      <w:r w:rsidR="001A0058">
        <w:t>analytical validity</w:t>
      </w:r>
      <w:r w:rsidR="001A0058" w:rsidRPr="002A275B">
        <w:t xml:space="preserve"> of AMH testing for </w:t>
      </w:r>
      <w:r w:rsidR="001A0058">
        <w:t xml:space="preserve">girls or </w:t>
      </w:r>
      <w:r w:rsidR="001A0058" w:rsidRPr="002A275B">
        <w:t>women undergoing gonadotoxic treatment</w:t>
      </w:r>
      <w:bookmarkEnd w:id="522"/>
    </w:p>
    <w:tbl>
      <w:tblPr>
        <w:tblW w:w="15386" w:type="dxa"/>
        <w:tblLayout w:type="fixed"/>
        <w:tblLook w:val="04A0" w:firstRow="1" w:lastRow="0" w:firstColumn="1" w:lastColumn="0" w:noHBand="0" w:noVBand="1"/>
      </w:tblPr>
      <w:tblGrid>
        <w:gridCol w:w="1413"/>
        <w:gridCol w:w="1784"/>
        <w:gridCol w:w="909"/>
        <w:gridCol w:w="1385"/>
        <w:gridCol w:w="1308"/>
        <w:gridCol w:w="851"/>
        <w:gridCol w:w="992"/>
        <w:gridCol w:w="2552"/>
        <w:gridCol w:w="1984"/>
        <w:gridCol w:w="1002"/>
        <w:gridCol w:w="1206"/>
      </w:tblGrid>
      <w:tr w:rsidR="001A0058" w14:paraId="78D59035" w14:textId="77777777" w:rsidTr="00C9311D">
        <w:trPr>
          <w:trHeight w:val="819"/>
          <w:tblHeader/>
        </w:trPr>
        <w:tc>
          <w:tcPr>
            <w:tcW w:w="1413" w:type="dxa"/>
            <w:tcBorders>
              <w:top w:val="single" w:sz="4" w:space="0" w:color="auto"/>
              <w:left w:val="single" w:sz="4" w:space="0" w:color="auto"/>
              <w:bottom w:val="single" w:sz="4" w:space="0" w:color="auto"/>
              <w:right w:val="single" w:sz="4" w:space="0" w:color="auto"/>
            </w:tcBorders>
            <w:hideMark/>
          </w:tcPr>
          <w:p w14:paraId="5E91BCBF" w14:textId="77777777" w:rsidR="001A0058" w:rsidRPr="007102C6" w:rsidRDefault="001A0058" w:rsidP="007102C6">
            <w:pPr>
              <w:pStyle w:val="Tabletext1"/>
              <w:rPr>
                <w:b/>
              </w:rPr>
            </w:pPr>
            <w:r w:rsidRPr="007102C6">
              <w:rPr>
                <w:b/>
              </w:rPr>
              <w:t>Outcome</w:t>
            </w:r>
          </w:p>
        </w:tc>
        <w:tc>
          <w:tcPr>
            <w:tcW w:w="1784" w:type="dxa"/>
            <w:tcBorders>
              <w:top w:val="single" w:sz="4" w:space="0" w:color="auto"/>
              <w:left w:val="single" w:sz="4" w:space="0" w:color="auto"/>
              <w:bottom w:val="single" w:sz="4" w:space="0" w:color="auto"/>
              <w:right w:val="single" w:sz="4" w:space="0" w:color="auto"/>
            </w:tcBorders>
            <w:hideMark/>
          </w:tcPr>
          <w:p w14:paraId="1802CA2C" w14:textId="4ABE9335" w:rsidR="001A0058" w:rsidRPr="007102C6" w:rsidRDefault="001A0058" w:rsidP="003B43EC">
            <w:pPr>
              <w:pStyle w:val="Tabletext1"/>
              <w:rPr>
                <w:b/>
              </w:rPr>
            </w:pPr>
            <w:r w:rsidRPr="007102C6">
              <w:rPr>
                <w:b/>
              </w:rPr>
              <w:t xml:space="preserve">No. of participants, </w:t>
            </w:r>
            <w:r w:rsidR="003B43EC">
              <w:rPr>
                <w:b/>
              </w:rPr>
              <w:t>n</w:t>
            </w:r>
            <w:r w:rsidRPr="007102C6">
              <w:rPr>
                <w:b/>
              </w:rPr>
              <w:t>o. of studies and study design</w:t>
            </w:r>
          </w:p>
        </w:tc>
        <w:tc>
          <w:tcPr>
            <w:tcW w:w="909" w:type="dxa"/>
            <w:tcBorders>
              <w:top w:val="single" w:sz="4" w:space="0" w:color="auto"/>
              <w:left w:val="single" w:sz="4" w:space="0" w:color="auto"/>
              <w:bottom w:val="single" w:sz="4" w:space="0" w:color="auto"/>
              <w:right w:val="single" w:sz="4" w:space="0" w:color="auto"/>
            </w:tcBorders>
            <w:hideMark/>
          </w:tcPr>
          <w:p w14:paraId="3E12CB35" w14:textId="77777777" w:rsidR="001A0058" w:rsidRPr="007102C6" w:rsidRDefault="001A0058" w:rsidP="007102C6">
            <w:pPr>
              <w:pStyle w:val="Tabletext1"/>
              <w:rPr>
                <w:b/>
              </w:rPr>
            </w:pPr>
            <w:r w:rsidRPr="007102C6">
              <w:rPr>
                <w:b/>
              </w:rPr>
              <w:t>Risk of bias</w:t>
            </w:r>
          </w:p>
        </w:tc>
        <w:tc>
          <w:tcPr>
            <w:tcW w:w="1385" w:type="dxa"/>
            <w:tcBorders>
              <w:top w:val="single" w:sz="4" w:space="0" w:color="auto"/>
              <w:left w:val="single" w:sz="4" w:space="0" w:color="auto"/>
              <w:bottom w:val="single" w:sz="4" w:space="0" w:color="auto"/>
              <w:right w:val="single" w:sz="4" w:space="0" w:color="auto"/>
            </w:tcBorders>
            <w:hideMark/>
          </w:tcPr>
          <w:p w14:paraId="720A8632" w14:textId="77777777" w:rsidR="001A0058" w:rsidRPr="007102C6" w:rsidRDefault="001A0058" w:rsidP="007102C6">
            <w:pPr>
              <w:pStyle w:val="Tabletext1"/>
              <w:rPr>
                <w:b/>
              </w:rPr>
            </w:pPr>
            <w:r w:rsidRPr="007102C6">
              <w:rPr>
                <w:b/>
              </w:rPr>
              <w:t>Inconsistency</w:t>
            </w:r>
          </w:p>
        </w:tc>
        <w:tc>
          <w:tcPr>
            <w:tcW w:w="1308" w:type="dxa"/>
            <w:tcBorders>
              <w:top w:val="single" w:sz="4" w:space="0" w:color="auto"/>
              <w:left w:val="single" w:sz="4" w:space="0" w:color="auto"/>
              <w:bottom w:val="single" w:sz="4" w:space="0" w:color="auto"/>
              <w:right w:val="single" w:sz="4" w:space="0" w:color="auto"/>
            </w:tcBorders>
            <w:hideMark/>
          </w:tcPr>
          <w:p w14:paraId="18CB131E" w14:textId="77777777" w:rsidR="001A0058" w:rsidRPr="007102C6" w:rsidRDefault="001A0058" w:rsidP="007102C6">
            <w:pPr>
              <w:pStyle w:val="Tabletext1"/>
              <w:rPr>
                <w:b/>
              </w:rPr>
            </w:pPr>
            <w:r w:rsidRPr="007102C6">
              <w:rPr>
                <w:b/>
              </w:rPr>
              <w:t>Indirectness</w:t>
            </w:r>
          </w:p>
        </w:tc>
        <w:tc>
          <w:tcPr>
            <w:tcW w:w="851" w:type="dxa"/>
            <w:tcBorders>
              <w:top w:val="single" w:sz="4" w:space="0" w:color="auto"/>
              <w:left w:val="single" w:sz="4" w:space="0" w:color="auto"/>
              <w:bottom w:val="single" w:sz="4" w:space="0" w:color="auto"/>
              <w:right w:val="single" w:sz="4" w:space="0" w:color="auto"/>
            </w:tcBorders>
            <w:hideMark/>
          </w:tcPr>
          <w:p w14:paraId="41A92F8E" w14:textId="77777777" w:rsidR="001A0058" w:rsidRPr="007102C6" w:rsidRDefault="001A0058" w:rsidP="007102C6">
            <w:pPr>
              <w:pStyle w:val="Tabletext1"/>
              <w:rPr>
                <w:b/>
              </w:rPr>
            </w:pPr>
            <w:r w:rsidRPr="007102C6">
              <w:rPr>
                <w:b/>
              </w:rPr>
              <w:t>Imprecision</w:t>
            </w:r>
          </w:p>
        </w:tc>
        <w:tc>
          <w:tcPr>
            <w:tcW w:w="992" w:type="dxa"/>
            <w:tcBorders>
              <w:top w:val="single" w:sz="4" w:space="0" w:color="auto"/>
              <w:left w:val="single" w:sz="4" w:space="0" w:color="auto"/>
              <w:bottom w:val="single" w:sz="4" w:space="0" w:color="auto"/>
              <w:right w:val="single" w:sz="4" w:space="0" w:color="auto"/>
            </w:tcBorders>
            <w:hideMark/>
          </w:tcPr>
          <w:p w14:paraId="12922345" w14:textId="77777777" w:rsidR="001A0058" w:rsidRPr="007102C6" w:rsidRDefault="001A0058" w:rsidP="007102C6">
            <w:pPr>
              <w:pStyle w:val="Tabletext1"/>
              <w:rPr>
                <w:b/>
              </w:rPr>
            </w:pPr>
            <w:r w:rsidRPr="007102C6">
              <w:rPr>
                <w:b/>
              </w:rPr>
              <w:t xml:space="preserve">Other considerations </w:t>
            </w:r>
          </w:p>
        </w:tc>
        <w:tc>
          <w:tcPr>
            <w:tcW w:w="2552" w:type="dxa"/>
            <w:tcBorders>
              <w:top w:val="single" w:sz="4" w:space="0" w:color="auto"/>
              <w:left w:val="single" w:sz="4" w:space="0" w:color="auto"/>
              <w:bottom w:val="single" w:sz="4" w:space="0" w:color="auto"/>
              <w:right w:val="single" w:sz="4" w:space="0" w:color="auto"/>
            </w:tcBorders>
            <w:hideMark/>
          </w:tcPr>
          <w:p w14:paraId="0B5FC8E3" w14:textId="77777777" w:rsidR="001A0058" w:rsidRPr="007102C6" w:rsidRDefault="001A0058" w:rsidP="007102C6">
            <w:pPr>
              <w:pStyle w:val="Tabletext1"/>
              <w:rPr>
                <w:b/>
              </w:rPr>
            </w:pPr>
            <w:r w:rsidRPr="007102C6">
              <w:rPr>
                <w:b/>
              </w:rPr>
              <w:t>Results for AMH testing</w:t>
            </w:r>
          </w:p>
        </w:tc>
        <w:tc>
          <w:tcPr>
            <w:tcW w:w="1984" w:type="dxa"/>
            <w:tcBorders>
              <w:top w:val="single" w:sz="4" w:space="0" w:color="auto"/>
              <w:left w:val="single" w:sz="4" w:space="0" w:color="auto"/>
              <w:bottom w:val="single" w:sz="4" w:space="0" w:color="auto"/>
              <w:right w:val="single" w:sz="4" w:space="0" w:color="auto"/>
            </w:tcBorders>
            <w:hideMark/>
          </w:tcPr>
          <w:p w14:paraId="74AA767E" w14:textId="77777777" w:rsidR="001A0058" w:rsidRPr="007102C6" w:rsidRDefault="001A0058" w:rsidP="007102C6">
            <w:pPr>
              <w:pStyle w:val="Tabletext1"/>
              <w:rPr>
                <w:b/>
              </w:rPr>
            </w:pPr>
            <w:r w:rsidRPr="007102C6">
              <w:rPr>
                <w:b/>
              </w:rPr>
              <w:t>Results for comparator test</w:t>
            </w:r>
          </w:p>
        </w:tc>
        <w:tc>
          <w:tcPr>
            <w:tcW w:w="1002" w:type="dxa"/>
            <w:tcBorders>
              <w:top w:val="single" w:sz="4" w:space="0" w:color="auto"/>
              <w:left w:val="single" w:sz="4" w:space="0" w:color="auto"/>
              <w:bottom w:val="single" w:sz="4" w:space="0" w:color="auto"/>
              <w:right w:val="single" w:sz="4" w:space="0" w:color="auto"/>
            </w:tcBorders>
            <w:hideMark/>
          </w:tcPr>
          <w:p w14:paraId="4A90AB4C" w14:textId="77777777" w:rsidR="001A0058" w:rsidRPr="007102C6" w:rsidRDefault="001A0058" w:rsidP="007102C6">
            <w:pPr>
              <w:pStyle w:val="Tabletext1"/>
              <w:rPr>
                <w:b/>
              </w:rPr>
            </w:pPr>
            <w:r w:rsidRPr="007102C6">
              <w:rPr>
                <w:b/>
              </w:rPr>
              <w:t>Analytical validity QoE</w:t>
            </w:r>
          </w:p>
        </w:tc>
        <w:tc>
          <w:tcPr>
            <w:tcW w:w="1206" w:type="dxa"/>
            <w:tcBorders>
              <w:top w:val="single" w:sz="4" w:space="0" w:color="auto"/>
              <w:left w:val="single" w:sz="4" w:space="0" w:color="auto"/>
              <w:bottom w:val="single" w:sz="4" w:space="0" w:color="auto"/>
              <w:right w:val="single" w:sz="4" w:space="0" w:color="auto"/>
            </w:tcBorders>
            <w:hideMark/>
          </w:tcPr>
          <w:p w14:paraId="2B084F43" w14:textId="77777777" w:rsidR="001A0058" w:rsidRPr="007102C6" w:rsidRDefault="001A0058" w:rsidP="007102C6">
            <w:pPr>
              <w:pStyle w:val="Tabletext1"/>
              <w:rPr>
                <w:b/>
              </w:rPr>
            </w:pPr>
            <w:r w:rsidRPr="007102C6">
              <w:rPr>
                <w:b/>
              </w:rPr>
              <w:t>Importance</w:t>
            </w:r>
          </w:p>
        </w:tc>
      </w:tr>
      <w:tr w:rsidR="001A0058" w14:paraId="6EA2B295" w14:textId="77777777" w:rsidTr="00C9311D">
        <w:trPr>
          <w:trHeight w:val="2080"/>
        </w:trPr>
        <w:tc>
          <w:tcPr>
            <w:tcW w:w="1413" w:type="dxa"/>
            <w:tcBorders>
              <w:top w:val="single" w:sz="4" w:space="0" w:color="auto"/>
              <w:left w:val="single" w:sz="4" w:space="0" w:color="auto"/>
              <w:bottom w:val="single" w:sz="4" w:space="0" w:color="auto"/>
              <w:right w:val="single" w:sz="4" w:space="0" w:color="auto"/>
            </w:tcBorders>
            <w:hideMark/>
          </w:tcPr>
          <w:p w14:paraId="340A3D69" w14:textId="77777777" w:rsidR="001A0058" w:rsidRDefault="001A0058">
            <w:pPr>
              <w:pStyle w:val="Tabletext1"/>
            </w:pPr>
            <w:r>
              <w:t>Analytical validity of AMH tests compared with clinical reference standard</w:t>
            </w:r>
          </w:p>
        </w:tc>
        <w:tc>
          <w:tcPr>
            <w:tcW w:w="1784" w:type="dxa"/>
            <w:tcBorders>
              <w:top w:val="single" w:sz="4" w:space="0" w:color="auto"/>
              <w:left w:val="single" w:sz="4" w:space="0" w:color="auto"/>
              <w:bottom w:val="single" w:sz="4" w:space="0" w:color="auto"/>
              <w:right w:val="single" w:sz="4" w:space="0" w:color="auto"/>
            </w:tcBorders>
          </w:tcPr>
          <w:p w14:paraId="07E2BE3D" w14:textId="77777777" w:rsidR="001A0058" w:rsidRPr="00882BFE" w:rsidRDefault="001A0058" w:rsidP="00882BFE">
            <w:pPr>
              <w:pStyle w:val="Tabletext1"/>
            </w:pPr>
            <w:r w:rsidRPr="00882BFE">
              <w:t>n=30</w:t>
            </w:r>
          </w:p>
          <w:p w14:paraId="20A8DC84" w14:textId="77777777" w:rsidR="001A0058" w:rsidRPr="00882BFE" w:rsidRDefault="001A0058" w:rsidP="00882BFE">
            <w:pPr>
              <w:pStyle w:val="Tabletext1"/>
            </w:pPr>
            <w:r w:rsidRPr="00882BFE">
              <w:t>k=1</w:t>
            </w:r>
          </w:p>
          <w:p w14:paraId="3B88B47F" w14:textId="52F473AC" w:rsidR="001A0058" w:rsidRPr="00882BFE" w:rsidRDefault="001A0058" w:rsidP="00882BFE">
            <w:pPr>
              <w:pStyle w:val="Tabletext1"/>
            </w:pPr>
            <w:r w:rsidRPr="00882BFE">
              <w:t>Case series</w:t>
            </w:r>
          </w:p>
        </w:tc>
        <w:tc>
          <w:tcPr>
            <w:tcW w:w="909" w:type="dxa"/>
            <w:tcBorders>
              <w:top w:val="single" w:sz="4" w:space="0" w:color="auto"/>
              <w:left w:val="single" w:sz="4" w:space="0" w:color="auto"/>
              <w:bottom w:val="single" w:sz="4" w:space="0" w:color="auto"/>
              <w:right w:val="single" w:sz="4" w:space="0" w:color="auto"/>
            </w:tcBorders>
            <w:hideMark/>
          </w:tcPr>
          <w:p w14:paraId="068134BF" w14:textId="77777777" w:rsidR="001A0058" w:rsidRDefault="001A0058">
            <w:pPr>
              <w:pStyle w:val="Tabletext1"/>
            </w:pPr>
            <w:r>
              <w:t>0</w:t>
            </w:r>
          </w:p>
          <w:p w14:paraId="25D1373D" w14:textId="1BB6ACD4" w:rsidR="001A0058" w:rsidRDefault="00D62C83">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6640ED4F" w14:textId="77777777" w:rsidR="001A0058" w:rsidRDefault="001A0058">
            <w:pPr>
              <w:pStyle w:val="Tabletext1"/>
            </w:pPr>
            <w:r>
              <w:t>NA</w:t>
            </w:r>
          </w:p>
        </w:tc>
        <w:tc>
          <w:tcPr>
            <w:tcW w:w="1308" w:type="dxa"/>
            <w:tcBorders>
              <w:top w:val="single" w:sz="4" w:space="0" w:color="auto"/>
              <w:left w:val="single" w:sz="4" w:space="0" w:color="auto"/>
              <w:bottom w:val="single" w:sz="4" w:space="0" w:color="auto"/>
              <w:right w:val="single" w:sz="4" w:space="0" w:color="auto"/>
            </w:tcBorders>
            <w:hideMark/>
          </w:tcPr>
          <w:p w14:paraId="63DCDAD8" w14:textId="77777777" w:rsidR="001A0058" w:rsidRPr="00882BFE" w:rsidRDefault="001A0058" w:rsidP="00882BFE">
            <w:pPr>
              <w:pStyle w:val="Tabletext1"/>
            </w:pPr>
            <w:r w:rsidRPr="00882BFE">
              <w:t>-1</w:t>
            </w:r>
          </w:p>
          <w:p w14:paraId="2AC486EF" w14:textId="77777777" w:rsidR="001A0058" w:rsidRPr="00882BFE" w:rsidRDefault="001A0058" w:rsidP="00882BFE">
            <w:pPr>
              <w:pStyle w:val="Tabletext1"/>
            </w:pPr>
            <w:r w:rsidRPr="00882BFE">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507938F8" w14:textId="77777777" w:rsidR="001A0058" w:rsidRPr="00882BFE" w:rsidRDefault="001A0058" w:rsidP="00882BFE">
            <w:pPr>
              <w:pStyle w:val="Tabletext1"/>
            </w:pPr>
            <w:r w:rsidRPr="00882BFE">
              <w:t>-1</w:t>
            </w:r>
          </w:p>
          <w:p w14:paraId="558B5A22" w14:textId="77777777" w:rsidR="001A0058" w:rsidRPr="00882BFE" w:rsidRDefault="001A0058" w:rsidP="00882BFE">
            <w:pPr>
              <w:pStyle w:val="Tabletext1"/>
            </w:pPr>
            <w:r w:rsidRPr="00882BFE">
              <w:t>Only one small study</w:t>
            </w:r>
          </w:p>
        </w:tc>
        <w:tc>
          <w:tcPr>
            <w:tcW w:w="992" w:type="dxa"/>
            <w:tcBorders>
              <w:top w:val="single" w:sz="4" w:space="0" w:color="auto"/>
              <w:left w:val="single" w:sz="4" w:space="0" w:color="auto"/>
              <w:bottom w:val="single" w:sz="4" w:space="0" w:color="auto"/>
              <w:right w:val="single" w:sz="4" w:space="0" w:color="auto"/>
            </w:tcBorders>
            <w:hideMark/>
          </w:tcPr>
          <w:p w14:paraId="5E0DB499" w14:textId="77777777" w:rsidR="001A0058" w:rsidRDefault="001A0058">
            <w:pPr>
              <w:pStyle w:val="Tabletext1"/>
            </w:pPr>
            <w:r>
              <w:t>No</w:t>
            </w:r>
          </w:p>
        </w:tc>
        <w:tc>
          <w:tcPr>
            <w:tcW w:w="2552" w:type="dxa"/>
            <w:tcBorders>
              <w:top w:val="single" w:sz="4" w:space="0" w:color="auto"/>
              <w:left w:val="single" w:sz="4" w:space="0" w:color="auto"/>
              <w:bottom w:val="single" w:sz="4" w:space="0" w:color="auto"/>
              <w:right w:val="single" w:sz="4" w:space="0" w:color="auto"/>
            </w:tcBorders>
            <w:hideMark/>
          </w:tcPr>
          <w:p w14:paraId="4ED64126" w14:textId="067AF42E" w:rsidR="001A0058" w:rsidRDefault="001A0058" w:rsidP="00B471F7">
            <w:pPr>
              <w:pStyle w:val="Tabletext1"/>
            </w:pPr>
            <w:r>
              <w:rPr>
                <w:color w:val="000000" w:themeColor="text1"/>
              </w:rPr>
              <w:t>The</w:t>
            </w:r>
            <w:r w:rsidR="00B471F7">
              <w:rPr>
                <w:color w:val="000000" w:themeColor="text1"/>
              </w:rPr>
              <w:t xml:space="preserve">re was a 40-fold difference in </w:t>
            </w:r>
            <w:r>
              <w:rPr>
                <w:color w:val="000000" w:themeColor="text1"/>
              </w:rPr>
              <w:t xml:space="preserve">level of detectable AMH between the two AMH tests. </w:t>
            </w:r>
            <w:r w:rsidR="00B471F7">
              <w:rPr>
                <w:color w:val="000000" w:themeColor="text1"/>
              </w:rPr>
              <w:t>Predictably,</w:t>
            </w:r>
            <w:r>
              <w:rPr>
                <w:color w:val="000000" w:themeColor="text1"/>
              </w:rPr>
              <w:t xml:space="preserve"> more samples had undetectable levels with the less sensitive EIA AMH/MIS assay </w:t>
            </w:r>
            <w:r w:rsidR="00882BFE">
              <w:rPr>
                <w:color w:val="000000" w:themeColor="text1"/>
              </w:rPr>
              <w:t>(53 samples) compared with the p</w:t>
            </w:r>
            <w:r>
              <w:rPr>
                <w:color w:val="000000" w:themeColor="text1"/>
              </w:rPr>
              <w:t>ico-AMH ELISA (33 samples).</w:t>
            </w:r>
          </w:p>
        </w:tc>
        <w:tc>
          <w:tcPr>
            <w:tcW w:w="1984" w:type="dxa"/>
            <w:tcBorders>
              <w:top w:val="single" w:sz="4" w:space="0" w:color="auto"/>
              <w:left w:val="single" w:sz="4" w:space="0" w:color="auto"/>
              <w:bottom w:val="single" w:sz="4" w:space="0" w:color="auto"/>
              <w:right w:val="single" w:sz="4" w:space="0" w:color="auto"/>
            </w:tcBorders>
            <w:hideMark/>
          </w:tcPr>
          <w:p w14:paraId="0C8E3A68" w14:textId="77777777" w:rsidR="001A0058" w:rsidRDefault="001A0058">
            <w:pPr>
              <w:pStyle w:val="Tabletext1"/>
            </w:pPr>
            <w:r>
              <w:t>NA</w:t>
            </w:r>
          </w:p>
        </w:tc>
        <w:tc>
          <w:tcPr>
            <w:tcW w:w="1002" w:type="dxa"/>
            <w:tcBorders>
              <w:top w:val="single" w:sz="4" w:space="0" w:color="auto"/>
              <w:left w:val="single" w:sz="4" w:space="0" w:color="auto"/>
              <w:bottom w:val="single" w:sz="4" w:space="0" w:color="auto"/>
              <w:right w:val="single" w:sz="4" w:space="0" w:color="auto"/>
            </w:tcBorders>
            <w:hideMark/>
          </w:tcPr>
          <w:p w14:paraId="476354F6"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48BF4F83"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6E5A2EE0" w14:textId="076F183A" w:rsidR="001A0058" w:rsidRDefault="00D62C83">
            <w:pPr>
              <w:pStyle w:val="Tabletext1"/>
            </w:pPr>
            <w:r>
              <w:t>Important</w:t>
            </w:r>
          </w:p>
          <w:p w14:paraId="14C542DC" w14:textId="61858F59" w:rsidR="001A0058" w:rsidRDefault="00D62C83" w:rsidP="00D62C83">
            <w:pPr>
              <w:pStyle w:val="Tabletext1"/>
            </w:pPr>
            <w:r>
              <w:t>(</w:t>
            </w:r>
            <w:r w:rsidR="001A0058">
              <w:t>to know if different AMH assays are comparable)</w:t>
            </w:r>
          </w:p>
        </w:tc>
      </w:tr>
      <w:tr w:rsidR="001A0058" w14:paraId="0B22DA31" w14:textId="77777777" w:rsidTr="00C9311D">
        <w:trPr>
          <w:trHeight w:val="3258"/>
        </w:trPr>
        <w:tc>
          <w:tcPr>
            <w:tcW w:w="1413" w:type="dxa"/>
            <w:tcBorders>
              <w:top w:val="single" w:sz="4" w:space="0" w:color="auto"/>
              <w:left w:val="single" w:sz="4" w:space="0" w:color="auto"/>
              <w:bottom w:val="single" w:sz="4" w:space="0" w:color="auto"/>
              <w:right w:val="single" w:sz="4" w:space="0" w:color="auto"/>
            </w:tcBorders>
            <w:hideMark/>
          </w:tcPr>
          <w:p w14:paraId="72A9F4F6" w14:textId="77777777" w:rsidR="001A0058" w:rsidRDefault="001A0058">
            <w:pPr>
              <w:pStyle w:val="Tabletext1"/>
            </w:pPr>
            <w:r>
              <w:t>AUC of AMH to discriminate between women with and without menses</w:t>
            </w:r>
          </w:p>
        </w:tc>
        <w:tc>
          <w:tcPr>
            <w:tcW w:w="1784" w:type="dxa"/>
            <w:tcBorders>
              <w:top w:val="single" w:sz="4" w:space="0" w:color="auto"/>
              <w:left w:val="single" w:sz="4" w:space="0" w:color="auto"/>
              <w:bottom w:val="single" w:sz="4" w:space="0" w:color="auto"/>
              <w:right w:val="single" w:sz="4" w:space="0" w:color="auto"/>
            </w:tcBorders>
            <w:hideMark/>
          </w:tcPr>
          <w:p w14:paraId="7D2784DD" w14:textId="77777777" w:rsidR="001A0058" w:rsidRDefault="001A0058">
            <w:pPr>
              <w:pStyle w:val="Tabletext1"/>
            </w:pPr>
            <w:r>
              <w:t>n=56</w:t>
            </w:r>
          </w:p>
          <w:p w14:paraId="70210A18" w14:textId="77777777" w:rsidR="001A0058" w:rsidRDefault="001A0058">
            <w:pPr>
              <w:pStyle w:val="Tabletext1"/>
            </w:pPr>
            <w:r>
              <w:t>k=1</w:t>
            </w:r>
          </w:p>
          <w:p w14:paraId="3E8D25A4"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47E9E636" w14:textId="77777777" w:rsidR="001A0058" w:rsidRDefault="001A0058">
            <w:pPr>
              <w:pStyle w:val="Tabletext1"/>
            </w:pPr>
            <w:r>
              <w:t>0</w:t>
            </w:r>
          </w:p>
          <w:p w14:paraId="73317317"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4B193284" w14:textId="77777777" w:rsidR="001A0058" w:rsidRDefault="001A0058">
            <w:pPr>
              <w:pStyle w:val="Tabletext1"/>
            </w:pPr>
            <w:r>
              <w:t>NA</w:t>
            </w:r>
          </w:p>
        </w:tc>
        <w:tc>
          <w:tcPr>
            <w:tcW w:w="1308" w:type="dxa"/>
            <w:tcBorders>
              <w:top w:val="single" w:sz="4" w:space="0" w:color="auto"/>
              <w:left w:val="single" w:sz="4" w:space="0" w:color="auto"/>
              <w:bottom w:val="single" w:sz="4" w:space="0" w:color="auto"/>
              <w:right w:val="single" w:sz="4" w:space="0" w:color="auto"/>
            </w:tcBorders>
            <w:hideMark/>
          </w:tcPr>
          <w:p w14:paraId="20B3C0DB" w14:textId="77777777" w:rsidR="001A0058" w:rsidRDefault="001A0058">
            <w:pPr>
              <w:pStyle w:val="Tabletext1"/>
            </w:pPr>
            <w:r>
              <w:t>-1</w:t>
            </w:r>
          </w:p>
          <w:p w14:paraId="2AFA4F4D"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5FC10A39" w14:textId="77777777" w:rsidR="001A0058" w:rsidRDefault="001A0058">
            <w:pPr>
              <w:pStyle w:val="Tabletext1"/>
            </w:pPr>
            <w:r>
              <w:t>-1</w:t>
            </w:r>
          </w:p>
          <w:p w14:paraId="0BB210F7" w14:textId="77777777" w:rsidR="001A0058" w:rsidRDefault="001A0058">
            <w:pPr>
              <w:pStyle w:val="Tabletext1"/>
            </w:pPr>
            <w:r>
              <w:t xml:space="preserve">Only one small study </w:t>
            </w:r>
          </w:p>
        </w:tc>
        <w:tc>
          <w:tcPr>
            <w:tcW w:w="992" w:type="dxa"/>
            <w:tcBorders>
              <w:top w:val="single" w:sz="4" w:space="0" w:color="auto"/>
              <w:left w:val="single" w:sz="4" w:space="0" w:color="auto"/>
              <w:bottom w:val="single" w:sz="4" w:space="0" w:color="auto"/>
              <w:right w:val="single" w:sz="4" w:space="0" w:color="auto"/>
            </w:tcBorders>
            <w:hideMark/>
          </w:tcPr>
          <w:p w14:paraId="4941888E" w14:textId="77777777" w:rsidR="001A0058" w:rsidRDefault="001A0058">
            <w:pPr>
              <w:pStyle w:val="Tabletext1"/>
            </w:pPr>
            <w:r>
              <w:t>No</w:t>
            </w:r>
          </w:p>
        </w:tc>
        <w:tc>
          <w:tcPr>
            <w:tcW w:w="2552" w:type="dxa"/>
            <w:tcBorders>
              <w:top w:val="single" w:sz="4" w:space="0" w:color="auto"/>
              <w:left w:val="single" w:sz="4" w:space="0" w:color="auto"/>
              <w:bottom w:val="single" w:sz="4" w:space="0" w:color="auto"/>
              <w:right w:val="single" w:sz="4" w:space="0" w:color="auto"/>
            </w:tcBorders>
            <w:hideMark/>
          </w:tcPr>
          <w:p w14:paraId="72208B98" w14:textId="77777777" w:rsidR="001A0058" w:rsidRDefault="001A0058">
            <w:pPr>
              <w:pStyle w:val="Tabletext1"/>
              <w:rPr>
                <w:color w:val="000000" w:themeColor="text1"/>
              </w:rPr>
            </w:pPr>
            <w:r>
              <w:rPr>
                <w:color w:val="000000" w:themeColor="text1"/>
              </w:rPr>
              <w:t xml:space="preserve">AUC of AMH </w:t>
            </w:r>
            <w:r>
              <w:rPr>
                <w:rFonts w:cs="Times New Roman"/>
              </w:rPr>
              <w:t>≤ 25 pg/ml was 0.71</w:t>
            </w:r>
          </w:p>
        </w:tc>
        <w:tc>
          <w:tcPr>
            <w:tcW w:w="1984" w:type="dxa"/>
            <w:tcBorders>
              <w:top w:val="single" w:sz="4" w:space="0" w:color="auto"/>
              <w:left w:val="single" w:sz="4" w:space="0" w:color="auto"/>
              <w:bottom w:val="single" w:sz="4" w:space="0" w:color="auto"/>
              <w:right w:val="single" w:sz="4" w:space="0" w:color="auto"/>
            </w:tcBorders>
            <w:hideMark/>
          </w:tcPr>
          <w:p w14:paraId="65984884" w14:textId="77777777" w:rsidR="001A0058" w:rsidRDefault="001A0058">
            <w:pPr>
              <w:pStyle w:val="Tabletext1"/>
            </w:pPr>
            <w:r>
              <w:t>Comparator AUCs:</w:t>
            </w:r>
          </w:p>
          <w:p w14:paraId="1E22EB5D" w14:textId="77777777" w:rsidR="001A0058" w:rsidRDefault="001A0058">
            <w:pPr>
              <w:pStyle w:val="Tabletext1"/>
              <w:rPr>
                <w:rFonts w:cs="Times New Roman"/>
              </w:rPr>
            </w:pPr>
            <w:r>
              <w:rPr>
                <w:rFonts w:cs="Times New Roman"/>
              </w:rPr>
              <w:t>AFC (total 2–10 mm) &lt;1: 0.82</w:t>
            </w:r>
          </w:p>
          <w:p w14:paraId="3CAC087B" w14:textId="391AC7A0" w:rsidR="001A0058" w:rsidRDefault="00D62C83">
            <w:pPr>
              <w:pStyle w:val="Tabletext1"/>
              <w:rPr>
                <w:rFonts w:cs="Times New Roman"/>
              </w:rPr>
            </w:pPr>
            <w:r>
              <w:rPr>
                <w:rFonts w:cs="Times New Roman"/>
              </w:rPr>
              <w:t>FSH ≥</w:t>
            </w:r>
            <w:r w:rsidR="001A0058">
              <w:rPr>
                <w:rFonts w:cs="Times New Roman"/>
              </w:rPr>
              <w:t>40IU/L: 0.72</w:t>
            </w:r>
          </w:p>
          <w:p w14:paraId="2ECE2B47" w14:textId="77777777" w:rsidR="001A0058" w:rsidRDefault="001A0058">
            <w:pPr>
              <w:pStyle w:val="Tabletext1"/>
              <w:rPr>
                <w:rFonts w:cs="Times New Roman"/>
              </w:rPr>
            </w:pPr>
            <w:r>
              <w:rPr>
                <w:rFonts w:cs="Times New Roman"/>
              </w:rPr>
              <w:t>Inhibin B ≤5 pg/ml: 0.63</w:t>
            </w:r>
          </w:p>
          <w:p w14:paraId="365F1F68" w14:textId="2747167B" w:rsidR="001A0058" w:rsidRDefault="00D62C83">
            <w:pPr>
              <w:pStyle w:val="Tabletext1"/>
              <w:rPr>
                <w:rFonts w:cs="Times New Roman"/>
              </w:rPr>
            </w:pPr>
            <w:r>
              <w:rPr>
                <w:rFonts w:cs="Times New Roman"/>
              </w:rPr>
              <w:t>AFC &lt;1 + AMH ≤</w:t>
            </w:r>
            <w:r w:rsidR="001A0058">
              <w:rPr>
                <w:rFonts w:cs="Times New Roman"/>
              </w:rPr>
              <w:t>25 pg/ml: 0.87</w:t>
            </w:r>
          </w:p>
          <w:p w14:paraId="7A449FBC" w14:textId="009F74E2" w:rsidR="001A0058" w:rsidRDefault="00D62C83">
            <w:pPr>
              <w:pStyle w:val="Tabletext1"/>
              <w:rPr>
                <w:rFonts w:cs="Times New Roman"/>
              </w:rPr>
            </w:pPr>
            <w:r>
              <w:rPr>
                <w:rFonts w:cs="Times New Roman"/>
              </w:rPr>
              <w:t>AFC &lt;1 + FSH ≥</w:t>
            </w:r>
            <w:r w:rsidR="001A0058">
              <w:rPr>
                <w:rFonts w:cs="Times New Roman"/>
              </w:rPr>
              <w:t>40IU/L: 0.87</w:t>
            </w:r>
          </w:p>
          <w:p w14:paraId="35B0F006" w14:textId="5654AF22" w:rsidR="001A0058" w:rsidRDefault="00D62C83">
            <w:pPr>
              <w:pStyle w:val="Tabletext1"/>
            </w:pPr>
            <w:r>
              <w:rPr>
                <w:rFonts w:cs="Times New Roman"/>
              </w:rPr>
              <w:t>AMH ≤25 pg/ml + FSH ≥</w:t>
            </w:r>
            <w:r w:rsidR="001A0058">
              <w:rPr>
                <w:rFonts w:cs="Times New Roman"/>
              </w:rPr>
              <w:t>40IU/L: 0.74</w:t>
            </w:r>
          </w:p>
        </w:tc>
        <w:tc>
          <w:tcPr>
            <w:tcW w:w="1002" w:type="dxa"/>
            <w:tcBorders>
              <w:top w:val="single" w:sz="4" w:space="0" w:color="auto"/>
              <w:left w:val="single" w:sz="4" w:space="0" w:color="auto"/>
              <w:bottom w:val="single" w:sz="4" w:space="0" w:color="auto"/>
              <w:right w:val="single" w:sz="4" w:space="0" w:color="auto"/>
            </w:tcBorders>
            <w:hideMark/>
          </w:tcPr>
          <w:p w14:paraId="5FF4F26A"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5304BD59"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77E0EE4C" w14:textId="77777777" w:rsidR="001A0058" w:rsidRDefault="001A0058">
            <w:pPr>
              <w:pStyle w:val="Tabletext1"/>
            </w:pPr>
            <w:r>
              <w:t>Not important (unknown how to use this evidence in clinical practice)</w:t>
            </w:r>
          </w:p>
        </w:tc>
      </w:tr>
      <w:tr w:rsidR="001A0058" w14:paraId="7B140E09" w14:textId="77777777" w:rsidTr="00C9311D">
        <w:trPr>
          <w:trHeight w:val="969"/>
        </w:trPr>
        <w:tc>
          <w:tcPr>
            <w:tcW w:w="1413" w:type="dxa"/>
            <w:tcBorders>
              <w:top w:val="single" w:sz="4" w:space="0" w:color="auto"/>
              <w:left w:val="single" w:sz="4" w:space="0" w:color="auto"/>
              <w:bottom w:val="single" w:sz="4" w:space="0" w:color="auto"/>
              <w:right w:val="single" w:sz="4" w:space="0" w:color="auto"/>
            </w:tcBorders>
            <w:hideMark/>
          </w:tcPr>
          <w:p w14:paraId="53193196" w14:textId="77777777" w:rsidR="001A0058" w:rsidRDefault="001A0058">
            <w:pPr>
              <w:pStyle w:val="Tabletext1"/>
            </w:pPr>
            <w:r>
              <w:t xml:space="preserve">Sensitivity of AMH compared to other ovarian reserve tests in distinguishing </w:t>
            </w:r>
            <w:r>
              <w:lastRenderedPageBreak/>
              <w:t>CRA</w:t>
            </w:r>
          </w:p>
        </w:tc>
        <w:tc>
          <w:tcPr>
            <w:tcW w:w="1784" w:type="dxa"/>
            <w:tcBorders>
              <w:top w:val="single" w:sz="4" w:space="0" w:color="auto"/>
              <w:left w:val="single" w:sz="4" w:space="0" w:color="auto"/>
              <w:bottom w:val="single" w:sz="4" w:space="0" w:color="auto"/>
              <w:right w:val="single" w:sz="4" w:space="0" w:color="auto"/>
            </w:tcBorders>
            <w:hideMark/>
          </w:tcPr>
          <w:p w14:paraId="089032A5" w14:textId="77777777" w:rsidR="001A0058" w:rsidRDefault="001A0058">
            <w:pPr>
              <w:pStyle w:val="Tabletext1"/>
            </w:pPr>
            <w:r>
              <w:lastRenderedPageBreak/>
              <w:t>n=56</w:t>
            </w:r>
          </w:p>
          <w:p w14:paraId="1EF38DAE" w14:textId="77777777" w:rsidR="001A0058" w:rsidRDefault="001A0058">
            <w:pPr>
              <w:pStyle w:val="Tabletext1"/>
            </w:pPr>
            <w:r>
              <w:t>k=1</w:t>
            </w:r>
          </w:p>
          <w:p w14:paraId="008F065C"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09F3A91A" w14:textId="77777777" w:rsidR="001A0058" w:rsidRDefault="001A0058">
            <w:pPr>
              <w:pStyle w:val="Tabletext1"/>
            </w:pPr>
            <w:r>
              <w:t>0</w:t>
            </w:r>
          </w:p>
          <w:p w14:paraId="63AB0E54"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3451A796" w14:textId="77777777" w:rsidR="001A0058" w:rsidRDefault="001A0058">
            <w:pPr>
              <w:pStyle w:val="Tabletext1"/>
            </w:pPr>
            <w:r>
              <w:t>NA</w:t>
            </w:r>
          </w:p>
        </w:tc>
        <w:tc>
          <w:tcPr>
            <w:tcW w:w="1308" w:type="dxa"/>
            <w:tcBorders>
              <w:top w:val="single" w:sz="4" w:space="0" w:color="auto"/>
              <w:left w:val="single" w:sz="4" w:space="0" w:color="auto"/>
              <w:bottom w:val="single" w:sz="4" w:space="0" w:color="auto"/>
              <w:right w:val="single" w:sz="4" w:space="0" w:color="auto"/>
            </w:tcBorders>
            <w:hideMark/>
          </w:tcPr>
          <w:p w14:paraId="3B96F96A" w14:textId="77777777" w:rsidR="001A0058" w:rsidRDefault="001A0058">
            <w:pPr>
              <w:pStyle w:val="Tabletext1"/>
            </w:pPr>
            <w:r>
              <w:t>-1</w:t>
            </w:r>
          </w:p>
          <w:p w14:paraId="29EB1BC5"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3B951A40" w14:textId="77777777" w:rsidR="001A0058" w:rsidRDefault="001A0058">
            <w:pPr>
              <w:pStyle w:val="Tabletext1"/>
            </w:pPr>
            <w:r>
              <w:t>-1</w:t>
            </w:r>
          </w:p>
          <w:p w14:paraId="621CE03D" w14:textId="77777777" w:rsidR="001A0058" w:rsidRDefault="001A0058">
            <w:pPr>
              <w:pStyle w:val="Tabletext1"/>
            </w:pPr>
            <w:r>
              <w:t xml:space="preserve">Only one small study, </w:t>
            </w:r>
            <w:r>
              <w:lastRenderedPageBreak/>
              <w:t>no CI reported</w:t>
            </w:r>
          </w:p>
        </w:tc>
        <w:tc>
          <w:tcPr>
            <w:tcW w:w="992" w:type="dxa"/>
            <w:tcBorders>
              <w:top w:val="single" w:sz="4" w:space="0" w:color="auto"/>
              <w:left w:val="single" w:sz="4" w:space="0" w:color="auto"/>
              <w:bottom w:val="single" w:sz="4" w:space="0" w:color="auto"/>
              <w:right w:val="single" w:sz="4" w:space="0" w:color="auto"/>
            </w:tcBorders>
            <w:hideMark/>
          </w:tcPr>
          <w:p w14:paraId="08D37FF2" w14:textId="77777777" w:rsidR="001A0058" w:rsidRDefault="001A0058">
            <w:pPr>
              <w:pStyle w:val="Tabletext1"/>
            </w:pPr>
            <w:r>
              <w:lastRenderedPageBreak/>
              <w:t>No</w:t>
            </w:r>
          </w:p>
        </w:tc>
        <w:tc>
          <w:tcPr>
            <w:tcW w:w="2552" w:type="dxa"/>
            <w:tcBorders>
              <w:top w:val="single" w:sz="4" w:space="0" w:color="auto"/>
              <w:left w:val="single" w:sz="4" w:space="0" w:color="auto"/>
              <w:bottom w:val="single" w:sz="4" w:space="0" w:color="auto"/>
              <w:right w:val="single" w:sz="4" w:space="0" w:color="auto"/>
            </w:tcBorders>
            <w:hideMark/>
          </w:tcPr>
          <w:p w14:paraId="34E01D17" w14:textId="1F515BA6" w:rsidR="001A0058" w:rsidRDefault="001A0058">
            <w:pPr>
              <w:pStyle w:val="Tabletext1"/>
              <w:rPr>
                <w:color w:val="000000" w:themeColor="text1"/>
              </w:rPr>
            </w:pPr>
            <w:r>
              <w:rPr>
                <w:color w:val="000000" w:themeColor="text1"/>
              </w:rPr>
              <w:t xml:space="preserve">Sensitivity AMH ≤ 25 pg/mL </w:t>
            </w:r>
            <w:r w:rsidR="00E830B2">
              <w:rPr>
                <w:color w:val="000000" w:themeColor="text1"/>
              </w:rPr>
              <w:t>76%.</w:t>
            </w:r>
          </w:p>
        </w:tc>
        <w:tc>
          <w:tcPr>
            <w:tcW w:w="1984" w:type="dxa"/>
            <w:tcBorders>
              <w:top w:val="single" w:sz="4" w:space="0" w:color="auto"/>
              <w:left w:val="single" w:sz="4" w:space="0" w:color="auto"/>
              <w:bottom w:val="single" w:sz="4" w:space="0" w:color="auto"/>
              <w:right w:val="single" w:sz="4" w:space="0" w:color="auto"/>
            </w:tcBorders>
            <w:hideMark/>
          </w:tcPr>
          <w:p w14:paraId="14C8BB59" w14:textId="77777777" w:rsidR="001A0058" w:rsidRDefault="001A0058">
            <w:pPr>
              <w:pStyle w:val="Tabletext1"/>
            </w:pPr>
            <w:r>
              <w:t>Sensitivities comparators:</w:t>
            </w:r>
          </w:p>
          <w:p w14:paraId="73C7FD73" w14:textId="77777777" w:rsidR="001A0058" w:rsidRDefault="001A0058">
            <w:pPr>
              <w:pStyle w:val="Tabletext1"/>
            </w:pPr>
            <w:r>
              <w:t>AFC (total 2–10 mm) &lt; 1: 79%</w:t>
            </w:r>
          </w:p>
          <w:p w14:paraId="5A5326DA" w14:textId="77777777" w:rsidR="001A0058" w:rsidRDefault="001A0058">
            <w:pPr>
              <w:pStyle w:val="Tabletext1"/>
            </w:pPr>
            <w:r>
              <w:lastRenderedPageBreak/>
              <w:t>FSH ≥ 40IU/L: 78%</w:t>
            </w:r>
          </w:p>
          <w:p w14:paraId="43065F9F" w14:textId="77777777" w:rsidR="001A0058" w:rsidRDefault="001A0058">
            <w:pPr>
              <w:pStyle w:val="Tabletext1"/>
              <w:rPr>
                <w:rFonts w:cs="Times New Roman"/>
              </w:rPr>
            </w:pPr>
            <w:r>
              <w:t>Inhibin B ≤ 5pg/ml: 54%</w:t>
            </w:r>
          </w:p>
        </w:tc>
        <w:tc>
          <w:tcPr>
            <w:tcW w:w="1002" w:type="dxa"/>
            <w:tcBorders>
              <w:top w:val="single" w:sz="4" w:space="0" w:color="auto"/>
              <w:left w:val="single" w:sz="4" w:space="0" w:color="auto"/>
              <w:bottom w:val="single" w:sz="4" w:space="0" w:color="auto"/>
              <w:right w:val="single" w:sz="4" w:space="0" w:color="auto"/>
            </w:tcBorders>
            <w:hideMark/>
          </w:tcPr>
          <w:p w14:paraId="668F3C36"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lastRenderedPageBreak/>
              <w:t>⨁</w:t>
            </w:r>
            <w:r>
              <w:rPr>
                <w:rFonts w:ascii="Cambria Math" w:hAnsi="Cambria Math" w:cs="Cambria Math"/>
                <w:color w:val="C00000"/>
              </w:rPr>
              <w:t>⨀⨀⨀</w:t>
            </w:r>
          </w:p>
          <w:p w14:paraId="2005E193"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1CAB84D8" w14:textId="77777777" w:rsidR="001A0058" w:rsidRDefault="001A0058">
            <w:pPr>
              <w:pStyle w:val="Tabletext1"/>
            </w:pPr>
            <w:r>
              <w:t xml:space="preserve">Not important (unknown how to use this evidence in clinical </w:t>
            </w:r>
            <w:r>
              <w:lastRenderedPageBreak/>
              <w:t>practice)</w:t>
            </w:r>
          </w:p>
        </w:tc>
      </w:tr>
      <w:tr w:rsidR="001A0058" w14:paraId="63896C77" w14:textId="77777777" w:rsidTr="00C9311D">
        <w:trPr>
          <w:trHeight w:val="1974"/>
        </w:trPr>
        <w:tc>
          <w:tcPr>
            <w:tcW w:w="1413" w:type="dxa"/>
            <w:tcBorders>
              <w:top w:val="single" w:sz="4" w:space="0" w:color="auto"/>
              <w:left w:val="single" w:sz="4" w:space="0" w:color="auto"/>
              <w:bottom w:val="single" w:sz="4" w:space="0" w:color="auto"/>
              <w:right w:val="single" w:sz="4" w:space="0" w:color="auto"/>
            </w:tcBorders>
            <w:hideMark/>
          </w:tcPr>
          <w:p w14:paraId="4B6B589E" w14:textId="77777777" w:rsidR="001A0058" w:rsidRDefault="001A0058">
            <w:pPr>
              <w:pStyle w:val="Tabletext1"/>
            </w:pPr>
            <w:r>
              <w:lastRenderedPageBreak/>
              <w:t>Specificity of AMH compared to other ovarian reserve tests in distinguishing CRA</w:t>
            </w:r>
          </w:p>
        </w:tc>
        <w:tc>
          <w:tcPr>
            <w:tcW w:w="1784" w:type="dxa"/>
            <w:tcBorders>
              <w:top w:val="single" w:sz="4" w:space="0" w:color="auto"/>
              <w:left w:val="single" w:sz="4" w:space="0" w:color="auto"/>
              <w:bottom w:val="single" w:sz="4" w:space="0" w:color="auto"/>
              <w:right w:val="single" w:sz="4" w:space="0" w:color="auto"/>
            </w:tcBorders>
            <w:hideMark/>
          </w:tcPr>
          <w:p w14:paraId="70338E38" w14:textId="77777777" w:rsidR="001A0058" w:rsidRDefault="001A0058">
            <w:pPr>
              <w:pStyle w:val="Tabletext1"/>
            </w:pPr>
            <w:r>
              <w:t>n=56</w:t>
            </w:r>
          </w:p>
          <w:p w14:paraId="04E3FEF9" w14:textId="77777777" w:rsidR="001A0058" w:rsidRDefault="001A0058">
            <w:pPr>
              <w:pStyle w:val="Tabletext1"/>
            </w:pPr>
            <w:r>
              <w:t>k=1</w:t>
            </w:r>
          </w:p>
          <w:p w14:paraId="39B9370D"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1181C817" w14:textId="77777777" w:rsidR="001A0058" w:rsidRDefault="001A0058">
            <w:pPr>
              <w:pStyle w:val="Tabletext1"/>
            </w:pPr>
            <w:r>
              <w:t>0</w:t>
            </w:r>
          </w:p>
          <w:p w14:paraId="3AE5D014"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1D6C722C" w14:textId="77777777" w:rsidR="001A0058" w:rsidRDefault="001A0058">
            <w:pPr>
              <w:pStyle w:val="Tabletext1"/>
            </w:pPr>
            <w:r>
              <w:t>NA</w:t>
            </w:r>
          </w:p>
        </w:tc>
        <w:tc>
          <w:tcPr>
            <w:tcW w:w="1308" w:type="dxa"/>
            <w:tcBorders>
              <w:top w:val="single" w:sz="4" w:space="0" w:color="auto"/>
              <w:left w:val="single" w:sz="4" w:space="0" w:color="auto"/>
              <w:bottom w:val="single" w:sz="4" w:space="0" w:color="auto"/>
              <w:right w:val="single" w:sz="4" w:space="0" w:color="auto"/>
            </w:tcBorders>
            <w:hideMark/>
          </w:tcPr>
          <w:p w14:paraId="6464D2D5" w14:textId="77777777" w:rsidR="001A0058" w:rsidRDefault="001A0058">
            <w:pPr>
              <w:pStyle w:val="Tabletext1"/>
            </w:pPr>
            <w:r>
              <w:t>-1</w:t>
            </w:r>
          </w:p>
          <w:p w14:paraId="0AF90ED9"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0FBB49AA" w14:textId="77777777" w:rsidR="001A0058" w:rsidRDefault="001A0058">
            <w:pPr>
              <w:pStyle w:val="Tabletext1"/>
            </w:pPr>
            <w:r>
              <w:t>-1</w:t>
            </w:r>
          </w:p>
          <w:p w14:paraId="1F05C664" w14:textId="77777777" w:rsidR="001A0058" w:rsidRDefault="001A0058">
            <w:pPr>
              <w:pStyle w:val="Tabletext1"/>
            </w:pPr>
            <w:r>
              <w:t>Only one small study, no CI reported</w:t>
            </w:r>
          </w:p>
        </w:tc>
        <w:tc>
          <w:tcPr>
            <w:tcW w:w="992" w:type="dxa"/>
            <w:tcBorders>
              <w:top w:val="single" w:sz="4" w:space="0" w:color="auto"/>
              <w:left w:val="single" w:sz="4" w:space="0" w:color="auto"/>
              <w:bottom w:val="single" w:sz="4" w:space="0" w:color="auto"/>
              <w:right w:val="single" w:sz="4" w:space="0" w:color="auto"/>
            </w:tcBorders>
            <w:hideMark/>
          </w:tcPr>
          <w:p w14:paraId="3B98B6AE" w14:textId="77777777" w:rsidR="001A0058" w:rsidRDefault="001A0058">
            <w:pPr>
              <w:pStyle w:val="Tabletext1"/>
            </w:pPr>
            <w:r>
              <w:t>No</w:t>
            </w:r>
          </w:p>
        </w:tc>
        <w:tc>
          <w:tcPr>
            <w:tcW w:w="2552" w:type="dxa"/>
            <w:tcBorders>
              <w:top w:val="single" w:sz="4" w:space="0" w:color="auto"/>
              <w:left w:val="single" w:sz="4" w:space="0" w:color="auto"/>
              <w:bottom w:val="single" w:sz="4" w:space="0" w:color="auto"/>
              <w:right w:val="single" w:sz="4" w:space="0" w:color="auto"/>
            </w:tcBorders>
            <w:hideMark/>
          </w:tcPr>
          <w:p w14:paraId="6CA50E92" w14:textId="18ACB914" w:rsidR="001A0058" w:rsidRDefault="001A0058">
            <w:pPr>
              <w:pStyle w:val="Tabletext1"/>
              <w:rPr>
                <w:color w:val="000000" w:themeColor="text1"/>
              </w:rPr>
            </w:pPr>
            <w:r>
              <w:rPr>
                <w:color w:val="000000" w:themeColor="text1"/>
              </w:rPr>
              <w:t xml:space="preserve">Specificity </w:t>
            </w:r>
            <w:r w:rsidR="00D62C83">
              <w:rPr>
                <w:color w:val="000000" w:themeColor="text1"/>
              </w:rPr>
              <w:t>AMH ≤</w:t>
            </w:r>
            <w:r>
              <w:rPr>
                <w:color w:val="000000" w:themeColor="text1"/>
              </w:rPr>
              <w:t xml:space="preserve">25 pg/mL </w:t>
            </w:r>
            <w:r w:rsidR="00E830B2">
              <w:rPr>
                <w:color w:val="000000" w:themeColor="text1"/>
              </w:rPr>
              <w:t>60%.</w:t>
            </w:r>
          </w:p>
        </w:tc>
        <w:tc>
          <w:tcPr>
            <w:tcW w:w="1984" w:type="dxa"/>
            <w:tcBorders>
              <w:top w:val="single" w:sz="4" w:space="0" w:color="auto"/>
              <w:left w:val="single" w:sz="4" w:space="0" w:color="auto"/>
              <w:bottom w:val="single" w:sz="4" w:space="0" w:color="auto"/>
              <w:right w:val="single" w:sz="4" w:space="0" w:color="auto"/>
            </w:tcBorders>
            <w:hideMark/>
          </w:tcPr>
          <w:p w14:paraId="132CDD52" w14:textId="77777777" w:rsidR="001A0058" w:rsidRDefault="001A0058">
            <w:pPr>
              <w:pStyle w:val="Tabletext1"/>
            </w:pPr>
            <w:r>
              <w:t>Specificities comparators:</w:t>
            </w:r>
          </w:p>
          <w:p w14:paraId="3B334404" w14:textId="3D2CFD44" w:rsidR="001A0058" w:rsidRDefault="00D62C83">
            <w:pPr>
              <w:pStyle w:val="Tabletext1"/>
            </w:pPr>
            <w:r>
              <w:t>AFC (total 2–10 mm) &lt;</w:t>
            </w:r>
            <w:r w:rsidR="001A0058">
              <w:t>1: 89%</w:t>
            </w:r>
          </w:p>
          <w:p w14:paraId="38C53441" w14:textId="5D2F6EA9" w:rsidR="001A0058" w:rsidRDefault="00D62C83">
            <w:pPr>
              <w:pStyle w:val="Tabletext1"/>
            </w:pPr>
            <w:r>
              <w:t>FSH ≥</w:t>
            </w:r>
            <w:r w:rsidR="001A0058">
              <w:t>40IU/L: 64%</w:t>
            </w:r>
          </w:p>
          <w:p w14:paraId="0072838C" w14:textId="77777777" w:rsidR="001A0058" w:rsidRDefault="001A0058">
            <w:pPr>
              <w:pStyle w:val="Tabletext1"/>
            </w:pPr>
            <w:r>
              <w:t>Inhibin B ≤ 5pg/ml: 64%</w:t>
            </w:r>
          </w:p>
        </w:tc>
        <w:tc>
          <w:tcPr>
            <w:tcW w:w="1002" w:type="dxa"/>
            <w:tcBorders>
              <w:top w:val="single" w:sz="4" w:space="0" w:color="auto"/>
              <w:left w:val="single" w:sz="4" w:space="0" w:color="auto"/>
              <w:bottom w:val="single" w:sz="4" w:space="0" w:color="auto"/>
              <w:right w:val="single" w:sz="4" w:space="0" w:color="auto"/>
            </w:tcBorders>
            <w:hideMark/>
          </w:tcPr>
          <w:p w14:paraId="442D54D8"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1A1CCB26"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5DAA263A" w14:textId="77777777" w:rsidR="001A0058" w:rsidRDefault="001A0058">
            <w:pPr>
              <w:pStyle w:val="Tabletext1"/>
            </w:pPr>
            <w:r>
              <w:t>Not important (unknown how to use this evidence in clinical practice)</w:t>
            </w:r>
          </w:p>
        </w:tc>
      </w:tr>
      <w:tr w:rsidR="001A0058" w14:paraId="1136685F" w14:textId="77777777" w:rsidTr="00C9311D">
        <w:trPr>
          <w:trHeight w:val="2748"/>
        </w:trPr>
        <w:tc>
          <w:tcPr>
            <w:tcW w:w="1413" w:type="dxa"/>
            <w:tcBorders>
              <w:top w:val="single" w:sz="4" w:space="0" w:color="auto"/>
              <w:left w:val="single" w:sz="4" w:space="0" w:color="auto"/>
              <w:bottom w:val="single" w:sz="4" w:space="0" w:color="auto"/>
              <w:right w:val="single" w:sz="4" w:space="0" w:color="auto"/>
            </w:tcBorders>
            <w:hideMark/>
          </w:tcPr>
          <w:p w14:paraId="2A12F290" w14:textId="77777777" w:rsidR="001A0058" w:rsidRDefault="001A0058">
            <w:pPr>
              <w:pStyle w:val="Tabletext1"/>
            </w:pPr>
            <w:r>
              <w:t>Correlation between different AMH tests</w:t>
            </w:r>
          </w:p>
        </w:tc>
        <w:tc>
          <w:tcPr>
            <w:tcW w:w="1784" w:type="dxa"/>
            <w:tcBorders>
              <w:top w:val="single" w:sz="4" w:space="0" w:color="auto"/>
              <w:left w:val="single" w:sz="4" w:space="0" w:color="auto"/>
              <w:bottom w:val="single" w:sz="4" w:space="0" w:color="auto"/>
              <w:right w:val="single" w:sz="4" w:space="0" w:color="auto"/>
            </w:tcBorders>
            <w:hideMark/>
          </w:tcPr>
          <w:p w14:paraId="33F05648" w14:textId="77777777" w:rsidR="001A0058" w:rsidRDefault="001A0058">
            <w:pPr>
              <w:pStyle w:val="Tabletext1"/>
            </w:pPr>
            <w:r>
              <w:t>n=98</w:t>
            </w:r>
          </w:p>
          <w:p w14:paraId="262AC513" w14:textId="77777777" w:rsidR="001A0058" w:rsidRDefault="001A0058">
            <w:pPr>
              <w:pStyle w:val="Tabletext1"/>
            </w:pPr>
            <w:r>
              <w:t>k=2</w:t>
            </w:r>
          </w:p>
          <w:p w14:paraId="51D7373A"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486E974B" w14:textId="77777777" w:rsidR="001A0058" w:rsidRDefault="001A0058">
            <w:pPr>
              <w:pStyle w:val="Tabletext1"/>
            </w:pPr>
            <w:r>
              <w:t>0</w:t>
            </w:r>
          </w:p>
          <w:p w14:paraId="55AEEF50"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331FAC73" w14:textId="77777777" w:rsidR="001A0058" w:rsidRDefault="001A0058">
            <w:pPr>
              <w:pStyle w:val="Tabletext1"/>
            </w:pPr>
            <w:r>
              <w:t>0</w:t>
            </w:r>
          </w:p>
        </w:tc>
        <w:tc>
          <w:tcPr>
            <w:tcW w:w="1308" w:type="dxa"/>
            <w:tcBorders>
              <w:top w:val="single" w:sz="4" w:space="0" w:color="auto"/>
              <w:left w:val="single" w:sz="4" w:space="0" w:color="auto"/>
              <w:bottom w:val="single" w:sz="4" w:space="0" w:color="auto"/>
              <w:right w:val="single" w:sz="4" w:space="0" w:color="auto"/>
            </w:tcBorders>
            <w:hideMark/>
          </w:tcPr>
          <w:p w14:paraId="61279031" w14:textId="77777777" w:rsidR="001A0058" w:rsidRDefault="001A0058">
            <w:pPr>
              <w:pStyle w:val="Tabletext1"/>
            </w:pPr>
            <w:r>
              <w:t>-1</w:t>
            </w:r>
          </w:p>
          <w:p w14:paraId="45D38E87"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600FAC01" w14:textId="2B89E4DF" w:rsidR="001A0058" w:rsidRDefault="001A0058">
            <w:pPr>
              <w:pStyle w:val="Tabletext1"/>
            </w:pPr>
            <w:r>
              <w:t>-1</w:t>
            </w:r>
          </w:p>
          <w:p w14:paraId="54468FD5" w14:textId="77777777" w:rsidR="001A0058" w:rsidRDefault="001A0058">
            <w:pPr>
              <w:pStyle w:val="Tabletext1"/>
            </w:pPr>
            <w:r>
              <w:t>Low number of patients included</w:t>
            </w:r>
          </w:p>
        </w:tc>
        <w:tc>
          <w:tcPr>
            <w:tcW w:w="992" w:type="dxa"/>
            <w:tcBorders>
              <w:top w:val="single" w:sz="4" w:space="0" w:color="auto"/>
              <w:left w:val="single" w:sz="4" w:space="0" w:color="auto"/>
              <w:bottom w:val="single" w:sz="4" w:space="0" w:color="auto"/>
              <w:right w:val="single" w:sz="4" w:space="0" w:color="auto"/>
            </w:tcBorders>
            <w:hideMark/>
          </w:tcPr>
          <w:p w14:paraId="3208C6AE" w14:textId="77777777" w:rsidR="001A0058" w:rsidRDefault="001A0058">
            <w:pPr>
              <w:pStyle w:val="Tabletext1"/>
            </w:pPr>
            <w:r>
              <w:t>No</w:t>
            </w:r>
          </w:p>
        </w:tc>
        <w:tc>
          <w:tcPr>
            <w:tcW w:w="2552" w:type="dxa"/>
            <w:tcBorders>
              <w:top w:val="single" w:sz="4" w:space="0" w:color="auto"/>
              <w:left w:val="single" w:sz="4" w:space="0" w:color="auto"/>
              <w:bottom w:val="single" w:sz="4" w:space="0" w:color="auto"/>
              <w:right w:val="single" w:sz="4" w:space="0" w:color="auto"/>
            </w:tcBorders>
            <w:hideMark/>
          </w:tcPr>
          <w:p w14:paraId="15BAD50F" w14:textId="77777777" w:rsidR="001A0058" w:rsidRPr="00882BFE"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 xml:space="preserve">AMH </w:t>
            </w:r>
            <w:r w:rsidRPr="00882BFE">
              <w:rPr>
                <w:rFonts w:ascii="Arial Narrow" w:hAnsi="Arial Narrow" w:cs="Times New Roman"/>
                <w:sz w:val="20"/>
                <w:szCs w:val="20"/>
              </w:rPr>
              <w:t>Gen II ELISA versus</w:t>
            </w:r>
          </w:p>
          <w:p w14:paraId="3B8C5DBE" w14:textId="65AE4979" w:rsidR="001A0058" w:rsidRPr="00882BFE" w:rsidRDefault="00882BFE">
            <w:pPr>
              <w:pStyle w:val="Tabletext1"/>
              <w:rPr>
                <w:rFonts w:cs="Times New Roman"/>
              </w:rPr>
            </w:pPr>
            <w:r>
              <w:rPr>
                <w:rFonts w:cs="Times New Roman"/>
              </w:rPr>
              <w:t>Ansh Labs AMH ELISA: rho=</w:t>
            </w:r>
            <w:r w:rsidR="001A0058" w:rsidRPr="00882BFE">
              <w:rPr>
                <w:rFonts w:cs="Times New Roman"/>
              </w:rPr>
              <w:t>0.964, p&lt;0.0001</w:t>
            </w:r>
          </w:p>
          <w:p w14:paraId="12F50BD5" w14:textId="77777777" w:rsidR="001A0058" w:rsidRPr="00882BFE" w:rsidRDefault="001A0058">
            <w:pPr>
              <w:spacing w:before="40" w:after="40" w:line="240" w:lineRule="auto"/>
              <w:rPr>
                <w:rFonts w:ascii="Arial Narrow" w:hAnsi="Arial Narrow" w:cs="Times New Roman"/>
                <w:sz w:val="20"/>
                <w:szCs w:val="20"/>
              </w:rPr>
            </w:pPr>
            <w:r w:rsidRPr="00882BFE">
              <w:rPr>
                <w:rFonts w:ascii="Arial Narrow" w:hAnsi="Arial Narrow" w:cs="Times New Roman"/>
                <w:sz w:val="20"/>
                <w:szCs w:val="20"/>
              </w:rPr>
              <w:t>AMH Gen II ELISA versus</w:t>
            </w:r>
          </w:p>
          <w:p w14:paraId="5DD39AA2" w14:textId="49D8CC5A" w:rsidR="001A0058" w:rsidRPr="00882BFE" w:rsidRDefault="00D62C83">
            <w:pPr>
              <w:pStyle w:val="Tabletext1"/>
              <w:rPr>
                <w:rFonts w:cs="Times New Roman"/>
              </w:rPr>
            </w:pPr>
            <w:r w:rsidRPr="00882BFE">
              <w:rPr>
                <w:rFonts w:cs="Times New Roman"/>
              </w:rPr>
              <w:t>Ultrasensitive AMH ELISA: rho=</w:t>
            </w:r>
            <w:r w:rsidR="001A0058" w:rsidRPr="00882BFE">
              <w:rPr>
                <w:rFonts w:cs="Times New Roman"/>
              </w:rPr>
              <w:t>0.92, p&lt;0.001</w:t>
            </w:r>
          </w:p>
          <w:p w14:paraId="44176386" w14:textId="67459C8A" w:rsidR="001A0058" w:rsidRPr="00882BFE" w:rsidRDefault="001A0058" w:rsidP="00882BFE">
            <w:pPr>
              <w:spacing w:before="40" w:after="40" w:line="240" w:lineRule="auto"/>
              <w:rPr>
                <w:rFonts w:ascii="Arial Narrow" w:hAnsi="Arial Narrow" w:cs="Times New Roman"/>
                <w:sz w:val="20"/>
                <w:szCs w:val="20"/>
              </w:rPr>
            </w:pPr>
            <w:r w:rsidRPr="00882BFE">
              <w:rPr>
                <w:rFonts w:ascii="Arial Narrow" w:hAnsi="Arial Narrow" w:cs="Times New Roman"/>
                <w:sz w:val="20"/>
                <w:szCs w:val="20"/>
              </w:rPr>
              <w:t xml:space="preserve">AMH Gen II ELISA </w:t>
            </w:r>
            <w:r w:rsidR="00882BFE" w:rsidRPr="00882BFE">
              <w:rPr>
                <w:rFonts w:ascii="Arial Narrow" w:hAnsi="Arial Narrow" w:cs="Times New Roman"/>
                <w:sz w:val="20"/>
                <w:szCs w:val="20"/>
              </w:rPr>
              <w:t xml:space="preserve">vs </w:t>
            </w:r>
            <w:r w:rsidR="00D62C83" w:rsidRPr="00882BFE">
              <w:rPr>
                <w:rFonts w:ascii="Arial Narrow" w:hAnsi="Arial Narrow" w:cs="Times New Roman"/>
              </w:rPr>
              <w:t>pico-AMH ELISA: rho=0.92, p&lt;0.001</w:t>
            </w:r>
          </w:p>
          <w:p w14:paraId="5051F028" w14:textId="117D15DC" w:rsidR="001A0058" w:rsidRDefault="001A0058" w:rsidP="00882BFE">
            <w:pPr>
              <w:spacing w:before="40" w:after="40" w:line="240" w:lineRule="auto"/>
              <w:rPr>
                <w:color w:val="000000" w:themeColor="text1"/>
              </w:rPr>
            </w:pPr>
            <w:r w:rsidRPr="00882BFE">
              <w:rPr>
                <w:rFonts w:ascii="Arial Narrow" w:hAnsi="Arial Narrow" w:cs="Times New Roman"/>
                <w:sz w:val="20"/>
                <w:szCs w:val="20"/>
              </w:rPr>
              <w:t>Ultrasensitive AMH ELISA v</w:t>
            </w:r>
            <w:r w:rsidR="00882BFE" w:rsidRPr="00882BFE">
              <w:rPr>
                <w:rFonts w:ascii="Arial Narrow" w:hAnsi="Arial Narrow" w:cs="Times New Roman"/>
                <w:sz w:val="20"/>
                <w:szCs w:val="20"/>
              </w:rPr>
              <w:t xml:space="preserve">s </w:t>
            </w:r>
            <w:r w:rsidRPr="00882BFE">
              <w:rPr>
                <w:rFonts w:ascii="Arial Narrow" w:hAnsi="Arial Narrow" w:cs="Times New Roman"/>
                <w:sz w:val="20"/>
                <w:szCs w:val="20"/>
              </w:rPr>
              <w:t>pico-AMH ELISA</w:t>
            </w:r>
            <w:r w:rsidRPr="00882BFE">
              <w:rPr>
                <w:rFonts w:ascii="Arial Narrow" w:hAnsi="Arial Narrow" w:cs="Times New Roman"/>
              </w:rPr>
              <w:t xml:space="preserve">: </w:t>
            </w:r>
            <w:r w:rsidRPr="00882BFE">
              <w:rPr>
                <w:rFonts w:ascii="Arial Narrow" w:hAnsi="Arial Narrow" w:cs="Times New Roman"/>
                <w:sz w:val="20"/>
                <w:szCs w:val="20"/>
              </w:rPr>
              <w:t>rho = 0.99, p&lt;0.001</w:t>
            </w:r>
          </w:p>
        </w:tc>
        <w:tc>
          <w:tcPr>
            <w:tcW w:w="1984" w:type="dxa"/>
            <w:tcBorders>
              <w:top w:val="single" w:sz="4" w:space="0" w:color="auto"/>
              <w:left w:val="single" w:sz="4" w:space="0" w:color="auto"/>
              <w:bottom w:val="single" w:sz="4" w:space="0" w:color="auto"/>
              <w:right w:val="single" w:sz="4" w:space="0" w:color="auto"/>
            </w:tcBorders>
            <w:hideMark/>
          </w:tcPr>
          <w:p w14:paraId="72771E9F" w14:textId="77777777" w:rsidR="001A0058" w:rsidRDefault="001A0058">
            <w:pPr>
              <w:pStyle w:val="Tabletext1"/>
            </w:pPr>
            <w:r>
              <w:t>NA</w:t>
            </w:r>
          </w:p>
        </w:tc>
        <w:tc>
          <w:tcPr>
            <w:tcW w:w="1002" w:type="dxa"/>
            <w:tcBorders>
              <w:top w:val="single" w:sz="4" w:space="0" w:color="auto"/>
              <w:left w:val="single" w:sz="4" w:space="0" w:color="auto"/>
              <w:bottom w:val="single" w:sz="4" w:space="0" w:color="auto"/>
              <w:right w:val="single" w:sz="4" w:space="0" w:color="auto"/>
            </w:tcBorders>
            <w:hideMark/>
          </w:tcPr>
          <w:p w14:paraId="5EDEAFC6"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200A1C11"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3EE3898C" w14:textId="641DF722" w:rsidR="001A0058" w:rsidRDefault="001A0058">
            <w:pPr>
              <w:pStyle w:val="Tabletext1"/>
            </w:pPr>
            <w:r>
              <w:t>Important</w:t>
            </w:r>
          </w:p>
          <w:p w14:paraId="3A20A3BD" w14:textId="7EA95930" w:rsidR="001A0058" w:rsidRDefault="00D62C83" w:rsidP="00D62C83">
            <w:pPr>
              <w:pStyle w:val="Tabletext1"/>
            </w:pPr>
            <w:r>
              <w:t>(</w:t>
            </w:r>
            <w:r w:rsidR="001A0058">
              <w:t>to know if different AMH assays are comparable)</w:t>
            </w:r>
          </w:p>
        </w:tc>
      </w:tr>
      <w:tr w:rsidR="001A0058" w14:paraId="471EC9DD" w14:textId="77777777" w:rsidTr="00C9311D">
        <w:trPr>
          <w:trHeight w:val="788"/>
        </w:trPr>
        <w:tc>
          <w:tcPr>
            <w:tcW w:w="1413" w:type="dxa"/>
            <w:tcBorders>
              <w:top w:val="single" w:sz="4" w:space="0" w:color="auto"/>
              <w:left w:val="single" w:sz="4" w:space="0" w:color="auto"/>
              <w:bottom w:val="single" w:sz="4" w:space="0" w:color="auto"/>
              <w:right w:val="single" w:sz="4" w:space="0" w:color="auto"/>
            </w:tcBorders>
            <w:hideMark/>
          </w:tcPr>
          <w:p w14:paraId="6F4ECEC3" w14:textId="4E9B93B6" w:rsidR="001A0058" w:rsidRDefault="00D62C83">
            <w:pPr>
              <w:pStyle w:val="Tabletext1"/>
            </w:pPr>
            <w:r>
              <w:t>Concordance between AMH and FSH</w:t>
            </w:r>
          </w:p>
        </w:tc>
        <w:tc>
          <w:tcPr>
            <w:tcW w:w="1784" w:type="dxa"/>
            <w:tcBorders>
              <w:top w:val="single" w:sz="4" w:space="0" w:color="auto"/>
              <w:left w:val="single" w:sz="4" w:space="0" w:color="auto"/>
              <w:bottom w:val="single" w:sz="4" w:space="0" w:color="auto"/>
              <w:right w:val="single" w:sz="4" w:space="0" w:color="auto"/>
            </w:tcBorders>
            <w:hideMark/>
          </w:tcPr>
          <w:p w14:paraId="3D5F0F44" w14:textId="77777777" w:rsidR="001A0058" w:rsidRDefault="001A0058">
            <w:pPr>
              <w:pStyle w:val="Tabletext1"/>
            </w:pPr>
            <w:r>
              <w:t>n=53</w:t>
            </w:r>
          </w:p>
          <w:p w14:paraId="02D98A6F" w14:textId="77777777" w:rsidR="001A0058" w:rsidRDefault="001A0058">
            <w:pPr>
              <w:pStyle w:val="Tabletext1"/>
            </w:pPr>
            <w:r>
              <w:t>k=1</w:t>
            </w:r>
          </w:p>
          <w:p w14:paraId="6EA078EC"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1D4BE336" w14:textId="77777777" w:rsidR="001A0058" w:rsidRDefault="001A0058">
            <w:pPr>
              <w:pStyle w:val="Tabletext1"/>
            </w:pPr>
            <w:r>
              <w:t>0</w:t>
            </w:r>
          </w:p>
          <w:p w14:paraId="03584133"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6BC9E5F1" w14:textId="77777777" w:rsidR="001A0058" w:rsidRDefault="001A0058">
            <w:pPr>
              <w:pStyle w:val="Tabletext1"/>
            </w:pPr>
            <w:r>
              <w:t>NA</w:t>
            </w:r>
          </w:p>
        </w:tc>
        <w:tc>
          <w:tcPr>
            <w:tcW w:w="1308" w:type="dxa"/>
            <w:tcBorders>
              <w:top w:val="single" w:sz="4" w:space="0" w:color="auto"/>
              <w:left w:val="single" w:sz="4" w:space="0" w:color="auto"/>
              <w:bottom w:val="single" w:sz="4" w:space="0" w:color="auto"/>
              <w:right w:val="single" w:sz="4" w:space="0" w:color="auto"/>
            </w:tcBorders>
            <w:hideMark/>
          </w:tcPr>
          <w:p w14:paraId="3B873308" w14:textId="77777777" w:rsidR="001A0058" w:rsidRDefault="001A0058">
            <w:pPr>
              <w:pStyle w:val="Tabletext1"/>
            </w:pPr>
            <w:r>
              <w:t>-1</w:t>
            </w:r>
          </w:p>
          <w:p w14:paraId="4CBD83B6"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1D72B3BD" w14:textId="6C9EAF10" w:rsidR="001A0058" w:rsidRDefault="001A0058">
            <w:pPr>
              <w:pStyle w:val="Tabletext1"/>
            </w:pPr>
            <w:r>
              <w:t>-1</w:t>
            </w:r>
          </w:p>
          <w:p w14:paraId="54660C3C" w14:textId="5C907151" w:rsidR="001A0058" w:rsidRDefault="001A0058">
            <w:pPr>
              <w:pStyle w:val="Tabletext1"/>
            </w:pPr>
            <w:r>
              <w:t>L</w:t>
            </w:r>
            <w:r w:rsidR="00D62C83">
              <w:t xml:space="preserve">ow number of patients included, only one </w:t>
            </w:r>
            <w:r w:rsidR="00D62C83">
              <w:lastRenderedPageBreak/>
              <w:t>study</w:t>
            </w:r>
          </w:p>
        </w:tc>
        <w:tc>
          <w:tcPr>
            <w:tcW w:w="992" w:type="dxa"/>
            <w:tcBorders>
              <w:top w:val="single" w:sz="4" w:space="0" w:color="auto"/>
              <w:left w:val="single" w:sz="4" w:space="0" w:color="auto"/>
              <w:bottom w:val="single" w:sz="4" w:space="0" w:color="auto"/>
              <w:right w:val="single" w:sz="4" w:space="0" w:color="auto"/>
            </w:tcBorders>
            <w:hideMark/>
          </w:tcPr>
          <w:p w14:paraId="69F04AF0" w14:textId="77777777" w:rsidR="001A0058" w:rsidRDefault="001A0058">
            <w:pPr>
              <w:pStyle w:val="Tabletext1"/>
            </w:pPr>
            <w:r>
              <w:lastRenderedPageBreak/>
              <w:t>No</w:t>
            </w:r>
          </w:p>
        </w:tc>
        <w:tc>
          <w:tcPr>
            <w:tcW w:w="2552" w:type="dxa"/>
            <w:tcBorders>
              <w:top w:val="single" w:sz="4" w:space="0" w:color="auto"/>
              <w:left w:val="single" w:sz="4" w:space="0" w:color="auto"/>
              <w:bottom w:val="single" w:sz="4" w:space="0" w:color="auto"/>
              <w:right w:val="single" w:sz="4" w:space="0" w:color="auto"/>
            </w:tcBorders>
          </w:tcPr>
          <w:p w14:paraId="06B412DB" w14:textId="27EEF76D" w:rsidR="001A0058" w:rsidRDefault="001A0058" w:rsidP="00D62C83">
            <w:pPr>
              <w:pStyle w:val="Tabletext1"/>
              <w:rPr>
                <w:rFonts w:cs="Times New Roman"/>
              </w:rPr>
            </w:pPr>
            <w:r>
              <w:rPr>
                <w:rFonts w:cs="Times New Roman"/>
              </w:rPr>
              <w:t>The overall, positive and negative per</w:t>
            </w:r>
            <w:r w:rsidR="00D62C83">
              <w:rPr>
                <w:rFonts w:cs="Times New Roman"/>
              </w:rPr>
              <w:t> </w:t>
            </w:r>
            <w:r>
              <w:rPr>
                <w:rFonts w:cs="Times New Roman"/>
              </w:rPr>
              <w:t>cent agreements between low AMH and high FSH levels were 77.4%,</w:t>
            </w:r>
            <w:r w:rsidR="00D62C83">
              <w:rPr>
                <w:rFonts w:cs="Times New Roman"/>
              </w:rPr>
              <w:t xml:space="preserve"> 57.1% and 67.6%, respectively.</w:t>
            </w:r>
          </w:p>
        </w:tc>
        <w:tc>
          <w:tcPr>
            <w:tcW w:w="1984" w:type="dxa"/>
            <w:tcBorders>
              <w:top w:val="single" w:sz="4" w:space="0" w:color="auto"/>
              <w:left w:val="single" w:sz="4" w:space="0" w:color="auto"/>
              <w:bottom w:val="single" w:sz="4" w:space="0" w:color="auto"/>
              <w:right w:val="single" w:sz="4" w:space="0" w:color="auto"/>
            </w:tcBorders>
            <w:hideMark/>
          </w:tcPr>
          <w:p w14:paraId="454404D8" w14:textId="74C74119" w:rsidR="001A0058" w:rsidRDefault="00D62C83">
            <w:pPr>
              <w:pStyle w:val="Tabletext1"/>
            </w:pPr>
            <w:r>
              <w:t>See results for AMH testing</w:t>
            </w:r>
            <w:r w:rsidR="00AC6E6F">
              <w:t>’ column</w:t>
            </w:r>
          </w:p>
        </w:tc>
        <w:tc>
          <w:tcPr>
            <w:tcW w:w="1002" w:type="dxa"/>
            <w:tcBorders>
              <w:top w:val="single" w:sz="4" w:space="0" w:color="auto"/>
              <w:left w:val="single" w:sz="4" w:space="0" w:color="auto"/>
              <w:bottom w:val="single" w:sz="4" w:space="0" w:color="auto"/>
              <w:right w:val="single" w:sz="4" w:space="0" w:color="auto"/>
            </w:tcBorders>
            <w:hideMark/>
          </w:tcPr>
          <w:p w14:paraId="5D7AAF87"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46ACBECF"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6C20F333" w14:textId="77777777" w:rsidR="001A0058" w:rsidRDefault="001A0058">
            <w:pPr>
              <w:pStyle w:val="Tabletext1"/>
            </w:pPr>
            <w:r>
              <w:t>Not important (unknown how to use this evidence in clinical practice)</w:t>
            </w:r>
          </w:p>
        </w:tc>
      </w:tr>
      <w:tr w:rsidR="001A0058" w14:paraId="42F6AD85" w14:textId="77777777" w:rsidTr="00C9311D">
        <w:trPr>
          <w:trHeight w:val="1820"/>
        </w:trPr>
        <w:tc>
          <w:tcPr>
            <w:tcW w:w="1413" w:type="dxa"/>
            <w:tcBorders>
              <w:top w:val="single" w:sz="4" w:space="0" w:color="auto"/>
              <w:left w:val="single" w:sz="4" w:space="0" w:color="auto"/>
              <w:bottom w:val="single" w:sz="4" w:space="0" w:color="auto"/>
              <w:right w:val="single" w:sz="4" w:space="0" w:color="auto"/>
            </w:tcBorders>
            <w:hideMark/>
          </w:tcPr>
          <w:p w14:paraId="0332F124" w14:textId="77777777" w:rsidR="001A0058" w:rsidRDefault="001A0058">
            <w:pPr>
              <w:pStyle w:val="Tabletext1"/>
            </w:pPr>
            <w:r>
              <w:lastRenderedPageBreak/>
              <w:t>Correlation between AMH and AFC</w:t>
            </w:r>
          </w:p>
        </w:tc>
        <w:tc>
          <w:tcPr>
            <w:tcW w:w="1784" w:type="dxa"/>
            <w:tcBorders>
              <w:top w:val="single" w:sz="4" w:space="0" w:color="auto"/>
              <w:left w:val="single" w:sz="4" w:space="0" w:color="auto"/>
              <w:bottom w:val="single" w:sz="4" w:space="0" w:color="auto"/>
              <w:right w:val="single" w:sz="4" w:space="0" w:color="auto"/>
            </w:tcBorders>
            <w:hideMark/>
          </w:tcPr>
          <w:p w14:paraId="54599AFD" w14:textId="77777777" w:rsidR="001A0058" w:rsidRDefault="001A0058">
            <w:pPr>
              <w:pStyle w:val="Tabletext1"/>
            </w:pPr>
            <w:r>
              <w:t>n=366</w:t>
            </w:r>
          </w:p>
          <w:p w14:paraId="0C9BBC80" w14:textId="77777777" w:rsidR="001A0058" w:rsidRDefault="001A0058">
            <w:pPr>
              <w:pStyle w:val="Tabletext1"/>
            </w:pPr>
            <w:r>
              <w:t>k=5</w:t>
            </w:r>
          </w:p>
          <w:p w14:paraId="4D9B23C9"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53B8B314" w14:textId="77777777" w:rsidR="001A0058" w:rsidRDefault="001A0058">
            <w:pPr>
              <w:pStyle w:val="Tabletext1"/>
            </w:pPr>
            <w:r>
              <w:t>0</w:t>
            </w:r>
          </w:p>
          <w:p w14:paraId="6FBAF708"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72A3D5E7" w14:textId="77777777" w:rsidR="001A0058" w:rsidRDefault="001A0058">
            <w:pPr>
              <w:pStyle w:val="Tabletext1"/>
            </w:pPr>
            <w:r>
              <w:t>0</w:t>
            </w:r>
          </w:p>
          <w:p w14:paraId="1252039E" w14:textId="77777777" w:rsidR="001A0058" w:rsidRDefault="001A0058">
            <w:pPr>
              <w:pStyle w:val="Tabletext1"/>
            </w:pPr>
            <w:r>
              <w:t>All positive moderate to strong correlations</w:t>
            </w:r>
          </w:p>
        </w:tc>
        <w:tc>
          <w:tcPr>
            <w:tcW w:w="1308" w:type="dxa"/>
            <w:tcBorders>
              <w:top w:val="single" w:sz="4" w:space="0" w:color="auto"/>
              <w:left w:val="single" w:sz="4" w:space="0" w:color="auto"/>
              <w:bottom w:val="single" w:sz="4" w:space="0" w:color="auto"/>
              <w:right w:val="single" w:sz="4" w:space="0" w:color="auto"/>
            </w:tcBorders>
            <w:hideMark/>
          </w:tcPr>
          <w:p w14:paraId="6F61923F" w14:textId="77777777" w:rsidR="001A0058" w:rsidRDefault="001A0058">
            <w:pPr>
              <w:pStyle w:val="Tabletext1"/>
            </w:pPr>
            <w:r>
              <w:t>-1</w:t>
            </w:r>
          </w:p>
          <w:p w14:paraId="0D347087"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2FCDA56A" w14:textId="77777777" w:rsidR="001A0058" w:rsidRDefault="001A0058">
            <w:pPr>
              <w:pStyle w:val="Tabletext1"/>
            </w:pPr>
            <w:r>
              <w:t>0</w:t>
            </w:r>
          </w:p>
        </w:tc>
        <w:tc>
          <w:tcPr>
            <w:tcW w:w="992" w:type="dxa"/>
            <w:tcBorders>
              <w:top w:val="single" w:sz="4" w:space="0" w:color="auto"/>
              <w:left w:val="single" w:sz="4" w:space="0" w:color="auto"/>
              <w:bottom w:val="single" w:sz="4" w:space="0" w:color="auto"/>
              <w:right w:val="single" w:sz="4" w:space="0" w:color="auto"/>
            </w:tcBorders>
            <w:hideMark/>
          </w:tcPr>
          <w:p w14:paraId="7F4F9A16" w14:textId="77777777" w:rsidR="001A0058" w:rsidRDefault="001A0058">
            <w:pPr>
              <w:pStyle w:val="Tabletext1"/>
            </w:pPr>
            <w:r>
              <w:t>No</w:t>
            </w:r>
          </w:p>
        </w:tc>
        <w:tc>
          <w:tcPr>
            <w:tcW w:w="2552" w:type="dxa"/>
            <w:tcBorders>
              <w:top w:val="single" w:sz="4" w:space="0" w:color="auto"/>
              <w:left w:val="single" w:sz="4" w:space="0" w:color="auto"/>
              <w:bottom w:val="single" w:sz="4" w:space="0" w:color="auto"/>
              <w:right w:val="single" w:sz="4" w:space="0" w:color="auto"/>
            </w:tcBorders>
            <w:hideMark/>
          </w:tcPr>
          <w:p w14:paraId="2BD7423E" w14:textId="77777777" w:rsidR="001A0058" w:rsidRDefault="001A0058">
            <w:pPr>
              <w:pStyle w:val="Tabletext1"/>
              <w:rPr>
                <w:rFonts w:cs="Times New Roman"/>
              </w:rPr>
            </w:pPr>
            <w:r>
              <w:rPr>
                <w:rFonts w:cs="Times New Roman"/>
              </w:rPr>
              <w:t>Correlation (range):</w:t>
            </w:r>
          </w:p>
          <w:p w14:paraId="7C150EED"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Positive: 0.62 (0.44–0.83), k=4</w:t>
            </w:r>
          </w:p>
          <w:p w14:paraId="4EEA8219"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Pre-cancer: 0.48 (0.44–0.52), k=2</w:t>
            </w:r>
          </w:p>
          <w:p w14:paraId="158DD76B"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Post-cancer: 0.72, k=1</w:t>
            </w:r>
          </w:p>
          <w:p w14:paraId="7D8DF1A5" w14:textId="77777777" w:rsidR="001A0058" w:rsidRDefault="001A0058">
            <w:pPr>
              <w:pStyle w:val="Tabletext1"/>
              <w:rPr>
                <w:rFonts w:cs="Times New Roman"/>
              </w:rPr>
            </w:pPr>
            <w:r>
              <w:rPr>
                <w:rFonts w:cs="Times New Roman"/>
              </w:rPr>
              <w:t>Post-childhood cancer: 0.83, k=1</w:t>
            </w:r>
          </w:p>
          <w:p w14:paraId="497C359C" w14:textId="77777777" w:rsidR="001A0058" w:rsidRDefault="001A0058">
            <w:pPr>
              <w:pStyle w:val="Tabletext1"/>
              <w:rPr>
                <w:rFonts w:cs="Times New Roman"/>
              </w:rPr>
            </w:pPr>
            <w:r>
              <w:rPr>
                <w:rFonts w:cs="Times New Roman"/>
              </w:rPr>
              <w:t>Pre-endo surgery: 0.842 (k=1)</w:t>
            </w:r>
          </w:p>
        </w:tc>
        <w:tc>
          <w:tcPr>
            <w:tcW w:w="1984" w:type="dxa"/>
            <w:tcBorders>
              <w:top w:val="single" w:sz="4" w:space="0" w:color="auto"/>
              <w:left w:val="single" w:sz="4" w:space="0" w:color="auto"/>
              <w:bottom w:val="single" w:sz="4" w:space="0" w:color="auto"/>
              <w:right w:val="single" w:sz="4" w:space="0" w:color="auto"/>
            </w:tcBorders>
            <w:hideMark/>
          </w:tcPr>
          <w:p w14:paraId="3D218673" w14:textId="7EDE37A8" w:rsidR="001A0058" w:rsidRDefault="00D62C83">
            <w:pPr>
              <w:pStyle w:val="Tabletext1"/>
            </w:pPr>
            <w:r>
              <w:t xml:space="preserve">See </w:t>
            </w:r>
            <w:r w:rsidR="00CE54B7">
              <w:t>results for AMH testing’ column</w:t>
            </w:r>
          </w:p>
        </w:tc>
        <w:tc>
          <w:tcPr>
            <w:tcW w:w="1002" w:type="dxa"/>
            <w:tcBorders>
              <w:top w:val="single" w:sz="4" w:space="0" w:color="auto"/>
              <w:left w:val="single" w:sz="4" w:space="0" w:color="auto"/>
              <w:bottom w:val="single" w:sz="4" w:space="0" w:color="auto"/>
              <w:right w:val="single" w:sz="4" w:space="0" w:color="auto"/>
            </w:tcBorders>
            <w:hideMark/>
          </w:tcPr>
          <w:p w14:paraId="4A2FCF61"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2733A1C5"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02D1BAC4" w14:textId="77777777" w:rsidR="001A0058" w:rsidRDefault="001A0058">
            <w:pPr>
              <w:pStyle w:val="Tabletext1"/>
            </w:pPr>
            <w:r>
              <w:t>Not important (unknown how to use this evidence in clinical practice)</w:t>
            </w:r>
          </w:p>
        </w:tc>
      </w:tr>
      <w:tr w:rsidR="001A0058" w14:paraId="76236CBC" w14:textId="77777777" w:rsidTr="00C9311D">
        <w:trPr>
          <w:trHeight w:val="2423"/>
        </w:trPr>
        <w:tc>
          <w:tcPr>
            <w:tcW w:w="1413" w:type="dxa"/>
            <w:tcBorders>
              <w:top w:val="single" w:sz="4" w:space="0" w:color="auto"/>
              <w:left w:val="single" w:sz="4" w:space="0" w:color="auto"/>
              <w:bottom w:val="single" w:sz="4" w:space="0" w:color="auto"/>
              <w:right w:val="single" w:sz="4" w:space="0" w:color="auto"/>
            </w:tcBorders>
            <w:hideMark/>
          </w:tcPr>
          <w:p w14:paraId="0C6BA9A1" w14:textId="77777777" w:rsidR="001A0058" w:rsidRDefault="001A0058">
            <w:pPr>
              <w:pStyle w:val="Tabletext1"/>
            </w:pPr>
            <w:r>
              <w:t>Correlation between AMH and FSH</w:t>
            </w:r>
          </w:p>
        </w:tc>
        <w:tc>
          <w:tcPr>
            <w:tcW w:w="1784" w:type="dxa"/>
            <w:tcBorders>
              <w:top w:val="single" w:sz="4" w:space="0" w:color="auto"/>
              <w:left w:val="single" w:sz="4" w:space="0" w:color="auto"/>
              <w:bottom w:val="single" w:sz="4" w:space="0" w:color="auto"/>
              <w:right w:val="single" w:sz="4" w:space="0" w:color="auto"/>
            </w:tcBorders>
            <w:hideMark/>
          </w:tcPr>
          <w:p w14:paraId="19573598" w14:textId="77777777" w:rsidR="001A0058" w:rsidRDefault="001A0058">
            <w:pPr>
              <w:pStyle w:val="Tabletext1"/>
            </w:pPr>
            <w:r>
              <w:t>n=462</w:t>
            </w:r>
          </w:p>
          <w:p w14:paraId="41AFD339" w14:textId="77777777" w:rsidR="001A0058" w:rsidRDefault="001A0058">
            <w:pPr>
              <w:pStyle w:val="Tabletext1"/>
            </w:pPr>
            <w:r>
              <w:t>k=7</w:t>
            </w:r>
          </w:p>
          <w:p w14:paraId="114704BB"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6C8D374C" w14:textId="77777777" w:rsidR="001A0058" w:rsidRDefault="001A0058">
            <w:pPr>
              <w:pStyle w:val="Tabletext1"/>
            </w:pPr>
            <w:r>
              <w:t>0</w:t>
            </w:r>
          </w:p>
          <w:p w14:paraId="008F55C0"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15D95309" w14:textId="77777777" w:rsidR="001A0058" w:rsidRDefault="001A0058">
            <w:pPr>
              <w:pStyle w:val="Tabletext1"/>
            </w:pPr>
            <w:r>
              <w:t>-1</w:t>
            </w:r>
          </w:p>
          <w:p w14:paraId="4D534128" w14:textId="77777777" w:rsidR="001A0058" w:rsidRDefault="001A0058">
            <w:pPr>
              <w:pStyle w:val="Tabletext1"/>
            </w:pPr>
            <w:r>
              <w:t>Inconsistent results between studies</w:t>
            </w:r>
          </w:p>
        </w:tc>
        <w:tc>
          <w:tcPr>
            <w:tcW w:w="1308" w:type="dxa"/>
            <w:tcBorders>
              <w:top w:val="single" w:sz="4" w:space="0" w:color="auto"/>
              <w:left w:val="single" w:sz="4" w:space="0" w:color="auto"/>
              <w:bottom w:val="single" w:sz="4" w:space="0" w:color="auto"/>
              <w:right w:val="single" w:sz="4" w:space="0" w:color="auto"/>
            </w:tcBorders>
            <w:hideMark/>
          </w:tcPr>
          <w:p w14:paraId="0DF78C6A" w14:textId="77777777" w:rsidR="001A0058" w:rsidRDefault="001A0058">
            <w:pPr>
              <w:pStyle w:val="Tabletext1"/>
            </w:pPr>
            <w:r>
              <w:t>-1</w:t>
            </w:r>
          </w:p>
          <w:p w14:paraId="6CD27773"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613D78C7" w14:textId="77777777" w:rsidR="001A0058" w:rsidRDefault="001A0058">
            <w:pPr>
              <w:pStyle w:val="Tabletext1"/>
            </w:pPr>
            <w:r>
              <w:t>-1</w:t>
            </w:r>
          </w:p>
          <w:p w14:paraId="0E4F49D4" w14:textId="77777777" w:rsidR="001A0058" w:rsidRDefault="001A0058">
            <w:pPr>
              <w:pStyle w:val="Tabletext1"/>
            </w:pPr>
            <w:r>
              <w:t>Non-significant and inconsistent results</w:t>
            </w:r>
          </w:p>
        </w:tc>
        <w:tc>
          <w:tcPr>
            <w:tcW w:w="992" w:type="dxa"/>
            <w:tcBorders>
              <w:top w:val="single" w:sz="4" w:space="0" w:color="auto"/>
              <w:left w:val="single" w:sz="4" w:space="0" w:color="auto"/>
              <w:bottom w:val="single" w:sz="4" w:space="0" w:color="auto"/>
              <w:right w:val="single" w:sz="4" w:space="0" w:color="auto"/>
            </w:tcBorders>
            <w:hideMark/>
          </w:tcPr>
          <w:p w14:paraId="12D01433" w14:textId="77777777" w:rsidR="001A0058" w:rsidRDefault="001A0058">
            <w:pPr>
              <w:pStyle w:val="Tabletext1"/>
            </w:pPr>
            <w:r>
              <w:t>No</w:t>
            </w:r>
          </w:p>
        </w:tc>
        <w:tc>
          <w:tcPr>
            <w:tcW w:w="2552" w:type="dxa"/>
            <w:tcBorders>
              <w:top w:val="single" w:sz="4" w:space="0" w:color="auto"/>
              <w:left w:val="single" w:sz="4" w:space="0" w:color="auto"/>
              <w:bottom w:val="single" w:sz="4" w:space="0" w:color="auto"/>
              <w:right w:val="single" w:sz="4" w:space="0" w:color="auto"/>
            </w:tcBorders>
            <w:hideMark/>
          </w:tcPr>
          <w:p w14:paraId="53A39542" w14:textId="53259239" w:rsidR="001A0058" w:rsidRDefault="00C9311D">
            <w:pPr>
              <w:spacing w:before="40" w:after="40" w:line="240" w:lineRule="auto"/>
              <w:rPr>
                <w:rFonts w:ascii="Arial Narrow" w:hAnsi="Arial Narrow" w:cs="Times New Roman"/>
                <w:sz w:val="20"/>
                <w:szCs w:val="20"/>
              </w:rPr>
            </w:pPr>
            <w:r>
              <w:rPr>
                <w:rFonts w:ascii="Arial Narrow" w:hAnsi="Arial Narrow" w:cs="Times New Roman"/>
                <w:sz w:val="20"/>
                <w:szCs w:val="20"/>
              </w:rPr>
              <w:t>Negative: -</w:t>
            </w:r>
            <w:r w:rsidR="001E7102">
              <w:rPr>
                <w:rFonts w:ascii="Arial Narrow" w:hAnsi="Arial Narrow" w:cs="Times New Roman"/>
                <w:sz w:val="20"/>
                <w:szCs w:val="20"/>
              </w:rPr>
              <w:t>0.50 (-0.52, -</w:t>
            </w:r>
            <w:r w:rsidR="001A0058">
              <w:rPr>
                <w:rFonts w:ascii="Arial Narrow" w:hAnsi="Arial Narrow" w:cs="Times New Roman"/>
                <w:sz w:val="20"/>
                <w:szCs w:val="20"/>
              </w:rPr>
              <w:t>0.47; k=2), NS (k=3)</w:t>
            </w:r>
          </w:p>
          <w:p w14:paraId="45A1EFAD" w14:textId="7B4C157C" w:rsidR="001A0058" w:rsidRDefault="00C9311D">
            <w:pPr>
              <w:spacing w:before="40" w:after="40" w:line="240" w:lineRule="auto"/>
              <w:rPr>
                <w:rFonts w:ascii="Arial Narrow" w:hAnsi="Arial Narrow" w:cs="Times New Roman"/>
                <w:sz w:val="20"/>
                <w:szCs w:val="20"/>
              </w:rPr>
            </w:pPr>
            <w:r>
              <w:rPr>
                <w:rFonts w:ascii="Arial Narrow" w:hAnsi="Arial Narrow" w:cs="Times New Roman"/>
                <w:sz w:val="20"/>
                <w:szCs w:val="20"/>
              </w:rPr>
              <w:t>Pre-cancer: -</w:t>
            </w:r>
            <w:r w:rsidR="001A0058">
              <w:rPr>
                <w:rFonts w:ascii="Arial Narrow" w:hAnsi="Arial Narrow" w:cs="Times New Roman"/>
                <w:sz w:val="20"/>
                <w:szCs w:val="20"/>
              </w:rPr>
              <w:t>0.47, k=1, NS, k=2</w:t>
            </w:r>
          </w:p>
          <w:p w14:paraId="70748C7F"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Post-cancer: NS, k=1</w:t>
            </w:r>
          </w:p>
          <w:p w14:paraId="423EDD5F" w14:textId="49053CED" w:rsidR="001A0058" w:rsidRDefault="00C9311D">
            <w:pPr>
              <w:pStyle w:val="Tabletext1"/>
              <w:rPr>
                <w:rFonts w:cs="Times New Roman"/>
              </w:rPr>
            </w:pPr>
            <w:r>
              <w:rPr>
                <w:rFonts w:cs="Times New Roman"/>
              </w:rPr>
              <w:t>Post-childhood cancer: -</w:t>
            </w:r>
            <w:r w:rsidR="001A0058">
              <w:rPr>
                <w:rFonts w:cs="Times New Roman"/>
              </w:rPr>
              <w:t>0.52, k=1</w:t>
            </w:r>
          </w:p>
          <w:p w14:paraId="00BF5B75" w14:textId="482E3262"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Serum AMH v</w:t>
            </w:r>
            <w:r w:rsidR="00C9311D">
              <w:rPr>
                <w:rFonts w:ascii="Arial Narrow" w:hAnsi="Arial Narrow" w:cs="Times New Roman"/>
                <w:sz w:val="20"/>
                <w:szCs w:val="20"/>
              </w:rPr>
              <w:t>ersu</w:t>
            </w:r>
            <w:r>
              <w:rPr>
                <w:rFonts w:ascii="Arial Narrow" w:hAnsi="Arial Narrow" w:cs="Times New Roman"/>
                <w:sz w:val="20"/>
                <w:szCs w:val="20"/>
              </w:rPr>
              <w:t>s serum FSH levels: NS, k=3</w:t>
            </w:r>
          </w:p>
          <w:p w14:paraId="48245818" w14:textId="6F987E32" w:rsidR="001A0058" w:rsidRDefault="00C9311D">
            <w:pPr>
              <w:pStyle w:val="Tabletext1"/>
              <w:rPr>
                <w:rFonts w:cs="Times New Roman"/>
              </w:rPr>
            </w:pPr>
            <w:r>
              <w:rPr>
                <w:rFonts w:cs="Times New Roman"/>
              </w:rPr>
              <w:t>Detectable AMH versus serum FHS: -</w:t>
            </w:r>
            <w:r w:rsidR="001A0058">
              <w:rPr>
                <w:rFonts w:cs="Times New Roman"/>
              </w:rPr>
              <w:t>0.55, k=1</w:t>
            </w:r>
          </w:p>
        </w:tc>
        <w:tc>
          <w:tcPr>
            <w:tcW w:w="1984" w:type="dxa"/>
            <w:tcBorders>
              <w:top w:val="single" w:sz="4" w:space="0" w:color="auto"/>
              <w:left w:val="single" w:sz="4" w:space="0" w:color="auto"/>
              <w:bottom w:val="single" w:sz="4" w:space="0" w:color="auto"/>
              <w:right w:val="single" w:sz="4" w:space="0" w:color="auto"/>
            </w:tcBorders>
            <w:hideMark/>
          </w:tcPr>
          <w:p w14:paraId="35545A3A" w14:textId="2E0A13C8" w:rsidR="001A0058" w:rsidRDefault="00D62C83">
            <w:pPr>
              <w:pStyle w:val="Tabletext1"/>
            </w:pPr>
            <w:r>
              <w:t xml:space="preserve">See </w:t>
            </w:r>
            <w:r w:rsidR="00CE54B7">
              <w:t>results for AMH testing’ column</w:t>
            </w:r>
          </w:p>
        </w:tc>
        <w:tc>
          <w:tcPr>
            <w:tcW w:w="1002" w:type="dxa"/>
            <w:tcBorders>
              <w:top w:val="single" w:sz="4" w:space="0" w:color="auto"/>
              <w:left w:val="single" w:sz="4" w:space="0" w:color="auto"/>
              <w:bottom w:val="single" w:sz="4" w:space="0" w:color="auto"/>
              <w:right w:val="single" w:sz="4" w:space="0" w:color="auto"/>
            </w:tcBorders>
            <w:hideMark/>
          </w:tcPr>
          <w:p w14:paraId="00162948"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6D3A6A33"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75090576" w14:textId="77777777" w:rsidR="001A0058" w:rsidRDefault="001A0058">
            <w:pPr>
              <w:pStyle w:val="Tabletext1"/>
            </w:pPr>
            <w:r>
              <w:t>Not important (unknown how to use this evidence in clinical practice)</w:t>
            </w:r>
          </w:p>
        </w:tc>
      </w:tr>
      <w:tr w:rsidR="001A0058" w14:paraId="5A3B3620" w14:textId="77777777" w:rsidTr="00C9311D">
        <w:trPr>
          <w:trHeight w:val="1904"/>
        </w:trPr>
        <w:tc>
          <w:tcPr>
            <w:tcW w:w="1413" w:type="dxa"/>
            <w:tcBorders>
              <w:top w:val="single" w:sz="4" w:space="0" w:color="auto"/>
              <w:left w:val="single" w:sz="4" w:space="0" w:color="auto"/>
              <w:bottom w:val="single" w:sz="4" w:space="0" w:color="auto"/>
              <w:right w:val="single" w:sz="4" w:space="0" w:color="auto"/>
            </w:tcBorders>
            <w:hideMark/>
          </w:tcPr>
          <w:p w14:paraId="480F65A7" w14:textId="77777777" w:rsidR="001A0058" w:rsidRDefault="001A0058">
            <w:pPr>
              <w:pStyle w:val="Tabletext1"/>
            </w:pPr>
            <w:r>
              <w:t>Correlation between AMH and E2</w:t>
            </w:r>
          </w:p>
        </w:tc>
        <w:tc>
          <w:tcPr>
            <w:tcW w:w="1784" w:type="dxa"/>
            <w:tcBorders>
              <w:top w:val="single" w:sz="4" w:space="0" w:color="auto"/>
              <w:left w:val="single" w:sz="4" w:space="0" w:color="auto"/>
              <w:bottom w:val="single" w:sz="4" w:space="0" w:color="auto"/>
              <w:right w:val="single" w:sz="4" w:space="0" w:color="auto"/>
            </w:tcBorders>
            <w:hideMark/>
          </w:tcPr>
          <w:p w14:paraId="11BB8D2A" w14:textId="77777777" w:rsidR="001A0058" w:rsidRDefault="001A0058">
            <w:pPr>
              <w:pStyle w:val="Tabletext1"/>
            </w:pPr>
            <w:r>
              <w:t>n=331</w:t>
            </w:r>
          </w:p>
          <w:p w14:paraId="63234166" w14:textId="77777777" w:rsidR="001A0058" w:rsidRDefault="001A0058">
            <w:pPr>
              <w:pStyle w:val="Tabletext1"/>
            </w:pPr>
            <w:r>
              <w:t>k=4</w:t>
            </w:r>
          </w:p>
          <w:p w14:paraId="5A90C849"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7F607760" w14:textId="77777777" w:rsidR="001A0058" w:rsidRDefault="001A0058">
            <w:pPr>
              <w:pStyle w:val="Tabletext1"/>
            </w:pPr>
            <w:r>
              <w:t>0</w:t>
            </w:r>
          </w:p>
          <w:p w14:paraId="32D09C6E"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080DF9DC" w14:textId="77777777" w:rsidR="001A0058" w:rsidRDefault="001A0058">
            <w:pPr>
              <w:pStyle w:val="Tabletext1"/>
            </w:pPr>
            <w:r>
              <w:t>-1</w:t>
            </w:r>
          </w:p>
          <w:p w14:paraId="1B3734DB" w14:textId="77777777" w:rsidR="001A0058" w:rsidRDefault="001A0058">
            <w:pPr>
              <w:pStyle w:val="Tabletext1"/>
            </w:pPr>
            <w:r>
              <w:t>Inconsistent results between studies</w:t>
            </w:r>
          </w:p>
        </w:tc>
        <w:tc>
          <w:tcPr>
            <w:tcW w:w="1308" w:type="dxa"/>
            <w:tcBorders>
              <w:top w:val="single" w:sz="4" w:space="0" w:color="auto"/>
              <w:left w:val="single" w:sz="4" w:space="0" w:color="auto"/>
              <w:bottom w:val="single" w:sz="4" w:space="0" w:color="auto"/>
              <w:right w:val="single" w:sz="4" w:space="0" w:color="auto"/>
            </w:tcBorders>
            <w:hideMark/>
          </w:tcPr>
          <w:p w14:paraId="2FF3776C" w14:textId="77777777" w:rsidR="001A0058" w:rsidRDefault="001A0058">
            <w:pPr>
              <w:pStyle w:val="Tabletext1"/>
            </w:pPr>
            <w:r>
              <w:t>-1</w:t>
            </w:r>
          </w:p>
          <w:p w14:paraId="2A39371D"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700414F2" w14:textId="1EAEDF3E" w:rsidR="001A0058" w:rsidRDefault="001A0058">
            <w:pPr>
              <w:pStyle w:val="Tabletext1"/>
            </w:pPr>
            <w:r>
              <w:t>-1</w:t>
            </w:r>
          </w:p>
          <w:p w14:paraId="67A477B4" w14:textId="77777777" w:rsidR="001A0058" w:rsidRDefault="001A0058">
            <w:pPr>
              <w:pStyle w:val="Tabletext1"/>
            </w:pPr>
            <w:r>
              <w:t>non-significant and inconsistent results</w:t>
            </w:r>
          </w:p>
        </w:tc>
        <w:tc>
          <w:tcPr>
            <w:tcW w:w="992" w:type="dxa"/>
            <w:tcBorders>
              <w:top w:val="single" w:sz="4" w:space="0" w:color="auto"/>
              <w:left w:val="single" w:sz="4" w:space="0" w:color="auto"/>
              <w:bottom w:val="single" w:sz="4" w:space="0" w:color="auto"/>
              <w:right w:val="single" w:sz="4" w:space="0" w:color="auto"/>
            </w:tcBorders>
            <w:hideMark/>
          </w:tcPr>
          <w:p w14:paraId="2B9134E5" w14:textId="77777777" w:rsidR="001A0058" w:rsidRDefault="001A0058">
            <w:pPr>
              <w:pStyle w:val="Tabletext1"/>
            </w:pPr>
            <w:r>
              <w:t>No</w:t>
            </w:r>
          </w:p>
        </w:tc>
        <w:tc>
          <w:tcPr>
            <w:tcW w:w="2552" w:type="dxa"/>
            <w:tcBorders>
              <w:top w:val="single" w:sz="4" w:space="0" w:color="auto"/>
              <w:left w:val="single" w:sz="4" w:space="0" w:color="auto"/>
              <w:bottom w:val="single" w:sz="4" w:space="0" w:color="auto"/>
              <w:right w:val="single" w:sz="4" w:space="0" w:color="auto"/>
            </w:tcBorders>
            <w:hideMark/>
          </w:tcPr>
          <w:p w14:paraId="7CA6FC5F"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Positive: 0.30 (0.15–0.44), k=2</w:t>
            </w:r>
          </w:p>
          <w:p w14:paraId="2D2CB7C8" w14:textId="732A437F" w:rsidR="001A0058" w:rsidRDefault="00D62C83">
            <w:pPr>
              <w:spacing w:before="40" w:after="40" w:line="240" w:lineRule="auto"/>
              <w:rPr>
                <w:rFonts w:ascii="Arial Narrow" w:hAnsi="Arial Narrow" w:cs="Times New Roman"/>
                <w:sz w:val="20"/>
                <w:szCs w:val="20"/>
              </w:rPr>
            </w:pPr>
            <w:r>
              <w:rPr>
                <w:rFonts w:ascii="Arial Narrow" w:hAnsi="Arial Narrow" w:cs="Times New Roman"/>
                <w:sz w:val="20"/>
                <w:szCs w:val="20"/>
              </w:rPr>
              <w:t>Negative: -</w:t>
            </w:r>
            <w:r w:rsidR="001A0058">
              <w:rPr>
                <w:rFonts w:ascii="Arial Narrow" w:hAnsi="Arial Narrow" w:cs="Times New Roman"/>
                <w:sz w:val="20"/>
                <w:szCs w:val="20"/>
              </w:rPr>
              <w:t>0.64, k=1</w:t>
            </w:r>
          </w:p>
          <w:p w14:paraId="27934375" w14:textId="50D4FDE8" w:rsidR="001A0058" w:rsidRDefault="001A0058">
            <w:pPr>
              <w:pStyle w:val="Tabletext1"/>
              <w:rPr>
                <w:rFonts w:cs="Times New Roman"/>
              </w:rPr>
            </w:pPr>
            <w:r>
              <w:rPr>
                <w:rFonts w:cs="Times New Roman"/>
              </w:rPr>
              <w:t xml:space="preserve">Pre-cancer </w:t>
            </w:r>
            <w:r w:rsidR="00D62C83">
              <w:rPr>
                <w:rFonts w:cs="Times New Roman"/>
              </w:rPr>
              <w:t>-</w:t>
            </w:r>
            <w:r>
              <w:rPr>
                <w:rFonts w:cs="Times New Roman"/>
              </w:rPr>
              <w:t>0.64 and 0.15, k=2</w:t>
            </w:r>
          </w:p>
          <w:p w14:paraId="578FA423"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Positive post-cancer: 0.44, k=1</w:t>
            </w:r>
          </w:p>
          <w:p w14:paraId="3C98BB3E" w14:textId="77777777" w:rsidR="001A0058" w:rsidRDefault="001A0058">
            <w:pPr>
              <w:pStyle w:val="Tabletext1"/>
              <w:rPr>
                <w:rFonts w:cs="Times New Roman"/>
              </w:rPr>
            </w:pPr>
            <w:r>
              <w:rPr>
                <w:rFonts w:cs="Times New Roman"/>
              </w:rPr>
              <w:t>Pre- and post-cancer: NS (k=1)</w:t>
            </w:r>
          </w:p>
        </w:tc>
        <w:tc>
          <w:tcPr>
            <w:tcW w:w="1984" w:type="dxa"/>
            <w:tcBorders>
              <w:top w:val="single" w:sz="4" w:space="0" w:color="auto"/>
              <w:left w:val="single" w:sz="4" w:space="0" w:color="auto"/>
              <w:bottom w:val="single" w:sz="4" w:space="0" w:color="auto"/>
              <w:right w:val="single" w:sz="4" w:space="0" w:color="auto"/>
            </w:tcBorders>
            <w:hideMark/>
          </w:tcPr>
          <w:p w14:paraId="4A53FBE9" w14:textId="13354394" w:rsidR="001A0058" w:rsidRDefault="00D62C83">
            <w:pPr>
              <w:pStyle w:val="Tabletext1"/>
            </w:pPr>
            <w:r>
              <w:t xml:space="preserve">See </w:t>
            </w:r>
            <w:r w:rsidR="00CE54B7">
              <w:t>results for AMH testing’ column</w:t>
            </w:r>
          </w:p>
        </w:tc>
        <w:tc>
          <w:tcPr>
            <w:tcW w:w="1002" w:type="dxa"/>
            <w:tcBorders>
              <w:top w:val="single" w:sz="4" w:space="0" w:color="auto"/>
              <w:left w:val="single" w:sz="4" w:space="0" w:color="auto"/>
              <w:bottom w:val="single" w:sz="4" w:space="0" w:color="auto"/>
              <w:right w:val="single" w:sz="4" w:space="0" w:color="auto"/>
            </w:tcBorders>
            <w:hideMark/>
          </w:tcPr>
          <w:p w14:paraId="12F3F0F0"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336EF21E"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424B34F3" w14:textId="77777777" w:rsidR="001A0058" w:rsidRDefault="001A0058">
            <w:pPr>
              <w:pStyle w:val="Tabletext1"/>
            </w:pPr>
            <w:r>
              <w:t>Not important (unknown how to use this evidence in clinical practice)</w:t>
            </w:r>
          </w:p>
        </w:tc>
      </w:tr>
      <w:tr w:rsidR="001A0058" w14:paraId="2F2D6C97" w14:textId="77777777" w:rsidTr="00C9311D">
        <w:trPr>
          <w:trHeight w:val="788"/>
        </w:trPr>
        <w:tc>
          <w:tcPr>
            <w:tcW w:w="1413" w:type="dxa"/>
            <w:tcBorders>
              <w:top w:val="single" w:sz="4" w:space="0" w:color="auto"/>
              <w:left w:val="single" w:sz="4" w:space="0" w:color="auto"/>
              <w:bottom w:val="single" w:sz="4" w:space="0" w:color="auto"/>
              <w:right w:val="single" w:sz="4" w:space="0" w:color="auto"/>
            </w:tcBorders>
            <w:hideMark/>
          </w:tcPr>
          <w:p w14:paraId="2C986063" w14:textId="23BFC886" w:rsidR="001A0058" w:rsidRDefault="00882BFE">
            <w:pPr>
              <w:pStyle w:val="Tabletext1"/>
            </w:pPr>
            <w:r>
              <w:lastRenderedPageBreak/>
              <w:t>Correlation between AMH and i</w:t>
            </w:r>
            <w:r w:rsidR="001A0058">
              <w:t>nhibin B</w:t>
            </w:r>
          </w:p>
        </w:tc>
        <w:tc>
          <w:tcPr>
            <w:tcW w:w="1784" w:type="dxa"/>
            <w:tcBorders>
              <w:top w:val="single" w:sz="4" w:space="0" w:color="auto"/>
              <w:left w:val="single" w:sz="4" w:space="0" w:color="auto"/>
              <w:bottom w:val="single" w:sz="4" w:space="0" w:color="auto"/>
              <w:right w:val="single" w:sz="4" w:space="0" w:color="auto"/>
            </w:tcBorders>
            <w:hideMark/>
          </w:tcPr>
          <w:p w14:paraId="6CB68BFB" w14:textId="77777777" w:rsidR="001A0058" w:rsidRDefault="001A0058">
            <w:pPr>
              <w:pStyle w:val="Tabletext1"/>
            </w:pPr>
            <w:r>
              <w:t>n=353</w:t>
            </w:r>
          </w:p>
          <w:p w14:paraId="32250A1B" w14:textId="77777777" w:rsidR="001A0058" w:rsidRDefault="001A0058">
            <w:pPr>
              <w:pStyle w:val="Tabletext1"/>
            </w:pPr>
            <w:r>
              <w:t>k=6</w:t>
            </w:r>
          </w:p>
          <w:p w14:paraId="52017344" w14:textId="77777777" w:rsidR="001A0058" w:rsidRDefault="001A0058">
            <w:pPr>
              <w:pStyle w:val="Tabletext1"/>
            </w:pPr>
            <w:r>
              <w:t>Case series</w:t>
            </w:r>
          </w:p>
        </w:tc>
        <w:tc>
          <w:tcPr>
            <w:tcW w:w="909" w:type="dxa"/>
            <w:tcBorders>
              <w:top w:val="single" w:sz="4" w:space="0" w:color="auto"/>
              <w:left w:val="single" w:sz="4" w:space="0" w:color="auto"/>
              <w:bottom w:val="single" w:sz="4" w:space="0" w:color="auto"/>
              <w:right w:val="single" w:sz="4" w:space="0" w:color="auto"/>
            </w:tcBorders>
            <w:hideMark/>
          </w:tcPr>
          <w:p w14:paraId="1CAFE028" w14:textId="77777777" w:rsidR="001A0058" w:rsidRDefault="001A0058">
            <w:pPr>
              <w:pStyle w:val="Tabletext1"/>
            </w:pPr>
            <w:r>
              <w:t>0</w:t>
            </w:r>
          </w:p>
          <w:p w14:paraId="223719F4"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36EB5AB1" w14:textId="77777777" w:rsidR="001A0058" w:rsidRDefault="001A0058">
            <w:pPr>
              <w:pStyle w:val="Tabletext1"/>
            </w:pPr>
            <w:r>
              <w:t>0</w:t>
            </w:r>
          </w:p>
          <w:p w14:paraId="7E0302DA" w14:textId="77777777" w:rsidR="001A0058" w:rsidRDefault="001A0058">
            <w:pPr>
              <w:pStyle w:val="Tabletext1"/>
            </w:pPr>
            <w:r>
              <w:t>All positive moderate to strong correlations</w:t>
            </w:r>
          </w:p>
        </w:tc>
        <w:tc>
          <w:tcPr>
            <w:tcW w:w="1308" w:type="dxa"/>
            <w:tcBorders>
              <w:top w:val="single" w:sz="4" w:space="0" w:color="auto"/>
              <w:left w:val="single" w:sz="4" w:space="0" w:color="auto"/>
              <w:bottom w:val="single" w:sz="4" w:space="0" w:color="auto"/>
              <w:right w:val="single" w:sz="4" w:space="0" w:color="auto"/>
            </w:tcBorders>
            <w:hideMark/>
          </w:tcPr>
          <w:p w14:paraId="54915B22" w14:textId="77777777" w:rsidR="001A0058" w:rsidRDefault="001A0058">
            <w:pPr>
              <w:pStyle w:val="Tabletext1"/>
            </w:pPr>
            <w:r>
              <w:t>-1</w:t>
            </w:r>
          </w:p>
          <w:p w14:paraId="6761FD98"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354A8CAE" w14:textId="77777777" w:rsidR="001A0058" w:rsidRDefault="001A0058">
            <w:pPr>
              <w:pStyle w:val="Tabletext1"/>
            </w:pPr>
            <w:r>
              <w:t>0</w:t>
            </w:r>
          </w:p>
        </w:tc>
        <w:tc>
          <w:tcPr>
            <w:tcW w:w="992" w:type="dxa"/>
            <w:tcBorders>
              <w:top w:val="single" w:sz="4" w:space="0" w:color="auto"/>
              <w:left w:val="single" w:sz="4" w:space="0" w:color="auto"/>
              <w:bottom w:val="single" w:sz="4" w:space="0" w:color="auto"/>
              <w:right w:val="single" w:sz="4" w:space="0" w:color="auto"/>
            </w:tcBorders>
            <w:hideMark/>
          </w:tcPr>
          <w:p w14:paraId="0803CE99" w14:textId="77777777" w:rsidR="001A0058" w:rsidRDefault="001A0058">
            <w:pPr>
              <w:pStyle w:val="Tabletext1"/>
            </w:pPr>
            <w:r>
              <w:t>No</w:t>
            </w:r>
          </w:p>
        </w:tc>
        <w:tc>
          <w:tcPr>
            <w:tcW w:w="2552" w:type="dxa"/>
            <w:tcBorders>
              <w:top w:val="single" w:sz="4" w:space="0" w:color="auto"/>
              <w:left w:val="single" w:sz="4" w:space="0" w:color="auto"/>
              <w:bottom w:val="single" w:sz="4" w:space="0" w:color="auto"/>
              <w:right w:val="single" w:sz="4" w:space="0" w:color="auto"/>
            </w:tcBorders>
            <w:hideMark/>
          </w:tcPr>
          <w:p w14:paraId="15197FD4"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Positive: 0.72 (0.44–0.87), k=5</w:t>
            </w:r>
          </w:p>
          <w:p w14:paraId="0E499CFE"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Pre-cancer: 0.32 (0.22–0.42), k=2</w:t>
            </w:r>
          </w:p>
          <w:p w14:paraId="39187FDC" w14:textId="77777777" w:rsidR="001A0058" w:rsidRDefault="001A0058">
            <w:pPr>
              <w:spacing w:before="40" w:after="40" w:line="240" w:lineRule="auto"/>
              <w:rPr>
                <w:rFonts w:ascii="Arial Narrow" w:hAnsi="Arial Narrow" w:cs="Times New Roman"/>
                <w:sz w:val="20"/>
                <w:szCs w:val="20"/>
              </w:rPr>
            </w:pPr>
            <w:r>
              <w:rPr>
                <w:rFonts w:ascii="Arial Narrow" w:hAnsi="Arial Narrow" w:cs="Times New Roman"/>
                <w:sz w:val="20"/>
                <w:szCs w:val="20"/>
              </w:rPr>
              <w:t>Post-cancer(4.8 years): 0.52, k=1</w:t>
            </w:r>
          </w:p>
          <w:p w14:paraId="7BEDEE9D" w14:textId="080608B8" w:rsidR="001A0058" w:rsidRDefault="001A0058">
            <w:pPr>
              <w:pStyle w:val="Tabletext1"/>
              <w:rPr>
                <w:rFonts w:cs="Times New Roman"/>
              </w:rPr>
            </w:pPr>
            <w:r>
              <w:rPr>
                <w:rFonts w:cs="Times New Roman"/>
              </w:rPr>
              <w:t xml:space="preserve">Post-childhood </w:t>
            </w:r>
            <w:r w:rsidR="00D62C83">
              <w:rPr>
                <w:rFonts w:cs="Times New Roman"/>
              </w:rPr>
              <w:t xml:space="preserve">cancer: </w:t>
            </w:r>
            <w:r>
              <w:rPr>
                <w:rFonts w:cs="Times New Roman"/>
              </w:rPr>
              <w:t>0.44 (0.43–0.44), k=2</w:t>
            </w:r>
          </w:p>
          <w:p w14:paraId="71E7F91D" w14:textId="77777777" w:rsidR="001A0058" w:rsidRDefault="001A0058">
            <w:pPr>
              <w:pStyle w:val="Tabletext1"/>
              <w:rPr>
                <w:rFonts w:cs="Times New Roman"/>
              </w:rPr>
            </w:pPr>
            <w:r>
              <w:rPr>
                <w:rFonts w:cs="Times New Roman"/>
              </w:rPr>
              <w:t>Positive pre- and post-cancer: 0.84, k=1</w:t>
            </w:r>
          </w:p>
        </w:tc>
        <w:tc>
          <w:tcPr>
            <w:tcW w:w="1984" w:type="dxa"/>
            <w:tcBorders>
              <w:top w:val="single" w:sz="4" w:space="0" w:color="auto"/>
              <w:left w:val="single" w:sz="4" w:space="0" w:color="auto"/>
              <w:bottom w:val="single" w:sz="4" w:space="0" w:color="auto"/>
              <w:right w:val="single" w:sz="4" w:space="0" w:color="auto"/>
            </w:tcBorders>
            <w:hideMark/>
          </w:tcPr>
          <w:p w14:paraId="6B4CC5F1" w14:textId="0762405B" w:rsidR="001A0058" w:rsidRDefault="00D62C83">
            <w:pPr>
              <w:pStyle w:val="Tabletext1"/>
            </w:pPr>
            <w:r>
              <w:t xml:space="preserve">See </w:t>
            </w:r>
            <w:r w:rsidR="00CE54B7">
              <w:t>results for AMH testing’ column</w:t>
            </w:r>
          </w:p>
        </w:tc>
        <w:tc>
          <w:tcPr>
            <w:tcW w:w="1002" w:type="dxa"/>
            <w:tcBorders>
              <w:top w:val="single" w:sz="4" w:space="0" w:color="auto"/>
              <w:left w:val="single" w:sz="4" w:space="0" w:color="auto"/>
              <w:bottom w:val="single" w:sz="4" w:space="0" w:color="auto"/>
              <w:right w:val="single" w:sz="4" w:space="0" w:color="auto"/>
            </w:tcBorders>
            <w:hideMark/>
          </w:tcPr>
          <w:p w14:paraId="7B52AADB"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2D717A96" w14:textId="77777777" w:rsidR="001A0058" w:rsidRDefault="001A0058">
            <w:pPr>
              <w:pStyle w:val="Tabletext1"/>
            </w:pPr>
            <w:r>
              <w:t>Very low quality</w:t>
            </w:r>
          </w:p>
        </w:tc>
        <w:tc>
          <w:tcPr>
            <w:tcW w:w="1206" w:type="dxa"/>
            <w:tcBorders>
              <w:top w:val="single" w:sz="4" w:space="0" w:color="auto"/>
              <w:left w:val="single" w:sz="4" w:space="0" w:color="auto"/>
              <w:bottom w:val="single" w:sz="4" w:space="0" w:color="auto"/>
              <w:right w:val="single" w:sz="4" w:space="0" w:color="auto"/>
            </w:tcBorders>
            <w:hideMark/>
          </w:tcPr>
          <w:p w14:paraId="75789D0A" w14:textId="77777777" w:rsidR="001A0058" w:rsidRDefault="001A0058">
            <w:pPr>
              <w:pStyle w:val="Tabletext1"/>
            </w:pPr>
            <w:r>
              <w:t>Not important (unknown how to use this evidence in clinical practice)</w:t>
            </w:r>
          </w:p>
        </w:tc>
      </w:tr>
    </w:tbl>
    <w:p w14:paraId="5E98C9DB" w14:textId="047F72E0" w:rsidR="001A0058" w:rsidRDefault="001A0058" w:rsidP="001A0058">
      <w:pPr>
        <w:pStyle w:val="Tablenotes0"/>
        <w:spacing w:after="240"/>
      </w:pPr>
      <w:r w:rsidRPr="00C9311D">
        <w:t>AFC = antral follicle count; AMH = anti-Müllerian hormone; AUC = area under the curve; CI = confiden</w:t>
      </w:r>
      <w:r w:rsidR="00882BFE" w:rsidRPr="00C9311D">
        <w:t>ce interval; CRA = chemotherapy-</w:t>
      </w:r>
      <w:r w:rsidRPr="00C9311D">
        <w:t>related amenorrhea; E2 = estrad</w:t>
      </w:r>
      <w:r w:rsidR="00882BFE" w:rsidRPr="00C9311D">
        <w:t>iol; EIA = enzyme i</w:t>
      </w:r>
      <w:r w:rsidRPr="00C9311D">
        <w:t>mmunoassay; ELISA = enzyme-linked immunosorbent assay; FSH = follicle-stimulating hormone; LH = luteinising hormone; NA = not available; NR = not reported; QoE</w:t>
      </w:r>
      <w:r w:rsidR="005379DE">
        <w:t xml:space="preserve"> </w:t>
      </w:r>
      <w:r w:rsidRPr="00C9311D">
        <w:t>=</w:t>
      </w:r>
      <w:r w:rsidR="005379DE">
        <w:t xml:space="preserve"> </w:t>
      </w:r>
      <w:r w:rsidRPr="00C9311D">
        <w:t>quality of evidence</w:t>
      </w:r>
    </w:p>
    <w:p w14:paraId="2684CF45" w14:textId="70AD10CA" w:rsidR="001A0058" w:rsidRDefault="001A0058" w:rsidP="001A0058">
      <w:pPr>
        <w:pStyle w:val="Caption"/>
        <w:keepNext/>
      </w:pPr>
      <w:bookmarkStart w:id="523" w:name="_Toc501352916"/>
      <w:bookmarkStart w:id="524" w:name="_Toc502833107"/>
      <w:r>
        <w:t xml:space="preserve">Table </w:t>
      </w:r>
      <w:r w:rsidR="00AC4BE5">
        <w:fldChar w:fldCharType="begin"/>
      </w:r>
      <w:r w:rsidR="00AC4BE5">
        <w:instrText xml:space="preserve"> SEQ Table \* ARABIC </w:instrText>
      </w:r>
      <w:r w:rsidR="00AC4BE5">
        <w:fldChar w:fldCharType="separate"/>
      </w:r>
      <w:r w:rsidR="00AC4BE5">
        <w:rPr>
          <w:noProof/>
        </w:rPr>
        <w:t>89</w:t>
      </w:r>
      <w:r w:rsidR="00AC4BE5">
        <w:rPr>
          <w:noProof/>
        </w:rPr>
        <w:fldChar w:fldCharType="end"/>
      </w:r>
      <w:r>
        <w:tab/>
        <w:t>Evidence profile table for the prognostic and predictive evidence of AMH testing for women undergoing</w:t>
      </w:r>
      <w:r>
        <w:rPr>
          <w:noProof/>
        </w:rPr>
        <w:t xml:space="preserve"> gonadotoxic treatment</w:t>
      </w:r>
      <w:bookmarkEnd w:id="523"/>
      <w:bookmarkEnd w:id="524"/>
    </w:p>
    <w:tbl>
      <w:tblPr>
        <w:tblW w:w="15386" w:type="dxa"/>
        <w:tblLayout w:type="fixed"/>
        <w:tblLook w:val="04A0" w:firstRow="1" w:lastRow="0" w:firstColumn="1" w:lastColumn="0" w:noHBand="0" w:noVBand="1"/>
      </w:tblPr>
      <w:tblGrid>
        <w:gridCol w:w="1570"/>
        <w:gridCol w:w="1627"/>
        <w:gridCol w:w="909"/>
        <w:gridCol w:w="1385"/>
        <w:gridCol w:w="1308"/>
        <w:gridCol w:w="851"/>
        <w:gridCol w:w="850"/>
        <w:gridCol w:w="2268"/>
        <w:gridCol w:w="2127"/>
        <w:gridCol w:w="1134"/>
        <w:gridCol w:w="1357"/>
      </w:tblGrid>
      <w:tr w:rsidR="001A0058" w14:paraId="1D73EDF6" w14:textId="77777777" w:rsidTr="00C802C4">
        <w:trPr>
          <w:trHeight w:val="788"/>
          <w:tblHeader/>
        </w:trPr>
        <w:tc>
          <w:tcPr>
            <w:tcW w:w="1570" w:type="dxa"/>
            <w:tcBorders>
              <w:top w:val="single" w:sz="4" w:space="0" w:color="auto"/>
              <w:left w:val="single" w:sz="4" w:space="0" w:color="auto"/>
              <w:bottom w:val="single" w:sz="4" w:space="0" w:color="auto"/>
              <w:right w:val="single" w:sz="4" w:space="0" w:color="auto"/>
            </w:tcBorders>
            <w:hideMark/>
          </w:tcPr>
          <w:p w14:paraId="50105572" w14:textId="77777777" w:rsidR="001A0058" w:rsidRPr="007102C6" w:rsidRDefault="001A0058" w:rsidP="007102C6">
            <w:pPr>
              <w:pStyle w:val="TableText0"/>
              <w:rPr>
                <w:b/>
              </w:rPr>
            </w:pPr>
            <w:r w:rsidRPr="007102C6">
              <w:rPr>
                <w:b/>
              </w:rPr>
              <w:t>Outcome</w:t>
            </w:r>
          </w:p>
        </w:tc>
        <w:tc>
          <w:tcPr>
            <w:tcW w:w="1627" w:type="dxa"/>
            <w:tcBorders>
              <w:top w:val="single" w:sz="4" w:space="0" w:color="auto"/>
              <w:left w:val="single" w:sz="4" w:space="0" w:color="auto"/>
              <w:bottom w:val="single" w:sz="4" w:space="0" w:color="auto"/>
              <w:right w:val="single" w:sz="4" w:space="0" w:color="auto"/>
            </w:tcBorders>
            <w:hideMark/>
          </w:tcPr>
          <w:p w14:paraId="1DAAC5EA" w14:textId="77777777" w:rsidR="001A0058" w:rsidRPr="007102C6" w:rsidRDefault="001A0058" w:rsidP="007102C6">
            <w:pPr>
              <w:pStyle w:val="TableText0"/>
              <w:rPr>
                <w:b/>
              </w:rPr>
            </w:pPr>
            <w:r w:rsidRPr="007102C6">
              <w:rPr>
                <w:b/>
              </w:rPr>
              <w:t>No. of participants, No. of studies and study design</w:t>
            </w:r>
          </w:p>
        </w:tc>
        <w:tc>
          <w:tcPr>
            <w:tcW w:w="909" w:type="dxa"/>
            <w:tcBorders>
              <w:top w:val="single" w:sz="4" w:space="0" w:color="auto"/>
              <w:left w:val="single" w:sz="4" w:space="0" w:color="auto"/>
              <w:bottom w:val="single" w:sz="4" w:space="0" w:color="auto"/>
              <w:right w:val="single" w:sz="4" w:space="0" w:color="auto"/>
            </w:tcBorders>
            <w:hideMark/>
          </w:tcPr>
          <w:p w14:paraId="3B777122" w14:textId="77777777" w:rsidR="001A0058" w:rsidRPr="007102C6" w:rsidRDefault="001A0058" w:rsidP="007102C6">
            <w:pPr>
              <w:pStyle w:val="TableText0"/>
              <w:rPr>
                <w:b/>
              </w:rPr>
            </w:pPr>
            <w:r w:rsidRPr="007102C6">
              <w:rPr>
                <w:b/>
              </w:rPr>
              <w:t>Risk of bias</w:t>
            </w:r>
          </w:p>
        </w:tc>
        <w:tc>
          <w:tcPr>
            <w:tcW w:w="1385" w:type="dxa"/>
            <w:tcBorders>
              <w:top w:val="single" w:sz="4" w:space="0" w:color="auto"/>
              <w:left w:val="single" w:sz="4" w:space="0" w:color="auto"/>
              <w:bottom w:val="single" w:sz="4" w:space="0" w:color="auto"/>
              <w:right w:val="single" w:sz="4" w:space="0" w:color="auto"/>
            </w:tcBorders>
            <w:hideMark/>
          </w:tcPr>
          <w:p w14:paraId="703BF7FF" w14:textId="77777777" w:rsidR="001A0058" w:rsidRPr="007102C6" w:rsidRDefault="001A0058" w:rsidP="007102C6">
            <w:pPr>
              <w:pStyle w:val="TableText0"/>
              <w:rPr>
                <w:b/>
              </w:rPr>
            </w:pPr>
            <w:r w:rsidRPr="007102C6">
              <w:rPr>
                <w:b/>
              </w:rPr>
              <w:t>Inconsistency</w:t>
            </w:r>
          </w:p>
        </w:tc>
        <w:tc>
          <w:tcPr>
            <w:tcW w:w="1308" w:type="dxa"/>
            <w:tcBorders>
              <w:top w:val="single" w:sz="4" w:space="0" w:color="auto"/>
              <w:left w:val="single" w:sz="4" w:space="0" w:color="auto"/>
              <w:bottom w:val="single" w:sz="4" w:space="0" w:color="auto"/>
              <w:right w:val="single" w:sz="4" w:space="0" w:color="auto"/>
            </w:tcBorders>
            <w:hideMark/>
          </w:tcPr>
          <w:p w14:paraId="47A5D8E3" w14:textId="77777777" w:rsidR="001A0058" w:rsidRPr="007102C6" w:rsidRDefault="001A0058" w:rsidP="007102C6">
            <w:pPr>
              <w:pStyle w:val="TableText0"/>
              <w:rPr>
                <w:b/>
              </w:rPr>
            </w:pPr>
            <w:r w:rsidRPr="007102C6">
              <w:rPr>
                <w:b/>
              </w:rPr>
              <w:t>Indirectness</w:t>
            </w:r>
          </w:p>
        </w:tc>
        <w:tc>
          <w:tcPr>
            <w:tcW w:w="851" w:type="dxa"/>
            <w:tcBorders>
              <w:top w:val="single" w:sz="4" w:space="0" w:color="auto"/>
              <w:left w:val="single" w:sz="4" w:space="0" w:color="auto"/>
              <w:bottom w:val="single" w:sz="4" w:space="0" w:color="auto"/>
              <w:right w:val="single" w:sz="4" w:space="0" w:color="auto"/>
            </w:tcBorders>
            <w:hideMark/>
          </w:tcPr>
          <w:p w14:paraId="407E61FE" w14:textId="77777777" w:rsidR="001A0058" w:rsidRPr="007102C6" w:rsidRDefault="001A0058" w:rsidP="007102C6">
            <w:pPr>
              <w:pStyle w:val="TableText0"/>
              <w:rPr>
                <w:b/>
              </w:rPr>
            </w:pPr>
            <w:r w:rsidRPr="007102C6">
              <w:rPr>
                <w:b/>
              </w:rPr>
              <w:t>Imprecision</w:t>
            </w:r>
          </w:p>
        </w:tc>
        <w:tc>
          <w:tcPr>
            <w:tcW w:w="850" w:type="dxa"/>
            <w:tcBorders>
              <w:top w:val="single" w:sz="4" w:space="0" w:color="auto"/>
              <w:left w:val="single" w:sz="4" w:space="0" w:color="auto"/>
              <w:bottom w:val="single" w:sz="4" w:space="0" w:color="auto"/>
              <w:right w:val="single" w:sz="4" w:space="0" w:color="auto"/>
            </w:tcBorders>
            <w:hideMark/>
          </w:tcPr>
          <w:p w14:paraId="4B822BD5" w14:textId="77777777" w:rsidR="001A0058" w:rsidRPr="007102C6" w:rsidRDefault="001A0058" w:rsidP="007102C6">
            <w:pPr>
              <w:pStyle w:val="TableText0"/>
              <w:rPr>
                <w:b/>
              </w:rPr>
            </w:pPr>
            <w:r w:rsidRPr="007102C6">
              <w:rPr>
                <w:b/>
              </w:rPr>
              <w:t xml:space="preserve">Other considerations </w:t>
            </w:r>
          </w:p>
        </w:tc>
        <w:tc>
          <w:tcPr>
            <w:tcW w:w="2268" w:type="dxa"/>
            <w:tcBorders>
              <w:top w:val="single" w:sz="4" w:space="0" w:color="auto"/>
              <w:left w:val="single" w:sz="4" w:space="0" w:color="auto"/>
              <w:bottom w:val="single" w:sz="4" w:space="0" w:color="auto"/>
              <w:right w:val="single" w:sz="4" w:space="0" w:color="auto"/>
            </w:tcBorders>
            <w:hideMark/>
          </w:tcPr>
          <w:p w14:paraId="5BD86D0F" w14:textId="77777777" w:rsidR="001A0058" w:rsidRPr="007102C6" w:rsidRDefault="001A0058" w:rsidP="007102C6">
            <w:pPr>
              <w:pStyle w:val="TableText0"/>
              <w:rPr>
                <w:b/>
              </w:rPr>
            </w:pPr>
            <w:r w:rsidRPr="007102C6">
              <w:rPr>
                <w:b/>
              </w:rPr>
              <w:t>Results for AMH testing</w:t>
            </w:r>
          </w:p>
        </w:tc>
        <w:tc>
          <w:tcPr>
            <w:tcW w:w="2127" w:type="dxa"/>
            <w:tcBorders>
              <w:top w:val="single" w:sz="4" w:space="0" w:color="auto"/>
              <w:left w:val="single" w:sz="4" w:space="0" w:color="auto"/>
              <w:bottom w:val="single" w:sz="4" w:space="0" w:color="auto"/>
              <w:right w:val="single" w:sz="4" w:space="0" w:color="auto"/>
            </w:tcBorders>
            <w:hideMark/>
          </w:tcPr>
          <w:p w14:paraId="18DCBAC2" w14:textId="77777777" w:rsidR="001A0058" w:rsidRPr="007102C6" w:rsidRDefault="001A0058" w:rsidP="007102C6">
            <w:pPr>
              <w:pStyle w:val="TableText0"/>
              <w:rPr>
                <w:b/>
              </w:rPr>
            </w:pPr>
            <w:r w:rsidRPr="007102C6">
              <w:rPr>
                <w:b/>
              </w:rPr>
              <w:t>Results for comparator test</w:t>
            </w:r>
          </w:p>
        </w:tc>
        <w:tc>
          <w:tcPr>
            <w:tcW w:w="1134" w:type="dxa"/>
            <w:tcBorders>
              <w:top w:val="single" w:sz="4" w:space="0" w:color="auto"/>
              <w:left w:val="single" w:sz="4" w:space="0" w:color="auto"/>
              <w:bottom w:val="single" w:sz="4" w:space="0" w:color="auto"/>
              <w:right w:val="single" w:sz="4" w:space="0" w:color="auto"/>
            </w:tcBorders>
            <w:hideMark/>
          </w:tcPr>
          <w:p w14:paraId="66F563F0" w14:textId="77777777" w:rsidR="001A0058" w:rsidRPr="007102C6" w:rsidRDefault="001A0058" w:rsidP="007102C6">
            <w:pPr>
              <w:pStyle w:val="TableText0"/>
              <w:rPr>
                <w:b/>
              </w:rPr>
            </w:pPr>
            <w:r w:rsidRPr="007102C6">
              <w:rPr>
                <w:b/>
              </w:rPr>
              <w:t>Predictive validity QoE</w:t>
            </w:r>
          </w:p>
        </w:tc>
        <w:tc>
          <w:tcPr>
            <w:tcW w:w="1357" w:type="dxa"/>
            <w:tcBorders>
              <w:top w:val="single" w:sz="4" w:space="0" w:color="auto"/>
              <w:left w:val="single" w:sz="4" w:space="0" w:color="auto"/>
              <w:bottom w:val="single" w:sz="4" w:space="0" w:color="auto"/>
              <w:right w:val="single" w:sz="4" w:space="0" w:color="auto"/>
            </w:tcBorders>
            <w:hideMark/>
          </w:tcPr>
          <w:p w14:paraId="6F07E89E" w14:textId="77777777" w:rsidR="001A0058" w:rsidRPr="007102C6" w:rsidRDefault="001A0058" w:rsidP="007102C6">
            <w:pPr>
              <w:pStyle w:val="TableText0"/>
              <w:rPr>
                <w:b/>
              </w:rPr>
            </w:pPr>
            <w:r w:rsidRPr="007102C6">
              <w:rPr>
                <w:b/>
              </w:rPr>
              <w:t>Importance</w:t>
            </w:r>
          </w:p>
        </w:tc>
      </w:tr>
      <w:tr w:rsidR="001A0058" w14:paraId="1B03FF3E" w14:textId="77777777" w:rsidTr="00C802C4">
        <w:trPr>
          <w:trHeight w:val="788"/>
        </w:trPr>
        <w:tc>
          <w:tcPr>
            <w:tcW w:w="1570" w:type="dxa"/>
            <w:tcBorders>
              <w:top w:val="single" w:sz="4" w:space="0" w:color="auto"/>
              <w:left w:val="single" w:sz="4" w:space="0" w:color="auto"/>
              <w:bottom w:val="single" w:sz="4" w:space="0" w:color="auto"/>
              <w:right w:val="single" w:sz="4" w:space="0" w:color="auto"/>
            </w:tcBorders>
            <w:hideMark/>
          </w:tcPr>
          <w:p w14:paraId="037CB3E3" w14:textId="77777777" w:rsidR="001A0058" w:rsidRDefault="001A0058">
            <w:pPr>
              <w:pStyle w:val="Tabletext1"/>
            </w:pPr>
            <w:r>
              <w:t>Baseline AMH levels in breast cancer patients with CRA at follow-up compared with baseline AMH levels in patients without CRA</w:t>
            </w:r>
          </w:p>
        </w:tc>
        <w:tc>
          <w:tcPr>
            <w:tcW w:w="1627" w:type="dxa"/>
            <w:tcBorders>
              <w:top w:val="single" w:sz="4" w:space="0" w:color="auto"/>
              <w:left w:val="single" w:sz="4" w:space="0" w:color="auto"/>
              <w:bottom w:val="single" w:sz="4" w:space="0" w:color="auto"/>
              <w:right w:val="single" w:sz="4" w:space="0" w:color="auto"/>
            </w:tcBorders>
            <w:hideMark/>
          </w:tcPr>
          <w:p w14:paraId="620DC3CF" w14:textId="77777777" w:rsidR="001A0058" w:rsidRDefault="001A0058">
            <w:pPr>
              <w:pStyle w:val="Tabletext1"/>
            </w:pPr>
            <w:r>
              <w:t>n=555</w:t>
            </w:r>
          </w:p>
          <w:p w14:paraId="451DCCD1" w14:textId="77777777" w:rsidR="001A0058" w:rsidRDefault="001A0058">
            <w:pPr>
              <w:pStyle w:val="Tabletext1"/>
            </w:pPr>
            <w:r>
              <w:t>k=7</w:t>
            </w:r>
          </w:p>
          <w:p w14:paraId="234747FE" w14:textId="77777777" w:rsidR="001A0058" w:rsidRDefault="001A0058">
            <w:pPr>
              <w:pStyle w:val="Tabletext1"/>
            </w:pPr>
            <w:r>
              <w:t>Case control studies</w:t>
            </w:r>
          </w:p>
        </w:tc>
        <w:tc>
          <w:tcPr>
            <w:tcW w:w="909" w:type="dxa"/>
            <w:tcBorders>
              <w:top w:val="single" w:sz="4" w:space="0" w:color="auto"/>
              <w:left w:val="single" w:sz="4" w:space="0" w:color="auto"/>
              <w:bottom w:val="single" w:sz="4" w:space="0" w:color="auto"/>
              <w:right w:val="single" w:sz="4" w:space="0" w:color="auto"/>
            </w:tcBorders>
            <w:hideMark/>
          </w:tcPr>
          <w:p w14:paraId="00A19B7E" w14:textId="77777777" w:rsidR="001A0058" w:rsidRDefault="001A0058">
            <w:pPr>
              <w:pStyle w:val="Tabletext1"/>
            </w:pPr>
            <w:r>
              <w:t>-1</w:t>
            </w:r>
          </w:p>
          <w:p w14:paraId="52D6D770" w14:textId="77777777" w:rsidR="001A0058" w:rsidRDefault="001A0058">
            <w:pPr>
              <w:pStyle w:val="Tabletext1"/>
            </w:pPr>
            <w:r>
              <w:t>Moderate risk of bias</w:t>
            </w:r>
          </w:p>
        </w:tc>
        <w:tc>
          <w:tcPr>
            <w:tcW w:w="1385" w:type="dxa"/>
            <w:tcBorders>
              <w:top w:val="single" w:sz="4" w:space="0" w:color="auto"/>
              <w:left w:val="single" w:sz="4" w:space="0" w:color="auto"/>
              <w:bottom w:val="single" w:sz="4" w:space="0" w:color="auto"/>
              <w:right w:val="single" w:sz="4" w:space="0" w:color="auto"/>
            </w:tcBorders>
            <w:hideMark/>
          </w:tcPr>
          <w:p w14:paraId="1713B30A" w14:textId="77777777" w:rsidR="001A0058" w:rsidRDefault="001A0058">
            <w:pPr>
              <w:pStyle w:val="Tabletext1"/>
            </w:pPr>
            <w:r>
              <w:t>0</w:t>
            </w:r>
          </w:p>
          <w:p w14:paraId="69C85348" w14:textId="77777777" w:rsidR="001A0058" w:rsidRDefault="001A0058">
            <w:pPr>
              <w:pStyle w:val="Tabletext1"/>
            </w:pPr>
            <w:r>
              <w:t>Most (6/7) studies showed lower baseline AMH in women with CRA at follow-up</w:t>
            </w:r>
          </w:p>
        </w:tc>
        <w:tc>
          <w:tcPr>
            <w:tcW w:w="1308" w:type="dxa"/>
            <w:tcBorders>
              <w:top w:val="single" w:sz="4" w:space="0" w:color="auto"/>
              <w:left w:val="single" w:sz="4" w:space="0" w:color="auto"/>
              <w:bottom w:val="single" w:sz="4" w:space="0" w:color="auto"/>
              <w:right w:val="single" w:sz="4" w:space="0" w:color="auto"/>
            </w:tcBorders>
            <w:hideMark/>
          </w:tcPr>
          <w:p w14:paraId="452FEA64" w14:textId="77777777" w:rsidR="001A0058" w:rsidRDefault="001A0058">
            <w:pPr>
              <w:pStyle w:val="Tabletext1"/>
            </w:pPr>
            <w:r>
              <w:t>-1</w:t>
            </w:r>
          </w:p>
          <w:p w14:paraId="5A3FD41F"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5DB98246" w14:textId="77777777" w:rsidR="001A0058" w:rsidRDefault="001A0058">
            <w:pPr>
              <w:pStyle w:val="Tabletext1"/>
            </w:pPr>
            <w:r>
              <w:t>0</w:t>
            </w:r>
          </w:p>
        </w:tc>
        <w:tc>
          <w:tcPr>
            <w:tcW w:w="850" w:type="dxa"/>
            <w:tcBorders>
              <w:top w:val="single" w:sz="4" w:space="0" w:color="auto"/>
              <w:left w:val="single" w:sz="4" w:space="0" w:color="auto"/>
              <w:bottom w:val="single" w:sz="4" w:space="0" w:color="auto"/>
              <w:right w:val="single" w:sz="4" w:space="0" w:color="auto"/>
            </w:tcBorders>
            <w:hideMark/>
          </w:tcPr>
          <w:p w14:paraId="30C7AF8A" w14:textId="77777777" w:rsidR="001A0058" w:rsidRDefault="001A0058">
            <w:pPr>
              <w:pStyle w:val="Tabletext1"/>
            </w:pPr>
            <w:r>
              <w:t>No</w:t>
            </w:r>
          </w:p>
        </w:tc>
        <w:tc>
          <w:tcPr>
            <w:tcW w:w="2268" w:type="dxa"/>
            <w:tcBorders>
              <w:top w:val="single" w:sz="4" w:space="0" w:color="auto"/>
              <w:left w:val="single" w:sz="4" w:space="0" w:color="auto"/>
              <w:bottom w:val="single" w:sz="4" w:space="0" w:color="auto"/>
              <w:right w:val="single" w:sz="4" w:space="0" w:color="auto"/>
            </w:tcBorders>
            <w:hideMark/>
          </w:tcPr>
          <w:p w14:paraId="77A6217D" w14:textId="35450065" w:rsidR="001A0058" w:rsidRDefault="001A0058">
            <w:pPr>
              <w:pStyle w:val="Tabletext1"/>
            </w:pPr>
            <w:r>
              <w:t>All but one of these studies (6/7, 85%) reported a statistically significant lower baseline AMH in women who had CRA at follow-up, compared to women who continued menstruation</w:t>
            </w:r>
            <w:r w:rsidR="00E830B2">
              <w:t>.</w:t>
            </w:r>
          </w:p>
        </w:tc>
        <w:tc>
          <w:tcPr>
            <w:tcW w:w="2127" w:type="dxa"/>
            <w:tcBorders>
              <w:top w:val="single" w:sz="4" w:space="0" w:color="auto"/>
              <w:left w:val="single" w:sz="4" w:space="0" w:color="auto"/>
              <w:bottom w:val="single" w:sz="4" w:space="0" w:color="auto"/>
              <w:right w:val="single" w:sz="4" w:space="0" w:color="auto"/>
            </w:tcBorders>
            <w:hideMark/>
          </w:tcPr>
          <w:p w14:paraId="3B5FA8E1" w14:textId="01119B8C" w:rsidR="001A0058" w:rsidRDefault="001A0058">
            <w:pPr>
              <w:pStyle w:val="Tabletext1"/>
            </w:pPr>
            <w:r>
              <w:t>Of k=4 measuring baseline FSH in addition to AMH,</w:t>
            </w:r>
            <w:r w:rsidR="00882BFE">
              <w:t xml:space="preserve"> </w:t>
            </w:r>
            <w:r>
              <w:t>k=2 (total n=54) identified higher baseline FSH levels in women with CRA at follow-up.</w:t>
            </w:r>
          </w:p>
          <w:p w14:paraId="5FDE8BF0" w14:textId="2D60D240" w:rsidR="001A0058" w:rsidRDefault="001A0058" w:rsidP="00882BFE">
            <w:pPr>
              <w:pStyle w:val="Tabletext1"/>
            </w:pPr>
            <w:r>
              <w:t>Of k=2 measuring E2 levels at baseline, k=1 (n = 21) found a higher baseline E2 level in women with a menstrual cy</w:t>
            </w:r>
            <w:r w:rsidR="00882BFE">
              <w:t>cle at follow-up; k=3 included i</w:t>
            </w:r>
            <w:r>
              <w:t>nhibin B in the</w:t>
            </w:r>
            <w:r w:rsidR="00882BFE">
              <w:t xml:space="preserve"> analyses; k=1 showed baseline i</w:t>
            </w:r>
            <w:r>
              <w:t>nhibin B was lower in wom</w:t>
            </w:r>
            <w:r w:rsidR="00882BFE">
              <w:t xml:space="preserve">en with CRA </w:t>
            </w:r>
            <w:r w:rsidR="00882BFE">
              <w:lastRenderedPageBreak/>
              <w:t>at follow</w:t>
            </w:r>
            <w:r w:rsidR="00DE6DD5">
              <w:t>-</w:t>
            </w:r>
            <w:r w:rsidR="00882BFE">
              <w:t>up (n=21); k</w:t>
            </w:r>
            <w:r>
              <w:t xml:space="preserve">=2 (total n=88) </w:t>
            </w:r>
            <w:r w:rsidR="00882BFE">
              <w:t>found no difference</w:t>
            </w:r>
            <w:r>
              <w:t>.</w:t>
            </w:r>
          </w:p>
        </w:tc>
        <w:tc>
          <w:tcPr>
            <w:tcW w:w="1134" w:type="dxa"/>
            <w:tcBorders>
              <w:top w:val="single" w:sz="4" w:space="0" w:color="auto"/>
              <w:left w:val="single" w:sz="4" w:space="0" w:color="auto"/>
              <w:bottom w:val="single" w:sz="4" w:space="0" w:color="auto"/>
              <w:right w:val="single" w:sz="4" w:space="0" w:color="auto"/>
            </w:tcBorders>
            <w:hideMark/>
          </w:tcPr>
          <w:p w14:paraId="77AB6BF9"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lastRenderedPageBreak/>
              <w:t>⨁</w:t>
            </w:r>
            <w:r>
              <w:rPr>
                <w:rFonts w:ascii="Cambria Math" w:hAnsi="Cambria Math" w:cs="Cambria Math"/>
                <w:color w:val="C00000"/>
              </w:rPr>
              <w:t>⨀⨀⨀</w:t>
            </w:r>
          </w:p>
          <w:p w14:paraId="065A1DFB" w14:textId="77777777" w:rsidR="001A0058" w:rsidRDefault="001A0058">
            <w:pPr>
              <w:pStyle w:val="Tabletext1"/>
            </w:pPr>
            <w:r>
              <w:t>Very low quality</w:t>
            </w:r>
          </w:p>
        </w:tc>
        <w:tc>
          <w:tcPr>
            <w:tcW w:w="1357" w:type="dxa"/>
            <w:tcBorders>
              <w:top w:val="single" w:sz="4" w:space="0" w:color="auto"/>
              <w:left w:val="single" w:sz="4" w:space="0" w:color="auto"/>
              <w:bottom w:val="single" w:sz="4" w:space="0" w:color="auto"/>
              <w:right w:val="single" w:sz="4" w:space="0" w:color="auto"/>
            </w:tcBorders>
            <w:hideMark/>
          </w:tcPr>
          <w:p w14:paraId="4A3CD6A9" w14:textId="77777777" w:rsidR="001A0058" w:rsidRDefault="001A0058">
            <w:pPr>
              <w:pStyle w:val="Tabletext1"/>
            </w:pPr>
            <w:r>
              <w:t>Not important (unknown how to use this evidence in clinical practice)</w:t>
            </w:r>
          </w:p>
        </w:tc>
      </w:tr>
      <w:tr w:rsidR="001A0058" w14:paraId="78A280B8" w14:textId="77777777" w:rsidTr="00C802C4">
        <w:trPr>
          <w:trHeight w:val="788"/>
        </w:trPr>
        <w:tc>
          <w:tcPr>
            <w:tcW w:w="1570" w:type="dxa"/>
            <w:tcBorders>
              <w:top w:val="single" w:sz="4" w:space="0" w:color="auto"/>
              <w:left w:val="single" w:sz="4" w:space="0" w:color="auto"/>
              <w:bottom w:val="single" w:sz="4" w:space="0" w:color="auto"/>
              <w:right w:val="single" w:sz="4" w:space="0" w:color="auto"/>
            </w:tcBorders>
            <w:hideMark/>
          </w:tcPr>
          <w:p w14:paraId="0363ABF1" w14:textId="77777777" w:rsidR="001A0058" w:rsidRDefault="001A0058">
            <w:pPr>
              <w:pStyle w:val="Tabletext1"/>
            </w:pPr>
            <w:r>
              <w:lastRenderedPageBreak/>
              <w:t xml:space="preserve">Prediction of CRA (multivariate analysis) </w:t>
            </w:r>
          </w:p>
        </w:tc>
        <w:tc>
          <w:tcPr>
            <w:tcW w:w="1627" w:type="dxa"/>
            <w:tcBorders>
              <w:top w:val="single" w:sz="4" w:space="0" w:color="auto"/>
              <w:left w:val="single" w:sz="4" w:space="0" w:color="auto"/>
              <w:bottom w:val="single" w:sz="4" w:space="0" w:color="auto"/>
              <w:right w:val="single" w:sz="4" w:space="0" w:color="auto"/>
            </w:tcBorders>
            <w:hideMark/>
          </w:tcPr>
          <w:p w14:paraId="21C7FBCB" w14:textId="77777777" w:rsidR="001A0058" w:rsidRDefault="001A0058">
            <w:pPr>
              <w:pStyle w:val="Tabletext1"/>
            </w:pPr>
            <w:r>
              <w:t>n=341</w:t>
            </w:r>
          </w:p>
          <w:p w14:paraId="101359EA" w14:textId="77777777" w:rsidR="001A0058" w:rsidRDefault="001A0058">
            <w:pPr>
              <w:pStyle w:val="Tabletext1"/>
            </w:pPr>
            <w:r>
              <w:t>k=5</w:t>
            </w:r>
          </w:p>
          <w:p w14:paraId="516D1E34" w14:textId="77777777" w:rsidR="001A0058" w:rsidRDefault="001A0058">
            <w:pPr>
              <w:pStyle w:val="Tabletext1"/>
            </w:pPr>
            <w:r>
              <w:t>Cohort studies</w:t>
            </w:r>
          </w:p>
        </w:tc>
        <w:tc>
          <w:tcPr>
            <w:tcW w:w="909" w:type="dxa"/>
            <w:tcBorders>
              <w:top w:val="single" w:sz="4" w:space="0" w:color="auto"/>
              <w:left w:val="single" w:sz="4" w:space="0" w:color="auto"/>
              <w:bottom w:val="single" w:sz="4" w:space="0" w:color="auto"/>
              <w:right w:val="single" w:sz="4" w:space="0" w:color="auto"/>
            </w:tcBorders>
            <w:hideMark/>
          </w:tcPr>
          <w:p w14:paraId="622C9392" w14:textId="77777777" w:rsidR="001A0058" w:rsidRDefault="001A0058">
            <w:pPr>
              <w:pStyle w:val="Tabletext1"/>
            </w:pPr>
            <w:r>
              <w:t>0</w:t>
            </w:r>
          </w:p>
          <w:p w14:paraId="63262A58"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4A3357CC" w14:textId="77777777" w:rsidR="001A0058" w:rsidRDefault="001A0058">
            <w:pPr>
              <w:pStyle w:val="Tabletext1"/>
            </w:pPr>
            <w:r>
              <w:t>0</w:t>
            </w:r>
          </w:p>
          <w:p w14:paraId="2EBC012E" w14:textId="77777777" w:rsidR="001A0058" w:rsidRDefault="001A0058">
            <w:pPr>
              <w:pStyle w:val="Tabletext1"/>
            </w:pPr>
            <w:r>
              <w:t>In most (4/5) studies, AMH remained a significant predictor for continued or return of ovarian function</w:t>
            </w:r>
          </w:p>
        </w:tc>
        <w:tc>
          <w:tcPr>
            <w:tcW w:w="1308" w:type="dxa"/>
            <w:tcBorders>
              <w:top w:val="single" w:sz="4" w:space="0" w:color="auto"/>
              <w:left w:val="single" w:sz="4" w:space="0" w:color="auto"/>
              <w:bottom w:val="single" w:sz="4" w:space="0" w:color="auto"/>
              <w:right w:val="single" w:sz="4" w:space="0" w:color="auto"/>
            </w:tcBorders>
            <w:hideMark/>
          </w:tcPr>
          <w:p w14:paraId="7D8613E7" w14:textId="77777777" w:rsidR="001A0058" w:rsidRDefault="001A0058">
            <w:pPr>
              <w:pStyle w:val="Tabletext1"/>
            </w:pPr>
            <w:r>
              <w:t>0</w:t>
            </w:r>
          </w:p>
        </w:tc>
        <w:tc>
          <w:tcPr>
            <w:tcW w:w="851" w:type="dxa"/>
            <w:tcBorders>
              <w:top w:val="single" w:sz="4" w:space="0" w:color="auto"/>
              <w:left w:val="single" w:sz="4" w:space="0" w:color="auto"/>
              <w:bottom w:val="single" w:sz="4" w:space="0" w:color="auto"/>
              <w:right w:val="single" w:sz="4" w:space="0" w:color="auto"/>
            </w:tcBorders>
            <w:hideMark/>
          </w:tcPr>
          <w:p w14:paraId="1BB68F17" w14:textId="77777777" w:rsidR="001A0058" w:rsidRDefault="001A0058">
            <w:pPr>
              <w:pStyle w:val="Tabletext1"/>
            </w:pPr>
            <w:r>
              <w:t>0</w:t>
            </w:r>
          </w:p>
        </w:tc>
        <w:tc>
          <w:tcPr>
            <w:tcW w:w="850" w:type="dxa"/>
            <w:tcBorders>
              <w:top w:val="single" w:sz="4" w:space="0" w:color="auto"/>
              <w:left w:val="single" w:sz="4" w:space="0" w:color="auto"/>
              <w:bottom w:val="single" w:sz="4" w:space="0" w:color="auto"/>
              <w:right w:val="single" w:sz="4" w:space="0" w:color="auto"/>
            </w:tcBorders>
            <w:hideMark/>
          </w:tcPr>
          <w:p w14:paraId="459C16BC" w14:textId="77777777" w:rsidR="001A0058" w:rsidRDefault="001A0058">
            <w:pPr>
              <w:pStyle w:val="Tabletext1"/>
            </w:pPr>
            <w:r>
              <w:t>No</w:t>
            </w:r>
          </w:p>
        </w:tc>
        <w:tc>
          <w:tcPr>
            <w:tcW w:w="2268" w:type="dxa"/>
            <w:tcBorders>
              <w:top w:val="single" w:sz="4" w:space="0" w:color="auto"/>
              <w:left w:val="single" w:sz="4" w:space="0" w:color="auto"/>
              <w:bottom w:val="single" w:sz="4" w:space="0" w:color="auto"/>
              <w:right w:val="single" w:sz="4" w:space="0" w:color="auto"/>
            </w:tcBorders>
            <w:hideMark/>
          </w:tcPr>
          <w:p w14:paraId="1020F8AD" w14:textId="77777777" w:rsidR="001A0058" w:rsidRDefault="001A0058">
            <w:pPr>
              <w:pStyle w:val="Tabletext1"/>
            </w:pPr>
            <w:r>
              <w:t>AMH remained a significant predictor for continued or return of ovarian function in four out of five studies. Only the study with the smallest study population did not find significant factors for predicting ovarian function.</w:t>
            </w:r>
          </w:p>
        </w:tc>
        <w:tc>
          <w:tcPr>
            <w:tcW w:w="2127" w:type="dxa"/>
            <w:tcBorders>
              <w:top w:val="single" w:sz="4" w:space="0" w:color="auto"/>
              <w:left w:val="single" w:sz="4" w:space="0" w:color="auto"/>
              <w:bottom w:val="single" w:sz="4" w:space="0" w:color="auto"/>
              <w:right w:val="single" w:sz="4" w:space="0" w:color="auto"/>
            </w:tcBorders>
            <w:hideMark/>
          </w:tcPr>
          <w:p w14:paraId="5BF0B82C" w14:textId="6E9FDE1D" w:rsidR="001A0058" w:rsidRDefault="001A0058">
            <w:pPr>
              <w:pStyle w:val="Tabletext1"/>
            </w:pPr>
            <w:r>
              <w:t>Age and FSH were also identified as significant predictors in multivariate analysi</w:t>
            </w:r>
            <w:r w:rsidR="00882BFE">
              <w:t>s in k=2 and k=1, respectively.</w:t>
            </w:r>
          </w:p>
        </w:tc>
        <w:tc>
          <w:tcPr>
            <w:tcW w:w="1134" w:type="dxa"/>
            <w:tcBorders>
              <w:top w:val="single" w:sz="4" w:space="0" w:color="auto"/>
              <w:left w:val="single" w:sz="4" w:space="0" w:color="auto"/>
              <w:bottom w:val="single" w:sz="4" w:space="0" w:color="auto"/>
              <w:right w:val="single" w:sz="4" w:space="0" w:color="auto"/>
            </w:tcBorders>
            <w:hideMark/>
          </w:tcPr>
          <w:p w14:paraId="3CD65A15"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064AB944" w14:textId="77777777" w:rsidR="001A0058" w:rsidRDefault="001A0058">
            <w:pPr>
              <w:pStyle w:val="Tabletext1"/>
            </w:pPr>
            <w:r>
              <w:t>Low quality</w:t>
            </w:r>
          </w:p>
        </w:tc>
        <w:tc>
          <w:tcPr>
            <w:tcW w:w="1357" w:type="dxa"/>
            <w:tcBorders>
              <w:top w:val="single" w:sz="4" w:space="0" w:color="auto"/>
              <w:left w:val="single" w:sz="4" w:space="0" w:color="auto"/>
              <w:bottom w:val="single" w:sz="4" w:space="0" w:color="auto"/>
              <w:right w:val="single" w:sz="4" w:space="0" w:color="auto"/>
            </w:tcBorders>
            <w:hideMark/>
          </w:tcPr>
          <w:p w14:paraId="7BB20CD0" w14:textId="77777777" w:rsidR="001A0058" w:rsidRDefault="001A0058">
            <w:pPr>
              <w:pStyle w:val="Tabletext1"/>
            </w:pPr>
            <w:r>
              <w:t>Important</w:t>
            </w:r>
          </w:p>
        </w:tc>
      </w:tr>
      <w:tr w:rsidR="001A0058" w14:paraId="466D79C5" w14:textId="77777777" w:rsidTr="00C802C4">
        <w:trPr>
          <w:trHeight w:val="502"/>
        </w:trPr>
        <w:tc>
          <w:tcPr>
            <w:tcW w:w="1570" w:type="dxa"/>
            <w:tcBorders>
              <w:top w:val="single" w:sz="4" w:space="0" w:color="auto"/>
              <w:left w:val="single" w:sz="4" w:space="0" w:color="auto"/>
              <w:bottom w:val="single" w:sz="4" w:space="0" w:color="auto"/>
              <w:right w:val="single" w:sz="4" w:space="0" w:color="auto"/>
            </w:tcBorders>
            <w:hideMark/>
          </w:tcPr>
          <w:p w14:paraId="0D31081C" w14:textId="77777777" w:rsidR="001A0058" w:rsidRDefault="001A0058">
            <w:pPr>
              <w:pStyle w:val="Tabletext1"/>
            </w:pPr>
            <w:r>
              <w:t>Accuracy of AMH for predicting ovarian function (ROC)</w:t>
            </w:r>
          </w:p>
        </w:tc>
        <w:tc>
          <w:tcPr>
            <w:tcW w:w="1627" w:type="dxa"/>
            <w:tcBorders>
              <w:top w:val="single" w:sz="4" w:space="0" w:color="auto"/>
              <w:left w:val="single" w:sz="4" w:space="0" w:color="auto"/>
              <w:bottom w:val="single" w:sz="4" w:space="0" w:color="auto"/>
              <w:right w:val="single" w:sz="4" w:space="0" w:color="auto"/>
            </w:tcBorders>
            <w:hideMark/>
          </w:tcPr>
          <w:p w14:paraId="2D10D7FD" w14:textId="77777777" w:rsidR="001A0058" w:rsidRDefault="001A0058">
            <w:pPr>
              <w:pStyle w:val="Tabletext1"/>
            </w:pPr>
            <w:r>
              <w:t>n=127</w:t>
            </w:r>
          </w:p>
          <w:p w14:paraId="7A3AD920" w14:textId="77777777" w:rsidR="001A0058" w:rsidRDefault="001A0058">
            <w:pPr>
              <w:pStyle w:val="Tabletext1"/>
            </w:pPr>
            <w:r>
              <w:t>k=2</w:t>
            </w:r>
          </w:p>
          <w:p w14:paraId="3EA8A71F" w14:textId="77777777" w:rsidR="001A0058" w:rsidRDefault="001A0058">
            <w:pPr>
              <w:pStyle w:val="Tabletext1"/>
            </w:pPr>
            <w:r>
              <w:t>Cohort studies</w:t>
            </w:r>
          </w:p>
        </w:tc>
        <w:tc>
          <w:tcPr>
            <w:tcW w:w="909" w:type="dxa"/>
            <w:tcBorders>
              <w:top w:val="single" w:sz="4" w:space="0" w:color="auto"/>
              <w:left w:val="single" w:sz="4" w:space="0" w:color="auto"/>
              <w:bottom w:val="single" w:sz="4" w:space="0" w:color="auto"/>
              <w:right w:val="single" w:sz="4" w:space="0" w:color="auto"/>
            </w:tcBorders>
            <w:hideMark/>
          </w:tcPr>
          <w:p w14:paraId="67202BE6" w14:textId="77777777" w:rsidR="001A0058" w:rsidRDefault="001A0058">
            <w:pPr>
              <w:pStyle w:val="Tabletext1"/>
            </w:pPr>
            <w:r>
              <w:t>0</w:t>
            </w:r>
          </w:p>
          <w:p w14:paraId="5840F603"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4F2ABAAA" w14:textId="77777777" w:rsidR="001A0058" w:rsidRDefault="001A0058">
            <w:pPr>
              <w:pStyle w:val="Tabletext1"/>
            </w:pPr>
            <w:r>
              <w:t>0</w:t>
            </w:r>
          </w:p>
        </w:tc>
        <w:tc>
          <w:tcPr>
            <w:tcW w:w="1308" w:type="dxa"/>
            <w:tcBorders>
              <w:top w:val="single" w:sz="4" w:space="0" w:color="auto"/>
              <w:left w:val="single" w:sz="4" w:space="0" w:color="auto"/>
              <w:bottom w:val="single" w:sz="4" w:space="0" w:color="auto"/>
              <w:right w:val="single" w:sz="4" w:space="0" w:color="auto"/>
            </w:tcBorders>
            <w:hideMark/>
          </w:tcPr>
          <w:p w14:paraId="3547E2FA" w14:textId="77777777" w:rsidR="001A0058" w:rsidRDefault="001A0058">
            <w:pPr>
              <w:pStyle w:val="Tabletext1"/>
            </w:pPr>
            <w:r>
              <w:t>-1</w:t>
            </w:r>
          </w:p>
          <w:p w14:paraId="21DB54C8"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76504CD4" w14:textId="77777777" w:rsidR="001A0058" w:rsidRDefault="001A0058">
            <w:pPr>
              <w:pStyle w:val="Tabletext1"/>
            </w:pPr>
            <w:r>
              <w:t>0</w:t>
            </w:r>
          </w:p>
        </w:tc>
        <w:tc>
          <w:tcPr>
            <w:tcW w:w="850" w:type="dxa"/>
            <w:tcBorders>
              <w:top w:val="single" w:sz="4" w:space="0" w:color="auto"/>
              <w:left w:val="single" w:sz="4" w:space="0" w:color="auto"/>
              <w:bottom w:val="single" w:sz="4" w:space="0" w:color="auto"/>
              <w:right w:val="single" w:sz="4" w:space="0" w:color="auto"/>
            </w:tcBorders>
            <w:hideMark/>
          </w:tcPr>
          <w:p w14:paraId="01A0487F" w14:textId="77777777" w:rsidR="001A0058" w:rsidRDefault="001A0058">
            <w:pPr>
              <w:pStyle w:val="Tabletext1"/>
            </w:pPr>
            <w:r>
              <w:t>No</w:t>
            </w:r>
          </w:p>
        </w:tc>
        <w:tc>
          <w:tcPr>
            <w:tcW w:w="2268" w:type="dxa"/>
            <w:tcBorders>
              <w:top w:val="single" w:sz="4" w:space="0" w:color="auto"/>
              <w:left w:val="single" w:sz="4" w:space="0" w:color="auto"/>
              <w:bottom w:val="single" w:sz="4" w:space="0" w:color="auto"/>
              <w:right w:val="single" w:sz="4" w:space="0" w:color="auto"/>
            </w:tcBorders>
            <w:hideMark/>
          </w:tcPr>
          <w:p w14:paraId="7D09DDC4" w14:textId="11A76C0C" w:rsidR="001A0058" w:rsidRDefault="001A0058">
            <w:pPr>
              <w:pStyle w:val="Tabletext1"/>
            </w:pPr>
            <w:r>
              <w:t>The AUC for predicting ongoing menses at 2 years follow</w:t>
            </w:r>
            <w:r w:rsidR="00DE6DD5">
              <w:t>-</w:t>
            </w:r>
            <w:r>
              <w:t>up was 0.90</w:t>
            </w:r>
            <w:r w:rsidR="00882BFE">
              <w:t xml:space="preserve"> (95%CI 0.82, </w:t>
            </w:r>
            <w:r>
              <w:t>0.97) for AMH.</w:t>
            </w:r>
          </w:p>
          <w:p w14:paraId="7E8D99CB" w14:textId="77777777" w:rsidR="001A0058" w:rsidRDefault="001A0058">
            <w:pPr>
              <w:pStyle w:val="Tabletext1"/>
            </w:pPr>
            <w:r>
              <w:t>AUC for AMH predicting amenorrhea or oligomenorrhea after 6 months was 0.86.</w:t>
            </w:r>
          </w:p>
        </w:tc>
        <w:tc>
          <w:tcPr>
            <w:tcW w:w="2127" w:type="dxa"/>
            <w:tcBorders>
              <w:top w:val="single" w:sz="4" w:space="0" w:color="auto"/>
              <w:left w:val="single" w:sz="4" w:space="0" w:color="auto"/>
              <w:bottom w:val="single" w:sz="4" w:space="0" w:color="auto"/>
              <w:right w:val="single" w:sz="4" w:space="0" w:color="auto"/>
            </w:tcBorders>
            <w:hideMark/>
          </w:tcPr>
          <w:p w14:paraId="1951F437" w14:textId="35B70CB0" w:rsidR="001A0058" w:rsidRDefault="001A0058">
            <w:pPr>
              <w:pStyle w:val="Tabletext1"/>
            </w:pPr>
            <w:r>
              <w:t>Follow-up at 2 years (AUC):</w:t>
            </w:r>
          </w:p>
          <w:p w14:paraId="78129202" w14:textId="019BDDFE" w:rsidR="001A0058" w:rsidRDefault="00882BFE">
            <w:pPr>
              <w:pStyle w:val="Tabletext1"/>
            </w:pPr>
            <w:r>
              <w:t xml:space="preserve">Age: 0.88 (95%CI 0.78, </w:t>
            </w:r>
            <w:r w:rsidR="001A0058">
              <w:t>0.97)</w:t>
            </w:r>
          </w:p>
          <w:p w14:paraId="7B78411F" w14:textId="77777777" w:rsidR="001A0058" w:rsidRDefault="001A0058">
            <w:pPr>
              <w:pStyle w:val="Tabletext1"/>
            </w:pPr>
            <w:r>
              <w:t>Follow-up at 6 months (AUC):</w:t>
            </w:r>
          </w:p>
          <w:p w14:paraId="4F673FC4" w14:textId="77777777" w:rsidR="001A0058" w:rsidRDefault="001A0058">
            <w:pPr>
              <w:pStyle w:val="Tabletext1"/>
            </w:pPr>
            <w:r>
              <w:t>AFC: 0.81</w:t>
            </w:r>
          </w:p>
        </w:tc>
        <w:tc>
          <w:tcPr>
            <w:tcW w:w="1134" w:type="dxa"/>
            <w:tcBorders>
              <w:top w:val="single" w:sz="4" w:space="0" w:color="auto"/>
              <w:left w:val="single" w:sz="4" w:space="0" w:color="auto"/>
              <w:bottom w:val="single" w:sz="4" w:space="0" w:color="auto"/>
              <w:right w:val="single" w:sz="4" w:space="0" w:color="auto"/>
            </w:tcBorders>
            <w:hideMark/>
          </w:tcPr>
          <w:p w14:paraId="470625A2"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51DE931D" w14:textId="77777777" w:rsidR="001A0058" w:rsidRDefault="001A0058">
            <w:pPr>
              <w:pStyle w:val="Tabletext1"/>
            </w:pPr>
            <w:r>
              <w:t>Very low quality</w:t>
            </w:r>
          </w:p>
        </w:tc>
        <w:tc>
          <w:tcPr>
            <w:tcW w:w="1357" w:type="dxa"/>
            <w:tcBorders>
              <w:top w:val="single" w:sz="4" w:space="0" w:color="auto"/>
              <w:left w:val="single" w:sz="4" w:space="0" w:color="auto"/>
              <w:bottom w:val="single" w:sz="4" w:space="0" w:color="auto"/>
              <w:right w:val="single" w:sz="4" w:space="0" w:color="auto"/>
            </w:tcBorders>
            <w:hideMark/>
          </w:tcPr>
          <w:p w14:paraId="62BEA283" w14:textId="77777777" w:rsidR="001A0058" w:rsidRDefault="001A0058">
            <w:pPr>
              <w:pStyle w:val="Tabletext1"/>
            </w:pPr>
            <w:r>
              <w:t xml:space="preserve">Not important (no evidence of incremental value, unknown how to use this evidence in clinical practice) </w:t>
            </w:r>
          </w:p>
        </w:tc>
      </w:tr>
      <w:tr w:rsidR="001A0058" w14:paraId="51155B4D" w14:textId="77777777" w:rsidTr="00C802C4">
        <w:trPr>
          <w:trHeight w:val="788"/>
        </w:trPr>
        <w:tc>
          <w:tcPr>
            <w:tcW w:w="1570" w:type="dxa"/>
            <w:tcBorders>
              <w:top w:val="single" w:sz="4" w:space="0" w:color="auto"/>
              <w:left w:val="single" w:sz="4" w:space="0" w:color="auto"/>
              <w:bottom w:val="single" w:sz="4" w:space="0" w:color="auto"/>
              <w:right w:val="single" w:sz="4" w:space="0" w:color="auto"/>
            </w:tcBorders>
            <w:hideMark/>
          </w:tcPr>
          <w:p w14:paraId="70E54FE8" w14:textId="77777777" w:rsidR="001A0058" w:rsidRDefault="001A0058">
            <w:pPr>
              <w:pStyle w:val="Tabletext1"/>
            </w:pPr>
            <w:r>
              <w:t>Average AMH levels in patients with CRA after treatment compared with baseline AMH levels in patients without CRA</w:t>
            </w:r>
          </w:p>
        </w:tc>
        <w:tc>
          <w:tcPr>
            <w:tcW w:w="1627" w:type="dxa"/>
            <w:tcBorders>
              <w:top w:val="single" w:sz="4" w:space="0" w:color="auto"/>
              <w:left w:val="single" w:sz="4" w:space="0" w:color="auto"/>
              <w:bottom w:val="single" w:sz="4" w:space="0" w:color="auto"/>
              <w:right w:val="single" w:sz="4" w:space="0" w:color="auto"/>
            </w:tcBorders>
            <w:hideMark/>
          </w:tcPr>
          <w:p w14:paraId="28377337" w14:textId="77777777" w:rsidR="001A0058" w:rsidRDefault="001A0058">
            <w:pPr>
              <w:pStyle w:val="Tabletext1"/>
            </w:pPr>
            <w:r>
              <w:t>n=111</w:t>
            </w:r>
          </w:p>
          <w:p w14:paraId="724BC93D" w14:textId="77777777" w:rsidR="001A0058" w:rsidRDefault="001A0058">
            <w:pPr>
              <w:pStyle w:val="Tabletext1"/>
            </w:pPr>
            <w:r>
              <w:t>k=1</w:t>
            </w:r>
          </w:p>
          <w:p w14:paraId="60741535" w14:textId="77777777" w:rsidR="001A0058" w:rsidRDefault="001A0058">
            <w:pPr>
              <w:pStyle w:val="Tabletext1"/>
            </w:pPr>
            <w:r>
              <w:t>Cohort study</w:t>
            </w:r>
          </w:p>
        </w:tc>
        <w:tc>
          <w:tcPr>
            <w:tcW w:w="909" w:type="dxa"/>
            <w:tcBorders>
              <w:top w:val="single" w:sz="4" w:space="0" w:color="auto"/>
              <w:left w:val="single" w:sz="4" w:space="0" w:color="auto"/>
              <w:bottom w:val="single" w:sz="4" w:space="0" w:color="auto"/>
              <w:right w:val="single" w:sz="4" w:space="0" w:color="auto"/>
            </w:tcBorders>
            <w:hideMark/>
          </w:tcPr>
          <w:p w14:paraId="605E6965" w14:textId="77777777" w:rsidR="001A0058" w:rsidRDefault="001A0058">
            <w:pPr>
              <w:pStyle w:val="Tabletext1"/>
            </w:pPr>
            <w:r>
              <w:t>0</w:t>
            </w:r>
          </w:p>
          <w:p w14:paraId="20FE2B0C"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51C63FA7" w14:textId="77777777" w:rsidR="001A0058" w:rsidRDefault="001A0058">
            <w:pPr>
              <w:pStyle w:val="Tabletext1"/>
            </w:pPr>
            <w:r>
              <w:t>NA</w:t>
            </w:r>
          </w:p>
        </w:tc>
        <w:tc>
          <w:tcPr>
            <w:tcW w:w="1308" w:type="dxa"/>
            <w:tcBorders>
              <w:top w:val="single" w:sz="4" w:space="0" w:color="auto"/>
              <w:left w:val="single" w:sz="4" w:space="0" w:color="auto"/>
              <w:bottom w:val="single" w:sz="4" w:space="0" w:color="auto"/>
              <w:right w:val="single" w:sz="4" w:space="0" w:color="auto"/>
            </w:tcBorders>
            <w:hideMark/>
          </w:tcPr>
          <w:p w14:paraId="3D84D0C5" w14:textId="77777777" w:rsidR="001A0058" w:rsidRDefault="001A0058">
            <w:pPr>
              <w:pStyle w:val="Tabletext1"/>
            </w:pPr>
            <w:r>
              <w:t>-1</w:t>
            </w:r>
          </w:p>
          <w:p w14:paraId="2B49ED02"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4E163E97" w14:textId="77777777" w:rsidR="001A0058" w:rsidRDefault="001A0058">
            <w:pPr>
              <w:pStyle w:val="Tabletext1"/>
            </w:pPr>
            <w:r>
              <w:t>0</w:t>
            </w:r>
          </w:p>
        </w:tc>
        <w:tc>
          <w:tcPr>
            <w:tcW w:w="850" w:type="dxa"/>
            <w:tcBorders>
              <w:top w:val="single" w:sz="4" w:space="0" w:color="auto"/>
              <w:left w:val="single" w:sz="4" w:space="0" w:color="auto"/>
              <w:bottom w:val="single" w:sz="4" w:space="0" w:color="auto"/>
              <w:right w:val="single" w:sz="4" w:space="0" w:color="auto"/>
            </w:tcBorders>
            <w:hideMark/>
          </w:tcPr>
          <w:p w14:paraId="466C1107" w14:textId="77777777" w:rsidR="001A0058" w:rsidRDefault="001A0058">
            <w:pPr>
              <w:pStyle w:val="Tabletext1"/>
            </w:pPr>
            <w:r>
              <w:t>No</w:t>
            </w:r>
          </w:p>
        </w:tc>
        <w:tc>
          <w:tcPr>
            <w:tcW w:w="2268" w:type="dxa"/>
            <w:tcBorders>
              <w:top w:val="single" w:sz="4" w:space="0" w:color="auto"/>
              <w:left w:val="single" w:sz="4" w:space="0" w:color="auto"/>
              <w:bottom w:val="single" w:sz="4" w:space="0" w:color="auto"/>
              <w:right w:val="single" w:sz="4" w:space="0" w:color="auto"/>
            </w:tcBorders>
            <w:hideMark/>
          </w:tcPr>
          <w:p w14:paraId="3AD62225" w14:textId="62C4E8E1" w:rsidR="001A0058" w:rsidRDefault="001A0058">
            <w:pPr>
              <w:pStyle w:val="Tabletext1"/>
            </w:pPr>
            <w:r>
              <w:t>Compared to women without CRA, the average AMH value in 4 women with CRA was s</w:t>
            </w:r>
            <w:r w:rsidR="00882BFE">
              <w:t>ignificantly lower</w:t>
            </w:r>
            <w:r w:rsidR="00C802C4">
              <w:t xml:space="preserve">: </w:t>
            </w:r>
            <w:r w:rsidR="00882BFE">
              <w:t>25.2 pg/mL (range &lt;25</w:t>
            </w:r>
            <w:r w:rsidR="00C802C4">
              <w:t>–</w:t>
            </w:r>
            <w:r w:rsidR="00882BFE">
              <w:t>233.5 pg/mL) vs 179.4 pg/mL (range 96.2–</w:t>
            </w:r>
            <w:r w:rsidR="00C802C4">
              <w:t>334.1 pg/mL; p</w:t>
            </w:r>
            <w:r>
              <w:t>=0.</w:t>
            </w:r>
            <w:r w:rsidR="0048183F">
              <w:t>03.</w:t>
            </w:r>
          </w:p>
        </w:tc>
        <w:tc>
          <w:tcPr>
            <w:tcW w:w="2127" w:type="dxa"/>
            <w:tcBorders>
              <w:top w:val="single" w:sz="4" w:space="0" w:color="auto"/>
              <w:left w:val="single" w:sz="4" w:space="0" w:color="auto"/>
              <w:bottom w:val="single" w:sz="4" w:space="0" w:color="auto"/>
              <w:right w:val="single" w:sz="4" w:space="0" w:color="auto"/>
            </w:tcBorders>
            <w:hideMark/>
          </w:tcPr>
          <w:p w14:paraId="43E8AECC" w14:textId="3B49CD2C" w:rsidR="001A0058" w:rsidRDefault="001A0058">
            <w:pPr>
              <w:pStyle w:val="Tabletext1"/>
            </w:pPr>
            <w:r>
              <w:t>FS</w:t>
            </w:r>
            <w:r w:rsidR="00C802C4">
              <w:t xml:space="preserve">H was higher in women with CRA: </w:t>
            </w:r>
            <w:r>
              <w:t>48</w:t>
            </w:r>
            <w:r w:rsidR="00C802C4">
              <w:t>.1 IU/L (range 13.3–173.7 IU/L) vs 17.4 IU/L (range, 12.2–24.7 IU/L); p</w:t>
            </w:r>
            <w:r>
              <w:t>=0.</w:t>
            </w:r>
            <w:r w:rsidR="0048183F">
              <w:t>04.</w:t>
            </w:r>
          </w:p>
        </w:tc>
        <w:tc>
          <w:tcPr>
            <w:tcW w:w="1134" w:type="dxa"/>
            <w:tcBorders>
              <w:top w:val="single" w:sz="4" w:space="0" w:color="auto"/>
              <w:left w:val="single" w:sz="4" w:space="0" w:color="auto"/>
              <w:bottom w:val="single" w:sz="4" w:space="0" w:color="auto"/>
              <w:right w:val="single" w:sz="4" w:space="0" w:color="auto"/>
            </w:tcBorders>
            <w:hideMark/>
          </w:tcPr>
          <w:p w14:paraId="50869B47"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56FFE475" w14:textId="77777777" w:rsidR="001A0058" w:rsidRDefault="001A0058">
            <w:pPr>
              <w:pStyle w:val="Tabletext1"/>
            </w:pPr>
            <w:r>
              <w:t>Very low quality</w:t>
            </w:r>
          </w:p>
        </w:tc>
        <w:tc>
          <w:tcPr>
            <w:tcW w:w="1357" w:type="dxa"/>
            <w:tcBorders>
              <w:top w:val="single" w:sz="4" w:space="0" w:color="auto"/>
              <w:left w:val="single" w:sz="4" w:space="0" w:color="auto"/>
              <w:bottom w:val="single" w:sz="4" w:space="0" w:color="auto"/>
              <w:right w:val="single" w:sz="4" w:space="0" w:color="auto"/>
            </w:tcBorders>
            <w:hideMark/>
          </w:tcPr>
          <w:p w14:paraId="31EC4B66" w14:textId="77777777" w:rsidR="001A0058" w:rsidRDefault="001A0058">
            <w:pPr>
              <w:pStyle w:val="Tabletext1"/>
            </w:pPr>
            <w:r>
              <w:t>Not important (no evidence of incremental value, unknown how to use this evidence in clinical practice)</w:t>
            </w:r>
          </w:p>
        </w:tc>
      </w:tr>
      <w:tr w:rsidR="001A0058" w14:paraId="489F2F5C" w14:textId="77777777" w:rsidTr="00C802C4">
        <w:trPr>
          <w:trHeight w:val="502"/>
        </w:trPr>
        <w:tc>
          <w:tcPr>
            <w:tcW w:w="1570" w:type="dxa"/>
            <w:tcBorders>
              <w:top w:val="single" w:sz="4" w:space="0" w:color="auto"/>
              <w:left w:val="single" w:sz="4" w:space="0" w:color="auto"/>
              <w:bottom w:val="single" w:sz="4" w:space="0" w:color="auto"/>
              <w:right w:val="single" w:sz="4" w:space="0" w:color="auto"/>
            </w:tcBorders>
            <w:hideMark/>
          </w:tcPr>
          <w:p w14:paraId="3B5C6B3F" w14:textId="77777777" w:rsidR="001A0058" w:rsidRDefault="001A0058">
            <w:pPr>
              <w:pStyle w:val="Tabletext1"/>
            </w:pPr>
            <w:r>
              <w:t xml:space="preserve">Accuracy of AMH for predicting ovarian function after gonadotoxic </w:t>
            </w:r>
            <w:r>
              <w:lastRenderedPageBreak/>
              <w:t>treatment (ROC)</w:t>
            </w:r>
          </w:p>
        </w:tc>
        <w:tc>
          <w:tcPr>
            <w:tcW w:w="1627" w:type="dxa"/>
            <w:tcBorders>
              <w:top w:val="single" w:sz="4" w:space="0" w:color="auto"/>
              <w:left w:val="single" w:sz="4" w:space="0" w:color="auto"/>
              <w:bottom w:val="single" w:sz="4" w:space="0" w:color="auto"/>
              <w:right w:val="single" w:sz="4" w:space="0" w:color="auto"/>
            </w:tcBorders>
            <w:hideMark/>
          </w:tcPr>
          <w:p w14:paraId="638B144B" w14:textId="77777777" w:rsidR="001A0058" w:rsidRDefault="001A0058">
            <w:pPr>
              <w:pStyle w:val="Tabletext1"/>
            </w:pPr>
            <w:r>
              <w:lastRenderedPageBreak/>
              <w:t>n=39</w:t>
            </w:r>
          </w:p>
          <w:p w14:paraId="69967B3A" w14:textId="77777777" w:rsidR="001A0058" w:rsidRDefault="001A0058">
            <w:pPr>
              <w:pStyle w:val="Tabletext1"/>
            </w:pPr>
            <w:r>
              <w:t>k=1</w:t>
            </w:r>
          </w:p>
          <w:p w14:paraId="4D02552F" w14:textId="77777777" w:rsidR="001A0058" w:rsidRDefault="001A0058">
            <w:pPr>
              <w:pStyle w:val="Tabletext1"/>
            </w:pPr>
            <w:r>
              <w:t>Cohort study</w:t>
            </w:r>
          </w:p>
        </w:tc>
        <w:tc>
          <w:tcPr>
            <w:tcW w:w="909" w:type="dxa"/>
            <w:tcBorders>
              <w:top w:val="single" w:sz="4" w:space="0" w:color="auto"/>
              <w:left w:val="single" w:sz="4" w:space="0" w:color="auto"/>
              <w:bottom w:val="single" w:sz="4" w:space="0" w:color="auto"/>
              <w:right w:val="single" w:sz="4" w:space="0" w:color="auto"/>
            </w:tcBorders>
            <w:hideMark/>
          </w:tcPr>
          <w:p w14:paraId="6D8AC23D" w14:textId="77777777" w:rsidR="001A0058" w:rsidRDefault="001A0058">
            <w:pPr>
              <w:pStyle w:val="Tabletext1"/>
            </w:pPr>
            <w:r>
              <w:t>0</w:t>
            </w:r>
          </w:p>
          <w:p w14:paraId="7F4A9A03"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6C036F08" w14:textId="77777777" w:rsidR="001A0058" w:rsidRDefault="001A0058">
            <w:pPr>
              <w:pStyle w:val="Tabletext1"/>
            </w:pPr>
            <w:r>
              <w:t>NA</w:t>
            </w:r>
          </w:p>
        </w:tc>
        <w:tc>
          <w:tcPr>
            <w:tcW w:w="1308" w:type="dxa"/>
            <w:tcBorders>
              <w:top w:val="single" w:sz="4" w:space="0" w:color="auto"/>
              <w:left w:val="single" w:sz="4" w:space="0" w:color="auto"/>
              <w:bottom w:val="single" w:sz="4" w:space="0" w:color="auto"/>
              <w:right w:val="single" w:sz="4" w:space="0" w:color="auto"/>
            </w:tcBorders>
            <w:hideMark/>
          </w:tcPr>
          <w:p w14:paraId="5AC76F2E" w14:textId="77777777" w:rsidR="001A0058" w:rsidRDefault="001A0058">
            <w:pPr>
              <w:pStyle w:val="Tabletext1"/>
            </w:pPr>
            <w:r>
              <w:t>-1</w:t>
            </w:r>
          </w:p>
          <w:p w14:paraId="3001197E" w14:textId="77777777" w:rsidR="001A0058" w:rsidRDefault="001A0058">
            <w:pPr>
              <w:pStyle w:val="Tabletext1"/>
            </w:pPr>
            <w:r>
              <w:t xml:space="preserve">No evidence of incremental value of AMH </w:t>
            </w:r>
            <w:r>
              <w:lastRenderedPageBreak/>
              <w:t>was provided</w:t>
            </w:r>
          </w:p>
        </w:tc>
        <w:tc>
          <w:tcPr>
            <w:tcW w:w="851" w:type="dxa"/>
            <w:tcBorders>
              <w:top w:val="single" w:sz="4" w:space="0" w:color="auto"/>
              <w:left w:val="single" w:sz="4" w:space="0" w:color="auto"/>
              <w:bottom w:val="single" w:sz="4" w:space="0" w:color="auto"/>
              <w:right w:val="single" w:sz="4" w:space="0" w:color="auto"/>
            </w:tcBorders>
            <w:hideMark/>
          </w:tcPr>
          <w:p w14:paraId="353BD230" w14:textId="77777777" w:rsidR="001A0058" w:rsidRDefault="001A0058">
            <w:pPr>
              <w:pStyle w:val="Tabletext1"/>
            </w:pPr>
            <w:r>
              <w:lastRenderedPageBreak/>
              <w:t>-1</w:t>
            </w:r>
          </w:p>
          <w:p w14:paraId="52FB45FE" w14:textId="77777777" w:rsidR="001A0058" w:rsidRDefault="001A0058">
            <w:pPr>
              <w:pStyle w:val="Tabletext1"/>
            </w:pPr>
            <w:r>
              <w:rPr>
                <w:bCs/>
              </w:rPr>
              <w:t xml:space="preserve">Due to few patients </w:t>
            </w:r>
            <w:r>
              <w:rPr>
                <w:bCs/>
              </w:rPr>
              <w:lastRenderedPageBreak/>
              <w:t>included and only one study</w:t>
            </w:r>
          </w:p>
        </w:tc>
        <w:tc>
          <w:tcPr>
            <w:tcW w:w="850" w:type="dxa"/>
            <w:tcBorders>
              <w:top w:val="single" w:sz="4" w:space="0" w:color="auto"/>
              <w:left w:val="single" w:sz="4" w:space="0" w:color="auto"/>
              <w:bottom w:val="single" w:sz="4" w:space="0" w:color="auto"/>
              <w:right w:val="single" w:sz="4" w:space="0" w:color="auto"/>
            </w:tcBorders>
            <w:hideMark/>
          </w:tcPr>
          <w:p w14:paraId="0CB8F0DA" w14:textId="77777777" w:rsidR="001A0058" w:rsidRDefault="001A0058">
            <w:pPr>
              <w:pStyle w:val="Tabletext1"/>
            </w:pPr>
            <w:r>
              <w:lastRenderedPageBreak/>
              <w:t>No</w:t>
            </w:r>
          </w:p>
        </w:tc>
        <w:tc>
          <w:tcPr>
            <w:tcW w:w="2268" w:type="dxa"/>
            <w:tcBorders>
              <w:top w:val="single" w:sz="4" w:space="0" w:color="auto"/>
              <w:left w:val="single" w:sz="4" w:space="0" w:color="auto"/>
              <w:bottom w:val="single" w:sz="4" w:space="0" w:color="auto"/>
              <w:right w:val="single" w:sz="4" w:space="0" w:color="auto"/>
            </w:tcBorders>
            <w:hideMark/>
          </w:tcPr>
          <w:p w14:paraId="2DFC8AED" w14:textId="6DDC763B" w:rsidR="001A0058" w:rsidRDefault="001A0058">
            <w:pPr>
              <w:pStyle w:val="Tabletext1"/>
            </w:pPr>
            <w:r>
              <w:rPr>
                <w:color w:val="000000" w:themeColor="text1"/>
              </w:rPr>
              <w:t>AMH AU</w:t>
            </w:r>
            <w:r w:rsidR="00C802C4">
              <w:rPr>
                <w:color w:val="000000" w:themeColor="text1"/>
              </w:rPr>
              <w:t>C: 0.99 (95%CI 0.97, 1.01), p &lt;</w:t>
            </w:r>
            <w:r>
              <w:rPr>
                <w:color w:val="000000" w:themeColor="text1"/>
              </w:rPr>
              <w:t>0.</w:t>
            </w:r>
            <w:r w:rsidR="0048183F">
              <w:rPr>
                <w:color w:val="000000" w:themeColor="text1"/>
              </w:rPr>
              <w:t>0001.</w:t>
            </w:r>
          </w:p>
        </w:tc>
        <w:tc>
          <w:tcPr>
            <w:tcW w:w="2127" w:type="dxa"/>
            <w:tcBorders>
              <w:top w:val="single" w:sz="4" w:space="0" w:color="auto"/>
              <w:left w:val="single" w:sz="4" w:space="0" w:color="auto"/>
              <w:bottom w:val="single" w:sz="4" w:space="0" w:color="auto"/>
              <w:right w:val="single" w:sz="4" w:space="0" w:color="auto"/>
            </w:tcBorders>
            <w:hideMark/>
          </w:tcPr>
          <w:p w14:paraId="4C6A749F" w14:textId="74DF423E" w:rsidR="001A0058" w:rsidRDefault="001A0058">
            <w:pPr>
              <w:pStyle w:val="Tabletext1"/>
              <w:rPr>
                <w:color w:val="000000" w:themeColor="text1"/>
              </w:rPr>
            </w:pPr>
            <w:r>
              <w:t xml:space="preserve">FSH AUC: </w:t>
            </w:r>
            <w:r>
              <w:rPr>
                <w:color w:val="000000" w:themeColor="text1"/>
              </w:rPr>
              <w:t>0.86 (95%CI 0.73,</w:t>
            </w:r>
            <w:r w:rsidR="00C802C4">
              <w:rPr>
                <w:color w:val="000000" w:themeColor="text1"/>
              </w:rPr>
              <w:t xml:space="preserve"> 0.98), p=</w:t>
            </w:r>
            <w:r>
              <w:rPr>
                <w:color w:val="000000" w:themeColor="text1"/>
              </w:rPr>
              <w:t>0.001</w:t>
            </w:r>
          </w:p>
          <w:p w14:paraId="2B08DF64" w14:textId="347B4CFF" w:rsidR="001A0058" w:rsidRDefault="001A0058">
            <w:pPr>
              <w:pStyle w:val="Tabletext1"/>
              <w:rPr>
                <w:color w:val="000000" w:themeColor="text1"/>
              </w:rPr>
            </w:pPr>
            <w:r>
              <w:rPr>
                <w:color w:val="000000" w:themeColor="text1"/>
              </w:rPr>
              <w:t>E2 AUC</w:t>
            </w:r>
            <w:r w:rsidR="00C802C4">
              <w:rPr>
                <w:color w:val="000000" w:themeColor="text1"/>
              </w:rPr>
              <w:t>: 0.93 (95 5CI 0.83, 1.03); p &lt;0.00</w:t>
            </w:r>
            <w:r>
              <w:rPr>
                <w:color w:val="000000" w:themeColor="text1"/>
              </w:rPr>
              <w:t>1</w:t>
            </w:r>
          </w:p>
          <w:p w14:paraId="0E6EBAD3" w14:textId="4F649CCD" w:rsidR="001A0058" w:rsidRDefault="001A0058">
            <w:pPr>
              <w:pStyle w:val="Tabletext1"/>
            </w:pPr>
            <w:r>
              <w:rPr>
                <w:color w:val="000000" w:themeColor="text1"/>
              </w:rPr>
              <w:lastRenderedPageBreak/>
              <w:t>Inhibin B AU</w:t>
            </w:r>
            <w:r w:rsidR="00C802C4">
              <w:rPr>
                <w:color w:val="000000" w:themeColor="text1"/>
              </w:rPr>
              <w:t>C: 0.74 (95%CI 0.54, 0.94); p=</w:t>
            </w:r>
            <w:r>
              <w:rPr>
                <w:color w:val="000000" w:themeColor="text1"/>
              </w:rPr>
              <w:t>0.</w:t>
            </w:r>
            <w:r w:rsidR="0048183F">
              <w:rPr>
                <w:color w:val="000000" w:themeColor="text1"/>
              </w:rPr>
              <w:t>03.</w:t>
            </w:r>
          </w:p>
        </w:tc>
        <w:tc>
          <w:tcPr>
            <w:tcW w:w="1134" w:type="dxa"/>
            <w:tcBorders>
              <w:top w:val="single" w:sz="4" w:space="0" w:color="auto"/>
              <w:left w:val="single" w:sz="4" w:space="0" w:color="auto"/>
              <w:bottom w:val="single" w:sz="4" w:space="0" w:color="auto"/>
              <w:right w:val="single" w:sz="4" w:space="0" w:color="auto"/>
            </w:tcBorders>
            <w:hideMark/>
          </w:tcPr>
          <w:p w14:paraId="4901ECAB"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lastRenderedPageBreak/>
              <w:t>⨁</w:t>
            </w:r>
            <w:r>
              <w:rPr>
                <w:rFonts w:ascii="Cambria Math" w:hAnsi="Cambria Math" w:cs="Cambria Math"/>
                <w:color w:val="C00000"/>
              </w:rPr>
              <w:t>⨀⨀⨀</w:t>
            </w:r>
          </w:p>
          <w:p w14:paraId="69E148EA" w14:textId="77777777" w:rsidR="001A0058" w:rsidRDefault="001A0058">
            <w:pPr>
              <w:pStyle w:val="Tabletext1"/>
            </w:pPr>
            <w:r>
              <w:t>Very low quality</w:t>
            </w:r>
          </w:p>
        </w:tc>
        <w:tc>
          <w:tcPr>
            <w:tcW w:w="1357" w:type="dxa"/>
            <w:tcBorders>
              <w:top w:val="single" w:sz="4" w:space="0" w:color="auto"/>
              <w:left w:val="single" w:sz="4" w:space="0" w:color="auto"/>
              <w:bottom w:val="single" w:sz="4" w:space="0" w:color="auto"/>
              <w:right w:val="single" w:sz="4" w:space="0" w:color="auto"/>
            </w:tcBorders>
            <w:hideMark/>
          </w:tcPr>
          <w:p w14:paraId="02B72F53" w14:textId="77777777" w:rsidR="001A0058" w:rsidRDefault="001A0058">
            <w:pPr>
              <w:pStyle w:val="Tabletext1"/>
            </w:pPr>
            <w:r>
              <w:t xml:space="preserve">Not important (no evidence of incremental value, unknown </w:t>
            </w:r>
            <w:r>
              <w:lastRenderedPageBreak/>
              <w:t>how to use this evidence in clinical practice)</w:t>
            </w:r>
          </w:p>
        </w:tc>
      </w:tr>
      <w:tr w:rsidR="001A0058" w14:paraId="2966B449" w14:textId="77777777" w:rsidTr="00C802C4">
        <w:trPr>
          <w:trHeight w:val="502"/>
        </w:trPr>
        <w:tc>
          <w:tcPr>
            <w:tcW w:w="1570" w:type="dxa"/>
            <w:tcBorders>
              <w:top w:val="single" w:sz="4" w:space="0" w:color="auto"/>
              <w:left w:val="single" w:sz="4" w:space="0" w:color="auto"/>
              <w:bottom w:val="single" w:sz="4" w:space="0" w:color="auto"/>
              <w:right w:val="single" w:sz="4" w:space="0" w:color="auto"/>
            </w:tcBorders>
            <w:hideMark/>
          </w:tcPr>
          <w:p w14:paraId="1DE8BCB6" w14:textId="77777777" w:rsidR="001A0058" w:rsidRDefault="001A0058">
            <w:pPr>
              <w:pStyle w:val="Tabletext1"/>
            </w:pPr>
            <w:r>
              <w:lastRenderedPageBreak/>
              <w:t>Predictive value of AMH predicting pregnancy outcomes</w:t>
            </w:r>
          </w:p>
        </w:tc>
        <w:tc>
          <w:tcPr>
            <w:tcW w:w="1627" w:type="dxa"/>
            <w:tcBorders>
              <w:top w:val="single" w:sz="4" w:space="0" w:color="auto"/>
              <w:left w:val="single" w:sz="4" w:space="0" w:color="auto"/>
              <w:bottom w:val="single" w:sz="4" w:space="0" w:color="auto"/>
              <w:right w:val="single" w:sz="4" w:space="0" w:color="auto"/>
            </w:tcBorders>
            <w:hideMark/>
          </w:tcPr>
          <w:p w14:paraId="049C45E6" w14:textId="77777777" w:rsidR="001A0058" w:rsidRDefault="001A0058">
            <w:pPr>
              <w:pStyle w:val="Tabletext1"/>
            </w:pPr>
            <w:r>
              <w:t>n=395</w:t>
            </w:r>
          </w:p>
          <w:p w14:paraId="7A32295F" w14:textId="77777777" w:rsidR="001A0058" w:rsidRDefault="001A0058">
            <w:pPr>
              <w:pStyle w:val="Tabletext1"/>
            </w:pPr>
            <w:r>
              <w:t>k=5</w:t>
            </w:r>
          </w:p>
          <w:p w14:paraId="716A10C7" w14:textId="77777777" w:rsidR="001A0058" w:rsidRDefault="001A0058">
            <w:pPr>
              <w:pStyle w:val="Tabletext1"/>
            </w:pPr>
            <w:r>
              <w:t>Case control studies</w:t>
            </w:r>
          </w:p>
        </w:tc>
        <w:tc>
          <w:tcPr>
            <w:tcW w:w="909" w:type="dxa"/>
            <w:tcBorders>
              <w:top w:val="single" w:sz="4" w:space="0" w:color="auto"/>
              <w:left w:val="single" w:sz="4" w:space="0" w:color="auto"/>
              <w:bottom w:val="single" w:sz="4" w:space="0" w:color="auto"/>
              <w:right w:val="single" w:sz="4" w:space="0" w:color="auto"/>
            </w:tcBorders>
            <w:hideMark/>
          </w:tcPr>
          <w:p w14:paraId="0D129875" w14:textId="77777777" w:rsidR="001A0058" w:rsidRDefault="001A0058">
            <w:pPr>
              <w:pStyle w:val="Tabletext1"/>
            </w:pPr>
            <w:r>
              <w:t>-1</w:t>
            </w:r>
          </w:p>
          <w:p w14:paraId="1D6F8537" w14:textId="77777777" w:rsidR="001A0058" w:rsidRDefault="001A0058">
            <w:pPr>
              <w:pStyle w:val="Tabletext1"/>
            </w:pPr>
            <w:r>
              <w:t>Moderate risk of bias</w:t>
            </w:r>
          </w:p>
        </w:tc>
        <w:tc>
          <w:tcPr>
            <w:tcW w:w="1385" w:type="dxa"/>
            <w:tcBorders>
              <w:top w:val="single" w:sz="4" w:space="0" w:color="auto"/>
              <w:left w:val="single" w:sz="4" w:space="0" w:color="auto"/>
              <w:bottom w:val="single" w:sz="4" w:space="0" w:color="auto"/>
              <w:right w:val="single" w:sz="4" w:space="0" w:color="auto"/>
            </w:tcBorders>
            <w:hideMark/>
          </w:tcPr>
          <w:p w14:paraId="5A56581C" w14:textId="77777777" w:rsidR="001A0058" w:rsidRDefault="001A0058">
            <w:pPr>
              <w:pStyle w:val="Tabletext1"/>
            </w:pPr>
            <w:r>
              <w:t>0</w:t>
            </w:r>
          </w:p>
          <w:p w14:paraId="3D7F0ECD" w14:textId="77777777" w:rsidR="001A0058" w:rsidRDefault="001A0058">
            <w:pPr>
              <w:pStyle w:val="Tabletext1"/>
            </w:pPr>
            <w:r>
              <w:t>In most (4/5) studies, AMH did not show a relationship between AMH values and pregnancy.</w:t>
            </w:r>
          </w:p>
        </w:tc>
        <w:tc>
          <w:tcPr>
            <w:tcW w:w="1308" w:type="dxa"/>
            <w:tcBorders>
              <w:top w:val="single" w:sz="4" w:space="0" w:color="auto"/>
              <w:left w:val="single" w:sz="4" w:space="0" w:color="auto"/>
              <w:bottom w:val="single" w:sz="4" w:space="0" w:color="auto"/>
              <w:right w:val="single" w:sz="4" w:space="0" w:color="auto"/>
            </w:tcBorders>
            <w:hideMark/>
          </w:tcPr>
          <w:p w14:paraId="4E67A623" w14:textId="77777777" w:rsidR="001A0058" w:rsidRDefault="001A0058">
            <w:pPr>
              <w:pStyle w:val="Tabletext1"/>
            </w:pPr>
            <w:r>
              <w:t>-1</w:t>
            </w:r>
          </w:p>
          <w:p w14:paraId="795D7A7B"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1230C4DC" w14:textId="77777777" w:rsidR="001A0058" w:rsidRDefault="001A0058">
            <w:pPr>
              <w:pStyle w:val="Tabletext1"/>
            </w:pPr>
            <w:r>
              <w:t>-1</w:t>
            </w:r>
          </w:p>
        </w:tc>
        <w:tc>
          <w:tcPr>
            <w:tcW w:w="850" w:type="dxa"/>
            <w:tcBorders>
              <w:top w:val="single" w:sz="4" w:space="0" w:color="auto"/>
              <w:left w:val="single" w:sz="4" w:space="0" w:color="auto"/>
              <w:bottom w:val="single" w:sz="4" w:space="0" w:color="auto"/>
              <w:right w:val="single" w:sz="4" w:space="0" w:color="auto"/>
            </w:tcBorders>
            <w:hideMark/>
          </w:tcPr>
          <w:p w14:paraId="73FCEF48" w14:textId="77777777" w:rsidR="001A0058" w:rsidRDefault="001A0058">
            <w:pPr>
              <w:pStyle w:val="Tabletext1"/>
            </w:pPr>
            <w:r>
              <w:t>No</w:t>
            </w:r>
          </w:p>
        </w:tc>
        <w:tc>
          <w:tcPr>
            <w:tcW w:w="2268" w:type="dxa"/>
            <w:tcBorders>
              <w:top w:val="single" w:sz="4" w:space="0" w:color="auto"/>
              <w:left w:val="single" w:sz="4" w:space="0" w:color="auto"/>
              <w:bottom w:val="single" w:sz="4" w:space="0" w:color="auto"/>
              <w:right w:val="single" w:sz="4" w:space="0" w:color="auto"/>
            </w:tcBorders>
            <w:hideMark/>
          </w:tcPr>
          <w:p w14:paraId="4974824F" w14:textId="77777777" w:rsidR="001A0058" w:rsidRDefault="001A0058">
            <w:pPr>
              <w:pStyle w:val="Tabletext1"/>
              <w:rPr>
                <w:color w:val="000000" w:themeColor="text1"/>
              </w:rPr>
            </w:pPr>
            <w:r>
              <w:t>4/5 studies (n=360) did not report a statistically significant pregnancy rate difference in women with higher AMH values, compared to women with lower AMH values. One small study (n=35) reported a higher pregnancy rate in women with high AMH.</w:t>
            </w:r>
          </w:p>
        </w:tc>
        <w:tc>
          <w:tcPr>
            <w:tcW w:w="2127" w:type="dxa"/>
            <w:tcBorders>
              <w:top w:val="single" w:sz="4" w:space="0" w:color="auto"/>
              <w:left w:val="single" w:sz="4" w:space="0" w:color="auto"/>
              <w:bottom w:val="single" w:sz="4" w:space="0" w:color="auto"/>
              <w:right w:val="single" w:sz="4" w:space="0" w:color="auto"/>
            </w:tcBorders>
            <w:hideMark/>
          </w:tcPr>
          <w:p w14:paraId="15B7F2EF" w14:textId="77777777" w:rsidR="001A0058" w:rsidRDefault="001A0058">
            <w:pPr>
              <w:pStyle w:val="Tabletext1"/>
            </w:pPr>
            <w:r>
              <w:t>NA</w:t>
            </w:r>
          </w:p>
        </w:tc>
        <w:tc>
          <w:tcPr>
            <w:tcW w:w="1134" w:type="dxa"/>
            <w:tcBorders>
              <w:top w:val="single" w:sz="4" w:space="0" w:color="auto"/>
              <w:left w:val="single" w:sz="4" w:space="0" w:color="auto"/>
              <w:bottom w:val="single" w:sz="4" w:space="0" w:color="auto"/>
              <w:right w:val="single" w:sz="4" w:space="0" w:color="auto"/>
            </w:tcBorders>
            <w:hideMark/>
          </w:tcPr>
          <w:p w14:paraId="4CEF7352"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1927E8FB" w14:textId="77777777" w:rsidR="001A0058" w:rsidRDefault="001A0058">
            <w:pPr>
              <w:pStyle w:val="Tabletext1"/>
            </w:pPr>
            <w:r>
              <w:t>Very low quality</w:t>
            </w:r>
          </w:p>
        </w:tc>
        <w:tc>
          <w:tcPr>
            <w:tcW w:w="1357" w:type="dxa"/>
            <w:tcBorders>
              <w:top w:val="single" w:sz="4" w:space="0" w:color="auto"/>
              <w:left w:val="single" w:sz="4" w:space="0" w:color="auto"/>
              <w:bottom w:val="single" w:sz="4" w:space="0" w:color="auto"/>
              <w:right w:val="single" w:sz="4" w:space="0" w:color="auto"/>
            </w:tcBorders>
            <w:hideMark/>
          </w:tcPr>
          <w:p w14:paraId="2B21B702" w14:textId="4A6E9A7F" w:rsidR="001A0058" w:rsidRDefault="001A0058">
            <w:pPr>
              <w:pStyle w:val="Tabletext1"/>
            </w:pPr>
            <w:r>
              <w:t>Important</w:t>
            </w:r>
          </w:p>
          <w:p w14:paraId="477688B0" w14:textId="15C2BCB7" w:rsidR="001A0058" w:rsidRDefault="00C802C4">
            <w:pPr>
              <w:pStyle w:val="Tabletext1"/>
            </w:pPr>
            <w:r>
              <w:t>(n</w:t>
            </w:r>
            <w:r w:rsidR="001A0058">
              <w:t>o evidence of incremental value, however predicting pregnancy is a primary outcome)</w:t>
            </w:r>
          </w:p>
        </w:tc>
      </w:tr>
      <w:tr w:rsidR="001A0058" w14:paraId="23B8592A" w14:textId="77777777" w:rsidTr="00C802C4">
        <w:trPr>
          <w:trHeight w:val="502"/>
        </w:trPr>
        <w:tc>
          <w:tcPr>
            <w:tcW w:w="1570" w:type="dxa"/>
            <w:tcBorders>
              <w:top w:val="single" w:sz="4" w:space="0" w:color="auto"/>
              <w:left w:val="single" w:sz="4" w:space="0" w:color="auto"/>
              <w:bottom w:val="single" w:sz="4" w:space="0" w:color="auto"/>
              <w:right w:val="single" w:sz="4" w:space="0" w:color="auto"/>
            </w:tcBorders>
            <w:hideMark/>
          </w:tcPr>
          <w:p w14:paraId="641F2105" w14:textId="77777777" w:rsidR="001A0058" w:rsidRDefault="001A0058">
            <w:pPr>
              <w:pStyle w:val="Tabletext1"/>
            </w:pPr>
            <w:r>
              <w:t>Association between matured oocytes for cryopreservation and AMH levels</w:t>
            </w:r>
          </w:p>
        </w:tc>
        <w:tc>
          <w:tcPr>
            <w:tcW w:w="1627" w:type="dxa"/>
            <w:tcBorders>
              <w:top w:val="single" w:sz="4" w:space="0" w:color="auto"/>
              <w:left w:val="single" w:sz="4" w:space="0" w:color="auto"/>
              <w:bottom w:val="single" w:sz="4" w:space="0" w:color="auto"/>
              <w:right w:val="single" w:sz="4" w:space="0" w:color="auto"/>
            </w:tcBorders>
            <w:hideMark/>
          </w:tcPr>
          <w:p w14:paraId="1942A81E" w14:textId="77777777" w:rsidR="001A0058" w:rsidRDefault="001A0058">
            <w:pPr>
              <w:pStyle w:val="Tabletext1"/>
            </w:pPr>
            <w:r>
              <w:t>n=340</w:t>
            </w:r>
          </w:p>
          <w:p w14:paraId="2D383E92" w14:textId="77777777" w:rsidR="001A0058" w:rsidRDefault="001A0058">
            <w:pPr>
              <w:pStyle w:val="Tabletext1"/>
            </w:pPr>
            <w:r>
              <w:t>k=1</w:t>
            </w:r>
          </w:p>
          <w:p w14:paraId="61C53F4E" w14:textId="77777777" w:rsidR="001A0058" w:rsidRDefault="001A0058">
            <w:pPr>
              <w:pStyle w:val="Tabletext1"/>
            </w:pPr>
            <w:r>
              <w:t>Cohort study</w:t>
            </w:r>
          </w:p>
        </w:tc>
        <w:tc>
          <w:tcPr>
            <w:tcW w:w="909" w:type="dxa"/>
            <w:tcBorders>
              <w:top w:val="single" w:sz="4" w:space="0" w:color="auto"/>
              <w:left w:val="single" w:sz="4" w:space="0" w:color="auto"/>
              <w:bottom w:val="single" w:sz="4" w:space="0" w:color="auto"/>
              <w:right w:val="single" w:sz="4" w:space="0" w:color="auto"/>
            </w:tcBorders>
            <w:hideMark/>
          </w:tcPr>
          <w:p w14:paraId="671A6C20" w14:textId="77777777" w:rsidR="001A0058" w:rsidRDefault="001A0058">
            <w:pPr>
              <w:pStyle w:val="Tabletext1"/>
            </w:pPr>
            <w:r>
              <w:t>0</w:t>
            </w:r>
          </w:p>
          <w:p w14:paraId="7BB2EAD4" w14:textId="77777777" w:rsidR="001A0058" w:rsidRDefault="001A0058">
            <w:pPr>
              <w:pStyle w:val="Tabletext1"/>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19E7B3BD" w14:textId="77777777" w:rsidR="001A0058" w:rsidRDefault="001A0058">
            <w:pPr>
              <w:pStyle w:val="Tabletext1"/>
            </w:pPr>
            <w:r>
              <w:t>NA</w:t>
            </w:r>
          </w:p>
        </w:tc>
        <w:tc>
          <w:tcPr>
            <w:tcW w:w="1308" w:type="dxa"/>
            <w:tcBorders>
              <w:top w:val="single" w:sz="4" w:space="0" w:color="auto"/>
              <w:left w:val="single" w:sz="4" w:space="0" w:color="auto"/>
              <w:bottom w:val="single" w:sz="4" w:space="0" w:color="auto"/>
              <w:right w:val="single" w:sz="4" w:space="0" w:color="auto"/>
            </w:tcBorders>
            <w:hideMark/>
          </w:tcPr>
          <w:p w14:paraId="68E722B7" w14:textId="77777777" w:rsidR="001A0058" w:rsidRDefault="001A0058">
            <w:pPr>
              <w:pStyle w:val="Tabletext1"/>
            </w:pPr>
            <w:r>
              <w:t>-1</w:t>
            </w:r>
          </w:p>
          <w:p w14:paraId="062BA425"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5344D4DD" w14:textId="77777777" w:rsidR="001A0058" w:rsidRDefault="001A0058">
            <w:pPr>
              <w:pStyle w:val="Tabletext1"/>
            </w:pPr>
            <w:r>
              <w:t>0</w:t>
            </w:r>
          </w:p>
        </w:tc>
        <w:tc>
          <w:tcPr>
            <w:tcW w:w="850" w:type="dxa"/>
            <w:tcBorders>
              <w:top w:val="single" w:sz="4" w:space="0" w:color="auto"/>
              <w:left w:val="single" w:sz="4" w:space="0" w:color="auto"/>
              <w:bottom w:val="single" w:sz="4" w:space="0" w:color="auto"/>
              <w:right w:val="single" w:sz="4" w:space="0" w:color="auto"/>
            </w:tcBorders>
            <w:hideMark/>
          </w:tcPr>
          <w:p w14:paraId="12A70FAF" w14:textId="77777777" w:rsidR="001A0058" w:rsidRDefault="001A0058">
            <w:pPr>
              <w:pStyle w:val="Tabletext1"/>
            </w:pPr>
            <w:r>
              <w:t>No</w:t>
            </w:r>
          </w:p>
        </w:tc>
        <w:tc>
          <w:tcPr>
            <w:tcW w:w="2268" w:type="dxa"/>
            <w:tcBorders>
              <w:top w:val="single" w:sz="4" w:space="0" w:color="auto"/>
              <w:left w:val="single" w:sz="4" w:space="0" w:color="auto"/>
              <w:bottom w:val="single" w:sz="4" w:space="0" w:color="auto"/>
              <w:right w:val="single" w:sz="4" w:space="0" w:color="auto"/>
            </w:tcBorders>
            <w:hideMark/>
          </w:tcPr>
          <w:p w14:paraId="2E11678B" w14:textId="5F4B99D4" w:rsidR="001A0058" w:rsidRPr="00C9311D" w:rsidRDefault="001A0058" w:rsidP="00C9311D">
            <w:pPr>
              <w:pStyle w:val="Tabletext1"/>
            </w:pPr>
            <w:r w:rsidRPr="00C9311D">
              <w:t>Odds ratios and the AUCs for number of oocytes frozen (</w:t>
            </w:r>
            <w:r w:rsidR="00C9311D">
              <w:fldChar w:fldCharType="begin"/>
            </w:r>
            <w:r w:rsidR="00C9311D">
              <w:instrText xml:space="preserve"> REF _Ref497902050 \h </w:instrText>
            </w:r>
            <w:r w:rsidR="00C9311D">
              <w:fldChar w:fldCharType="separate"/>
            </w:r>
            <w:r w:rsidR="00AC4BE5">
              <w:t xml:space="preserve">Table </w:t>
            </w:r>
            <w:r w:rsidR="00AC4BE5">
              <w:rPr>
                <w:noProof/>
              </w:rPr>
              <w:t>50</w:t>
            </w:r>
            <w:r w:rsidR="00C9311D">
              <w:fldChar w:fldCharType="end"/>
            </w:r>
            <w:r w:rsidRPr="00C9311D">
              <w:t>). AMH would be moderate (0.7</w:t>
            </w:r>
            <w:r w:rsidR="00C802C4" w:rsidRPr="00C9311D">
              <w:t>–0.8) to good (0.8–</w:t>
            </w:r>
            <w:r w:rsidRPr="00C9311D">
              <w:t>0.9) at predicting oocyte yields above or below a threshold</w:t>
            </w:r>
          </w:p>
        </w:tc>
        <w:tc>
          <w:tcPr>
            <w:tcW w:w="2127" w:type="dxa"/>
            <w:tcBorders>
              <w:top w:val="single" w:sz="4" w:space="0" w:color="auto"/>
              <w:left w:val="single" w:sz="4" w:space="0" w:color="auto"/>
              <w:bottom w:val="single" w:sz="4" w:space="0" w:color="auto"/>
              <w:right w:val="single" w:sz="4" w:space="0" w:color="auto"/>
            </w:tcBorders>
            <w:hideMark/>
          </w:tcPr>
          <w:p w14:paraId="6CBE1776" w14:textId="725951C0" w:rsidR="001A0058" w:rsidRPr="00C9311D" w:rsidRDefault="001A0058">
            <w:pPr>
              <w:pStyle w:val="Tabletext1"/>
            </w:pPr>
            <w:r w:rsidRPr="00C9311D">
              <w:t>Odds ratios for AFC and the AUCs for number of oocytes frozen (</w:t>
            </w:r>
            <w:r w:rsidR="00C9311D">
              <w:fldChar w:fldCharType="begin"/>
            </w:r>
            <w:r w:rsidR="00C9311D">
              <w:instrText xml:space="preserve"> REF _Ref497902050 \h </w:instrText>
            </w:r>
            <w:r w:rsidR="00C9311D">
              <w:fldChar w:fldCharType="separate"/>
            </w:r>
            <w:r w:rsidR="00AC4BE5">
              <w:t xml:space="preserve">Table </w:t>
            </w:r>
            <w:r w:rsidR="00AC4BE5">
              <w:rPr>
                <w:noProof/>
              </w:rPr>
              <w:t>50</w:t>
            </w:r>
            <w:r w:rsidR="00C9311D">
              <w:fldChar w:fldCharType="end"/>
            </w:r>
            <w:r w:rsidRPr="00C9311D">
              <w:t>).</w:t>
            </w:r>
          </w:p>
          <w:p w14:paraId="5396ED25" w14:textId="7346B6FF" w:rsidR="001A0058" w:rsidRPr="00C9311D" w:rsidRDefault="00C802C4">
            <w:pPr>
              <w:pStyle w:val="Tabletext1"/>
            </w:pPr>
            <w:r w:rsidRPr="00C9311D">
              <w:t>AFC would have a good (0.8–</w:t>
            </w:r>
            <w:r w:rsidR="001A0058" w:rsidRPr="00C9311D">
              <w:t>0.9) accuracy for predicting an oocyte yield.</w:t>
            </w:r>
          </w:p>
        </w:tc>
        <w:tc>
          <w:tcPr>
            <w:tcW w:w="1134" w:type="dxa"/>
            <w:tcBorders>
              <w:top w:val="single" w:sz="4" w:space="0" w:color="auto"/>
              <w:left w:val="single" w:sz="4" w:space="0" w:color="auto"/>
              <w:bottom w:val="single" w:sz="4" w:space="0" w:color="auto"/>
              <w:right w:val="single" w:sz="4" w:space="0" w:color="auto"/>
            </w:tcBorders>
            <w:hideMark/>
          </w:tcPr>
          <w:p w14:paraId="60149834"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111FF516" w14:textId="77777777" w:rsidR="001A0058" w:rsidRDefault="001A0058">
            <w:pPr>
              <w:pStyle w:val="Tabletext1"/>
            </w:pPr>
            <w:r>
              <w:t>Very low quality</w:t>
            </w:r>
          </w:p>
        </w:tc>
        <w:tc>
          <w:tcPr>
            <w:tcW w:w="1357" w:type="dxa"/>
            <w:tcBorders>
              <w:top w:val="single" w:sz="4" w:space="0" w:color="auto"/>
              <w:left w:val="single" w:sz="4" w:space="0" w:color="auto"/>
              <w:bottom w:val="single" w:sz="4" w:space="0" w:color="auto"/>
              <w:right w:val="single" w:sz="4" w:space="0" w:color="auto"/>
            </w:tcBorders>
            <w:hideMark/>
          </w:tcPr>
          <w:p w14:paraId="165D441C" w14:textId="77777777" w:rsidR="00C802C4" w:rsidRDefault="00C802C4" w:rsidP="00C802C4">
            <w:pPr>
              <w:pStyle w:val="Tabletext1"/>
            </w:pPr>
            <w:r>
              <w:t>Important</w:t>
            </w:r>
          </w:p>
          <w:p w14:paraId="1209F994" w14:textId="4A691A29" w:rsidR="001A0058" w:rsidRDefault="001A0058" w:rsidP="00C802C4">
            <w:pPr>
              <w:pStyle w:val="Tabletext1"/>
            </w:pPr>
            <w:r>
              <w:t>(no evidence of incremental value, however poss</w:t>
            </w:r>
            <w:r w:rsidR="00C802C4">
              <w:t>ibility for change in management</w:t>
            </w:r>
            <w:r>
              <w:t>)</w:t>
            </w:r>
          </w:p>
        </w:tc>
      </w:tr>
      <w:tr w:rsidR="001A0058" w14:paraId="3ABCCEE0" w14:textId="77777777" w:rsidTr="00C802C4">
        <w:trPr>
          <w:trHeight w:val="502"/>
        </w:trPr>
        <w:tc>
          <w:tcPr>
            <w:tcW w:w="1570" w:type="dxa"/>
            <w:tcBorders>
              <w:top w:val="single" w:sz="4" w:space="0" w:color="auto"/>
              <w:left w:val="single" w:sz="4" w:space="0" w:color="auto"/>
              <w:bottom w:val="single" w:sz="4" w:space="0" w:color="auto"/>
              <w:right w:val="single" w:sz="4" w:space="0" w:color="auto"/>
            </w:tcBorders>
            <w:hideMark/>
          </w:tcPr>
          <w:p w14:paraId="72417526" w14:textId="130A92D5" w:rsidR="001A0058" w:rsidRDefault="001A0058">
            <w:pPr>
              <w:pStyle w:val="Tabletext1"/>
            </w:pPr>
            <w:r>
              <w:t>Correlation between AMH and number of oocytes retrieved</w:t>
            </w:r>
          </w:p>
        </w:tc>
        <w:tc>
          <w:tcPr>
            <w:tcW w:w="1627" w:type="dxa"/>
            <w:tcBorders>
              <w:top w:val="single" w:sz="4" w:space="0" w:color="auto"/>
              <w:left w:val="single" w:sz="4" w:space="0" w:color="auto"/>
              <w:bottom w:val="single" w:sz="4" w:space="0" w:color="auto"/>
              <w:right w:val="single" w:sz="4" w:space="0" w:color="auto"/>
            </w:tcBorders>
            <w:hideMark/>
          </w:tcPr>
          <w:p w14:paraId="54382B4A" w14:textId="77777777" w:rsidR="001A0058" w:rsidRDefault="001A0058">
            <w:pPr>
              <w:pStyle w:val="Tabletext1"/>
            </w:pPr>
            <w:r>
              <w:t>n=106</w:t>
            </w:r>
          </w:p>
          <w:p w14:paraId="09E192B9" w14:textId="77777777" w:rsidR="001A0058" w:rsidRDefault="001A0058">
            <w:pPr>
              <w:pStyle w:val="Tabletext1"/>
            </w:pPr>
            <w:r>
              <w:t>k=3</w:t>
            </w:r>
          </w:p>
        </w:tc>
        <w:tc>
          <w:tcPr>
            <w:tcW w:w="909" w:type="dxa"/>
            <w:tcBorders>
              <w:top w:val="single" w:sz="4" w:space="0" w:color="auto"/>
              <w:left w:val="single" w:sz="4" w:space="0" w:color="auto"/>
              <w:bottom w:val="single" w:sz="4" w:space="0" w:color="auto"/>
              <w:right w:val="single" w:sz="4" w:space="0" w:color="auto"/>
            </w:tcBorders>
            <w:hideMark/>
          </w:tcPr>
          <w:p w14:paraId="2DC678B5" w14:textId="77777777" w:rsidR="001A0058" w:rsidRDefault="001A0058">
            <w:pPr>
              <w:pStyle w:val="Tabletext1"/>
            </w:pPr>
            <w:r>
              <w:t>-1</w:t>
            </w:r>
          </w:p>
          <w:p w14:paraId="321185C1" w14:textId="77777777" w:rsidR="001A0058" w:rsidRDefault="001A0058">
            <w:pPr>
              <w:pStyle w:val="Tabletext1"/>
            </w:pPr>
            <w:r>
              <w:t>Moderate risk of bias</w:t>
            </w:r>
          </w:p>
        </w:tc>
        <w:tc>
          <w:tcPr>
            <w:tcW w:w="1385" w:type="dxa"/>
            <w:tcBorders>
              <w:top w:val="single" w:sz="4" w:space="0" w:color="auto"/>
              <w:left w:val="single" w:sz="4" w:space="0" w:color="auto"/>
              <w:bottom w:val="single" w:sz="4" w:space="0" w:color="auto"/>
              <w:right w:val="single" w:sz="4" w:space="0" w:color="auto"/>
            </w:tcBorders>
            <w:hideMark/>
          </w:tcPr>
          <w:p w14:paraId="65451A52" w14:textId="77777777" w:rsidR="001A0058" w:rsidRDefault="001A0058">
            <w:pPr>
              <w:pStyle w:val="Tabletext1"/>
            </w:pPr>
            <w:r>
              <w:t>0</w:t>
            </w:r>
          </w:p>
        </w:tc>
        <w:tc>
          <w:tcPr>
            <w:tcW w:w="1308" w:type="dxa"/>
            <w:tcBorders>
              <w:top w:val="single" w:sz="4" w:space="0" w:color="auto"/>
              <w:left w:val="single" w:sz="4" w:space="0" w:color="auto"/>
              <w:bottom w:val="single" w:sz="4" w:space="0" w:color="auto"/>
              <w:right w:val="single" w:sz="4" w:space="0" w:color="auto"/>
            </w:tcBorders>
            <w:hideMark/>
          </w:tcPr>
          <w:p w14:paraId="270FBA7F" w14:textId="77777777" w:rsidR="001A0058" w:rsidRDefault="001A0058">
            <w:pPr>
              <w:pStyle w:val="Tabletext1"/>
            </w:pPr>
            <w:r>
              <w:t>-1</w:t>
            </w:r>
          </w:p>
          <w:p w14:paraId="21725389" w14:textId="77777777" w:rsidR="001A0058" w:rsidRDefault="001A0058">
            <w:pPr>
              <w:pStyle w:val="Tabletext1"/>
            </w:pPr>
            <w: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39FB677E" w14:textId="77777777" w:rsidR="001A0058" w:rsidRDefault="001A0058">
            <w:pPr>
              <w:pStyle w:val="Tabletext1"/>
            </w:pPr>
            <w:r>
              <w:t>-1</w:t>
            </w:r>
          </w:p>
        </w:tc>
        <w:tc>
          <w:tcPr>
            <w:tcW w:w="850" w:type="dxa"/>
            <w:tcBorders>
              <w:top w:val="single" w:sz="4" w:space="0" w:color="auto"/>
              <w:left w:val="single" w:sz="4" w:space="0" w:color="auto"/>
              <w:bottom w:val="single" w:sz="4" w:space="0" w:color="auto"/>
              <w:right w:val="single" w:sz="4" w:space="0" w:color="auto"/>
            </w:tcBorders>
            <w:hideMark/>
          </w:tcPr>
          <w:p w14:paraId="7CBE1381" w14:textId="77777777" w:rsidR="001A0058" w:rsidRDefault="001A0058">
            <w:pPr>
              <w:pStyle w:val="Tabletext1"/>
            </w:pPr>
            <w:r>
              <w:t>No</w:t>
            </w:r>
          </w:p>
        </w:tc>
        <w:tc>
          <w:tcPr>
            <w:tcW w:w="2268" w:type="dxa"/>
            <w:tcBorders>
              <w:top w:val="single" w:sz="4" w:space="0" w:color="auto"/>
              <w:left w:val="single" w:sz="4" w:space="0" w:color="auto"/>
              <w:bottom w:val="single" w:sz="4" w:space="0" w:color="auto"/>
              <w:right w:val="single" w:sz="4" w:space="0" w:color="auto"/>
            </w:tcBorders>
            <w:hideMark/>
          </w:tcPr>
          <w:p w14:paraId="22FF27B0" w14:textId="14E60420" w:rsidR="001A0058" w:rsidRDefault="001A0058">
            <w:pPr>
              <w:pStyle w:val="Tabletext1"/>
            </w:pPr>
            <w:r>
              <w:t>The correlations between AMH value and oocytes retrieved are between 0.45 and 0.60 in all three studies, which indicates a moderate linear relationship</w:t>
            </w:r>
            <w:r w:rsidR="00E830B2">
              <w:t>.</w:t>
            </w:r>
          </w:p>
        </w:tc>
        <w:tc>
          <w:tcPr>
            <w:tcW w:w="2127" w:type="dxa"/>
            <w:tcBorders>
              <w:top w:val="single" w:sz="4" w:space="0" w:color="auto"/>
              <w:left w:val="single" w:sz="4" w:space="0" w:color="auto"/>
              <w:bottom w:val="single" w:sz="4" w:space="0" w:color="auto"/>
              <w:right w:val="single" w:sz="4" w:space="0" w:color="auto"/>
            </w:tcBorders>
            <w:hideMark/>
          </w:tcPr>
          <w:p w14:paraId="31A24D1A" w14:textId="5738FC9E" w:rsidR="001A0058" w:rsidRDefault="001A0058">
            <w:pPr>
              <w:pStyle w:val="Tabletext1"/>
            </w:pPr>
            <w:r>
              <w:t>Comparison was made between AFC and oocyte retrieval in two studies, and FSH, inhibin B and E2 and oocyte retrieval in one study</w:t>
            </w:r>
            <w:r w:rsidR="00E830B2">
              <w:t>.</w:t>
            </w:r>
          </w:p>
        </w:tc>
        <w:tc>
          <w:tcPr>
            <w:tcW w:w="1134" w:type="dxa"/>
            <w:tcBorders>
              <w:top w:val="single" w:sz="4" w:space="0" w:color="auto"/>
              <w:left w:val="single" w:sz="4" w:space="0" w:color="auto"/>
              <w:bottom w:val="single" w:sz="4" w:space="0" w:color="auto"/>
              <w:right w:val="single" w:sz="4" w:space="0" w:color="auto"/>
            </w:tcBorders>
            <w:hideMark/>
          </w:tcPr>
          <w:p w14:paraId="3A74A0D5" w14:textId="77777777" w:rsidR="001A0058" w:rsidRDefault="001A0058">
            <w:pPr>
              <w:pStyle w:val="TableHeading"/>
              <w:keepNext w:val="0"/>
              <w:ind w:left="4"/>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274AE2AC" w14:textId="77777777" w:rsidR="001A0058" w:rsidRDefault="001A0058">
            <w:pPr>
              <w:pStyle w:val="Tabletext1"/>
            </w:pPr>
            <w:r>
              <w:t>Very low quality</w:t>
            </w:r>
          </w:p>
        </w:tc>
        <w:tc>
          <w:tcPr>
            <w:tcW w:w="1357" w:type="dxa"/>
            <w:tcBorders>
              <w:top w:val="single" w:sz="4" w:space="0" w:color="auto"/>
              <w:left w:val="single" w:sz="4" w:space="0" w:color="auto"/>
              <w:bottom w:val="single" w:sz="4" w:space="0" w:color="auto"/>
              <w:right w:val="single" w:sz="4" w:space="0" w:color="auto"/>
            </w:tcBorders>
            <w:hideMark/>
          </w:tcPr>
          <w:p w14:paraId="7EE6AB69" w14:textId="77777777" w:rsidR="001A0058" w:rsidRDefault="001A0058">
            <w:pPr>
              <w:pStyle w:val="Tabletext1"/>
            </w:pPr>
            <w:r>
              <w:t>Not important</w:t>
            </w:r>
          </w:p>
          <w:p w14:paraId="724ACD8F" w14:textId="77777777" w:rsidR="001A0058" w:rsidRDefault="001A0058">
            <w:pPr>
              <w:pStyle w:val="Tabletext1"/>
            </w:pPr>
            <w:r>
              <w:t>(no evidence of incremental value, unknown how to use this evidence in clinical practice)</w:t>
            </w:r>
          </w:p>
        </w:tc>
      </w:tr>
    </w:tbl>
    <w:p w14:paraId="78593ED0" w14:textId="50C8964C" w:rsidR="001A0058" w:rsidRDefault="001A0058" w:rsidP="001A0058">
      <w:pPr>
        <w:pStyle w:val="Tablenotes0"/>
        <w:spacing w:after="240"/>
      </w:pPr>
      <w:bookmarkStart w:id="525" w:name="_Toc494977376"/>
      <w:r>
        <w:t>AFC = antral follicle count; AMH = anti-Müllerian hormone; AUC = area under the curve; CI = confidence interval; CRA = chemotherapy</w:t>
      </w:r>
      <w:r w:rsidR="00DF36E4">
        <w:t>-</w:t>
      </w:r>
      <w:r>
        <w:t>related amenorrhea</w:t>
      </w:r>
      <w:r w:rsidR="008F63C7">
        <w:t>; E2 = estradiol; EIA = enzyme i</w:t>
      </w:r>
      <w:r>
        <w:t>mmunoassay; ELISA = enzyme-linked immunosorbent assay; FSH = follicle-stimulating hormone; LH = luteinising hormone; NA = not available; NR = not reported OR = odds ratio; QoE</w:t>
      </w:r>
      <w:r w:rsidR="00992ABB">
        <w:t xml:space="preserve"> </w:t>
      </w:r>
      <w:r>
        <w:t>=</w:t>
      </w:r>
      <w:r w:rsidR="00992ABB">
        <w:t xml:space="preserve"> </w:t>
      </w:r>
      <w:r>
        <w:t>quality of evidence; ROC = receiving operating characteristic</w:t>
      </w:r>
    </w:p>
    <w:p w14:paraId="3D419593" w14:textId="0143981D" w:rsidR="001A0058" w:rsidRDefault="001A0058" w:rsidP="001A0058">
      <w:pPr>
        <w:pStyle w:val="Caption"/>
        <w:keepNext/>
      </w:pPr>
      <w:bookmarkStart w:id="526" w:name="_Toc501352917"/>
      <w:bookmarkStart w:id="527" w:name="_Toc502833108"/>
      <w:r>
        <w:lastRenderedPageBreak/>
        <w:t xml:space="preserve">Table </w:t>
      </w:r>
      <w:r w:rsidR="00AC4BE5">
        <w:fldChar w:fldCharType="begin"/>
      </w:r>
      <w:r w:rsidR="00AC4BE5">
        <w:instrText xml:space="preserve"> SEQ Table \* ARAB</w:instrText>
      </w:r>
      <w:r w:rsidR="00AC4BE5">
        <w:instrText xml:space="preserve">IC </w:instrText>
      </w:r>
      <w:r w:rsidR="00AC4BE5">
        <w:fldChar w:fldCharType="separate"/>
      </w:r>
      <w:r w:rsidR="00AC4BE5">
        <w:rPr>
          <w:noProof/>
        </w:rPr>
        <w:t>90</w:t>
      </w:r>
      <w:r w:rsidR="00AC4BE5">
        <w:rPr>
          <w:noProof/>
        </w:rPr>
        <w:fldChar w:fldCharType="end"/>
      </w:r>
      <w:r>
        <w:tab/>
        <w:t>Evidence profile table for the clinical validity of AMH testing for girls or women undergoing gonadotoxic treatment</w:t>
      </w:r>
      <w:bookmarkEnd w:id="526"/>
      <w:bookmarkEnd w:id="527"/>
    </w:p>
    <w:tbl>
      <w:tblPr>
        <w:tblW w:w="15163" w:type="dxa"/>
        <w:tblLayout w:type="fixed"/>
        <w:tblLook w:val="04A0" w:firstRow="1" w:lastRow="0" w:firstColumn="1" w:lastColumn="0" w:noHBand="0" w:noVBand="1"/>
      </w:tblPr>
      <w:tblGrid>
        <w:gridCol w:w="1570"/>
        <w:gridCol w:w="1627"/>
        <w:gridCol w:w="909"/>
        <w:gridCol w:w="1385"/>
        <w:gridCol w:w="1308"/>
        <w:gridCol w:w="851"/>
        <w:gridCol w:w="850"/>
        <w:gridCol w:w="3544"/>
        <w:gridCol w:w="1559"/>
        <w:gridCol w:w="1560"/>
      </w:tblGrid>
      <w:tr w:rsidR="001A0058" w14:paraId="418C87CE" w14:textId="77777777" w:rsidTr="00C802C4">
        <w:trPr>
          <w:trHeight w:val="788"/>
          <w:tblHeader/>
        </w:trPr>
        <w:tc>
          <w:tcPr>
            <w:tcW w:w="1570" w:type="dxa"/>
            <w:tcBorders>
              <w:top w:val="single" w:sz="4" w:space="0" w:color="auto"/>
              <w:left w:val="single" w:sz="4" w:space="0" w:color="auto"/>
              <w:bottom w:val="single" w:sz="4" w:space="0" w:color="auto"/>
              <w:right w:val="single" w:sz="4" w:space="0" w:color="auto"/>
            </w:tcBorders>
            <w:hideMark/>
          </w:tcPr>
          <w:p w14:paraId="1813FC53" w14:textId="77777777" w:rsidR="001A0058" w:rsidRPr="007102C6" w:rsidRDefault="001A0058" w:rsidP="007102C6">
            <w:pPr>
              <w:pStyle w:val="Tabletext1"/>
              <w:rPr>
                <w:b/>
              </w:rPr>
            </w:pPr>
            <w:r w:rsidRPr="007102C6">
              <w:rPr>
                <w:b/>
              </w:rPr>
              <w:t>Outcome</w:t>
            </w:r>
          </w:p>
        </w:tc>
        <w:tc>
          <w:tcPr>
            <w:tcW w:w="1627" w:type="dxa"/>
            <w:tcBorders>
              <w:top w:val="single" w:sz="4" w:space="0" w:color="auto"/>
              <w:left w:val="single" w:sz="4" w:space="0" w:color="auto"/>
              <w:bottom w:val="single" w:sz="4" w:space="0" w:color="auto"/>
              <w:right w:val="single" w:sz="4" w:space="0" w:color="auto"/>
            </w:tcBorders>
            <w:hideMark/>
          </w:tcPr>
          <w:p w14:paraId="51C3C069" w14:textId="77777777" w:rsidR="001A0058" w:rsidRPr="007102C6" w:rsidRDefault="001A0058" w:rsidP="007102C6">
            <w:pPr>
              <w:pStyle w:val="Tabletext1"/>
              <w:rPr>
                <w:b/>
              </w:rPr>
            </w:pPr>
            <w:r w:rsidRPr="007102C6">
              <w:rPr>
                <w:b/>
              </w:rPr>
              <w:t>No. of participants, No. of studies and study design</w:t>
            </w:r>
          </w:p>
        </w:tc>
        <w:tc>
          <w:tcPr>
            <w:tcW w:w="909" w:type="dxa"/>
            <w:tcBorders>
              <w:top w:val="single" w:sz="4" w:space="0" w:color="auto"/>
              <w:left w:val="single" w:sz="4" w:space="0" w:color="auto"/>
              <w:bottom w:val="single" w:sz="4" w:space="0" w:color="auto"/>
              <w:right w:val="single" w:sz="4" w:space="0" w:color="auto"/>
            </w:tcBorders>
            <w:hideMark/>
          </w:tcPr>
          <w:p w14:paraId="5DB96831" w14:textId="77777777" w:rsidR="001A0058" w:rsidRPr="007102C6" w:rsidRDefault="001A0058" w:rsidP="007102C6">
            <w:pPr>
              <w:pStyle w:val="Tabletext1"/>
              <w:rPr>
                <w:b/>
              </w:rPr>
            </w:pPr>
            <w:r w:rsidRPr="007102C6">
              <w:rPr>
                <w:b/>
              </w:rPr>
              <w:t>Risk of bias</w:t>
            </w:r>
          </w:p>
        </w:tc>
        <w:tc>
          <w:tcPr>
            <w:tcW w:w="1385" w:type="dxa"/>
            <w:tcBorders>
              <w:top w:val="single" w:sz="4" w:space="0" w:color="auto"/>
              <w:left w:val="single" w:sz="4" w:space="0" w:color="auto"/>
              <w:bottom w:val="single" w:sz="4" w:space="0" w:color="auto"/>
              <w:right w:val="single" w:sz="4" w:space="0" w:color="auto"/>
            </w:tcBorders>
            <w:hideMark/>
          </w:tcPr>
          <w:p w14:paraId="2CDEF6CB" w14:textId="77777777" w:rsidR="001A0058" w:rsidRPr="007102C6" w:rsidRDefault="001A0058" w:rsidP="007102C6">
            <w:pPr>
              <w:pStyle w:val="Tabletext1"/>
              <w:rPr>
                <w:b/>
              </w:rPr>
            </w:pPr>
            <w:r w:rsidRPr="007102C6">
              <w:rPr>
                <w:b/>
              </w:rPr>
              <w:t>Inconsistency</w:t>
            </w:r>
          </w:p>
        </w:tc>
        <w:tc>
          <w:tcPr>
            <w:tcW w:w="1308" w:type="dxa"/>
            <w:tcBorders>
              <w:top w:val="single" w:sz="4" w:space="0" w:color="auto"/>
              <w:left w:val="single" w:sz="4" w:space="0" w:color="auto"/>
              <w:bottom w:val="single" w:sz="4" w:space="0" w:color="auto"/>
              <w:right w:val="single" w:sz="4" w:space="0" w:color="auto"/>
            </w:tcBorders>
            <w:hideMark/>
          </w:tcPr>
          <w:p w14:paraId="00AE9F2B" w14:textId="77777777" w:rsidR="001A0058" w:rsidRPr="007102C6" w:rsidRDefault="001A0058" w:rsidP="007102C6">
            <w:pPr>
              <w:pStyle w:val="Tabletext1"/>
              <w:rPr>
                <w:b/>
              </w:rPr>
            </w:pPr>
            <w:r w:rsidRPr="007102C6">
              <w:rPr>
                <w:b/>
              </w:rPr>
              <w:t>Indirectness</w:t>
            </w:r>
          </w:p>
        </w:tc>
        <w:tc>
          <w:tcPr>
            <w:tcW w:w="851" w:type="dxa"/>
            <w:tcBorders>
              <w:top w:val="single" w:sz="4" w:space="0" w:color="auto"/>
              <w:left w:val="single" w:sz="4" w:space="0" w:color="auto"/>
              <w:bottom w:val="single" w:sz="4" w:space="0" w:color="auto"/>
              <w:right w:val="single" w:sz="4" w:space="0" w:color="auto"/>
            </w:tcBorders>
            <w:hideMark/>
          </w:tcPr>
          <w:p w14:paraId="461CEACB" w14:textId="77777777" w:rsidR="001A0058" w:rsidRPr="007102C6" w:rsidRDefault="001A0058" w:rsidP="007102C6">
            <w:pPr>
              <w:pStyle w:val="Tabletext1"/>
              <w:rPr>
                <w:b/>
              </w:rPr>
            </w:pPr>
            <w:r w:rsidRPr="007102C6">
              <w:rPr>
                <w:b/>
              </w:rPr>
              <w:t>Imprecision</w:t>
            </w:r>
          </w:p>
        </w:tc>
        <w:tc>
          <w:tcPr>
            <w:tcW w:w="850" w:type="dxa"/>
            <w:tcBorders>
              <w:top w:val="single" w:sz="4" w:space="0" w:color="auto"/>
              <w:left w:val="single" w:sz="4" w:space="0" w:color="auto"/>
              <w:bottom w:val="single" w:sz="4" w:space="0" w:color="auto"/>
              <w:right w:val="single" w:sz="4" w:space="0" w:color="auto"/>
            </w:tcBorders>
            <w:hideMark/>
          </w:tcPr>
          <w:p w14:paraId="5E685419" w14:textId="77777777" w:rsidR="001A0058" w:rsidRPr="007102C6" w:rsidRDefault="001A0058" w:rsidP="007102C6">
            <w:pPr>
              <w:pStyle w:val="Tabletext1"/>
              <w:rPr>
                <w:b/>
              </w:rPr>
            </w:pPr>
            <w:r w:rsidRPr="007102C6">
              <w:rPr>
                <w:b/>
              </w:rPr>
              <w:t xml:space="preserve">Other considerations </w:t>
            </w:r>
          </w:p>
        </w:tc>
        <w:tc>
          <w:tcPr>
            <w:tcW w:w="3544" w:type="dxa"/>
            <w:tcBorders>
              <w:top w:val="single" w:sz="4" w:space="0" w:color="auto"/>
              <w:left w:val="single" w:sz="4" w:space="0" w:color="auto"/>
              <w:bottom w:val="single" w:sz="4" w:space="0" w:color="auto"/>
              <w:right w:val="single" w:sz="4" w:space="0" w:color="auto"/>
            </w:tcBorders>
            <w:hideMark/>
          </w:tcPr>
          <w:p w14:paraId="636F2D07" w14:textId="77777777" w:rsidR="001A0058" w:rsidRPr="007102C6" w:rsidRDefault="001A0058" w:rsidP="007102C6">
            <w:pPr>
              <w:pStyle w:val="Tabletext1"/>
              <w:rPr>
                <w:b/>
              </w:rPr>
            </w:pPr>
            <w:r w:rsidRPr="007102C6">
              <w:rPr>
                <w:b/>
              </w:rPr>
              <w:t>Results for AMH testing</w:t>
            </w:r>
          </w:p>
        </w:tc>
        <w:tc>
          <w:tcPr>
            <w:tcW w:w="1559" w:type="dxa"/>
            <w:tcBorders>
              <w:top w:val="single" w:sz="4" w:space="0" w:color="auto"/>
              <w:left w:val="single" w:sz="4" w:space="0" w:color="auto"/>
              <w:bottom w:val="single" w:sz="4" w:space="0" w:color="auto"/>
              <w:right w:val="single" w:sz="4" w:space="0" w:color="auto"/>
            </w:tcBorders>
            <w:hideMark/>
          </w:tcPr>
          <w:p w14:paraId="3B1F5F9A" w14:textId="77777777" w:rsidR="001A0058" w:rsidRPr="007102C6" w:rsidRDefault="001A0058" w:rsidP="007102C6">
            <w:pPr>
              <w:pStyle w:val="Tabletext1"/>
              <w:rPr>
                <w:b/>
              </w:rPr>
            </w:pPr>
            <w:r w:rsidRPr="007102C6">
              <w:rPr>
                <w:b/>
              </w:rPr>
              <w:t>Clinical validity QoE</w:t>
            </w:r>
          </w:p>
        </w:tc>
        <w:tc>
          <w:tcPr>
            <w:tcW w:w="1560" w:type="dxa"/>
            <w:tcBorders>
              <w:top w:val="single" w:sz="4" w:space="0" w:color="auto"/>
              <w:left w:val="single" w:sz="4" w:space="0" w:color="auto"/>
              <w:bottom w:val="single" w:sz="4" w:space="0" w:color="auto"/>
              <w:right w:val="single" w:sz="4" w:space="0" w:color="auto"/>
            </w:tcBorders>
            <w:hideMark/>
          </w:tcPr>
          <w:p w14:paraId="3DA36CAA" w14:textId="77777777" w:rsidR="001A0058" w:rsidRPr="007102C6" w:rsidRDefault="001A0058" w:rsidP="007102C6">
            <w:pPr>
              <w:pStyle w:val="Tabletext1"/>
              <w:rPr>
                <w:b/>
              </w:rPr>
            </w:pPr>
            <w:r w:rsidRPr="007102C6">
              <w:rPr>
                <w:b/>
              </w:rPr>
              <w:t>Importance</w:t>
            </w:r>
          </w:p>
        </w:tc>
      </w:tr>
      <w:tr w:rsidR="001A0058" w14:paraId="2D31B5A8" w14:textId="77777777" w:rsidTr="00C802C4">
        <w:trPr>
          <w:trHeight w:val="788"/>
          <w:tblHeader/>
        </w:trPr>
        <w:tc>
          <w:tcPr>
            <w:tcW w:w="1570" w:type="dxa"/>
            <w:tcBorders>
              <w:top w:val="single" w:sz="4" w:space="0" w:color="auto"/>
              <w:left w:val="single" w:sz="4" w:space="0" w:color="auto"/>
              <w:bottom w:val="single" w:sz="4" w:space="0" w:color="auto"/>
              <w:right w:val="single" w:sz="4" w:space="0" w:color="auto"/>
            </w:tcBorders>
            <w:hideMark/>
          </w:tcPr>
          <w:p w14:paraId="4742BFB4" w14:textId="77777777" w:rsidR="001A0058" w:rsidRDefault="001A0058" w:rsidP="007102C6">
            <w:pPr>
              <w:pStyle w:val="TableText0"/>
            </w:pPr>
            <w:r>
              <w:t>Clinical validity of AMH testing measured prior to gonadotoxic treatment (resumption of menses as RS)</w:t>
            </w:r>
          </w:p>
        </w:tc>
        <w:tc>
          <w:tcPr>
            <w:tcW w:w="1627" w:type="dxa"/>
            <w:tcBorders>
              <w:top w:val="single" w:sz="4" w:space="0" w:color="auto"/>
              <w:left w:val="single" w:sz="4" w:space="0" w:color="auto"/>
              <w:bottom w:val="single" w:sz="4" w:space="0" w:color="auto"/>
              <w:right w:val="single" w:sz="4" w:space="0" w:color="auto"/>
            </w:tcBorders>
            <w:hideMark/>
          </w:tcPr>
          <w:p w14:paraId="66C13C5F" w14:textId="77777777" w:rsidR="001A0058" w:rsidRDefault="001A0058" w:rsidP="007102C6">
            <w:pPr>
              <w:pStyle w:val="TableText0"/>
            </w:pPr>
            <w:r>
              <w:t>n=96</w:t>
            </w:r>
          </w:p>
          <w:p w14:paraId="1E35FC81" w14:textId="77777777" w:rsidR="001A0058" w:rsidRDefault="001A0058" w:rsidP="007102C6">
            <w:pPr>
              <w:pStyle w:val="TableText0"/>
            </w:pPr>
            <w:r>
              <w:t>k=3</w:t>
            </w:r>
          </w:p>
        </w:tc>
        <w:tc>
          <w:tcPr>
            <w:tcW w:w="909" w:type="dxa"/>
            <w:tcBorders>
              <w:top w:val="single" w:sz="4" w:space="0" w:color="auto"/>
              <w:left w:val="single" w:sz="4" w:space="0" w:color="auto"/>
              <w:bottom w:val="single" w:sz="4" w:space="0" w:color="auto"/>
              <w:right w:val="single" w:sz="4" w:space="0" w:color="auto"/>
            </w:tcBorders>
            <w:hideMark/>
          </w:tcPr>
          <w:p w14:paraId="18249B3C" w14:textId="77777777" w:rsidR="001A0058" w:rsidRDefault="001A0058" w:rsidP="007102C6">
            <w:pPr>
              <w:pStyle w:val="TableText0"/>
            </w:pPr>
            <w:r>
              <w:t>0</w:t>
            </w:r>
          </w:p>
          <w:p w14:paraId="4F641361" w14:textId="77777777" w:rsidR="001A0058" w:rsidRDefault="001A0058" w:rsidP="007102C6">
            <w:pPr>
              <w:pStyle w:val="TableText0"/>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4D484E1F" w14:textId="77777777" w:rsidR="001A0058" w:rsidRDefault="001A0058" w:rsidP="007102C6">
            <w:pPr>
              <w:pStyle w:val="TableText0"/>
            </w:pPr>
            <w:r>
              <w:t>0</w:t>
            </w:r>
          </w:p>
        </w:tc>
        <w:tc>
          <w:tcPr>
            <w:tcW w:w="1308" w:type="dxa"/>
            <w:tcBorders>
              <w:top w:val="single" w:sz="4" w:space="0" w:color="auto"/>
              <w:left w:val="single" w:sz="4" w:space="0" w:color="auto"/>
              <w:bottom w:val="single" w:sz="4" w:space="0" w:color="auto"/>
              <w:right w:val="single" w:sz="4" w:space="0" w:color="auto"/>
            </w:tcBorders>
            <w:hideMark/>
          </w:tcPr>
          <w:p w14:paraId="69E9EBF4" w14:textId="77777777" w:rsidR="001A0058" w:rsidRDefault="001A0058" w:rsidP="007102C6">
            <w:pPr>
              <w:pStyle w:val="TableText0"/>
            </w:pPr>
            <w:r>
              <w:t>-1</w:t>
            </w:r>
          </w:p>
          <w:p w14:paraId="4E0DD0AC" w14:textId="77777777" w:rsidR="001A0058" w:rsidRDefault="001A0058" w:rsidP="007102C6">
            <w:pPr>
              <w:pStyle w:val="TableText0"/>
            </w:pPr>
            <w:r>
              <w:rPr>
                <w:bCs/>
              </w:rP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030B38F2" w14:textId="77777777" w:rsidR="001A0058" w:rsidRDefault="001A0058" w:rsidP="007102C6">
            <w:pPr>
              <w:pStyle w:val="TableText0"/>
            </w:pPr>
            <w:r>
              <w:t>-1</w:t>
            </w:r>
          </w:p>
          <w:p w14:paraId="609442F3" w14:textId="77777777" w:rsidR="001A0058" w:rsidRDefault="001A0058" w:rsidP="007102C6">
            <w:pPr>
              <w:pStyle w:val="TableText0"/>
            </w:pPr>
            <w:r>
              <w:rPr>
                <w:bCs/>
              </w:rPr>
              <w:t>Due to few patients included and unclear CIs</w:t>
            </w:r>
          </w:p>
        </w:tc>
        <w:tc>
          <w:tcPr>
            <w:tcW w:w="850" w:type="dxa"/>
            <w:tcBorders>
              <w:top w:val="single" w:sz="4" w:space="0" w:color="auto"/>
              <w:left w:val="single" w:sz="4" w:space="0" w:color="auto"/>
              <w:bottom w:val="single" w:sz="4" w:space="0" w:color="auto"/>
              <w:right w:val="single" w:sz="4" w:space="0" w:color="auto"/>
            </w:tcBorders>
            <w:hideMark/>
          </w:tcPr>
          <w:p w14:paraId="32D95679" w14:textId="77777777" w:rsidR="001A0058" w:rsidRDefault="001A0058" w:rsidP="007102C6">
            <w:pPr>
              <w:pStyle w:val="TableText0"/>
            </w:pPr>
            <w:r>
              <w:t>No</w:t>
            </w:r>
          </w:p>
        </w:tc>
        <w:tc>
          <w:tcPr>
            <w:tcW w:w="3544" w:type="dxa"/>
            <w:tcBorders>
              <w:top w:val="single" w:sz="4" w:space="0" w:color="auto"/>
              <w:left w:val="single" w:sz="4" w:space="0" w:color="auto"/>
              <w:bottom w:val="single" w:sz="4" w:space="0" w:color="auto"/>
              <w:right w:val="single" w:sz="4" w:space="0" w:color="auto"/>
            </w:tcBorders>
            <w:hideMark/>
          </w:tcPr>
          <w:p w14:paraId="56D7238B" w14:textId="1AEE2A3F" w:rsidR="001A0058" w:rsidRDefault="001A0058" w:rsidP="007102C6">
            <w:pPr>
              <w:pStyle w:val="TableText0"/>
            </w:pPr>
            <w:r>
              <w:t>First generation AMH tests showed lack of utility AMH measured both prior to and after treatment com</w:t>
            </w:r>
            <w:r w:rsidR="008B07C9">
              <w:t>pared to resumption of menses/</w:t>
            </w:r>
            <w:r>
              <w:t>CRA. Second generation tests perform better, however the positive test result was only clinically useful in women at high risk of ovarian failure, whereas the negative test result was only useful in the group at low risk of ovarian failure.</w:t>
            </w:r>
          </w:p>
        </w:tc>
        <w:tc>
          <w:tcPr>
            <w:tcW w:w="1559" w:type="dxa"/>
            <w:tcBorders>
              <w:top w:val="single" w:sz="4" w:space="0" w:color="auto"/>
              <w:left w:val="single" w:sz="4" w:space="0" w:color="auto"/>
              <w:bottom w:val="single" w:sz="4" w:space="0" w:color="auto"/>
              <w:right w:val="single" w:sz="4" w:space="0" w:color="auto"/>
            </w:tcBorders>
            <w:hideMark/>
          </w:tcPr>
          <w:p w14:paraId="167B5F32" w14:textId="77777777" w:rsidR="001A0058" w:rsidRDefault="001A0058" w:rsidP="007102C6">
            <w:pPr>
              <w:pStyle w:val="TableText0"/>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15FFB086" w14:textId="77777777" w:rsidR="001A0058" w:rsidRDefault="001A0058" w:rsidP="007102C6">
            <w:pPr>
              <w:pStyle w:val="TableText0"/>
            </w:pPr>
            <w:r>
              <w:t>Very low quality</w:t>
            </w:r>
          </w:p>
        </w:tc>
        <w:tc>
          <w:tcPr>
            <w:tcW w:w="1560" w:type="dxa"/>
            <w:tcBorders>
              <w:top w:val="single" w:sz="4" w:space="0" w:color="auto"/>
              <w:left w:val="single" w:sz="4" w:space="0" w:color="auto"/>
              <w:bottom w:val="single" w:sz="4" w:space="0" w:color="auto"/>
              <w:right w:val="single" w:sz="4" w:space="0" w:color="auto"/>
            </w:tcBorders>
            <w:hideMark/>
          </w:tcPr>
          <w:p w14:paraId="0D23B05E" w14:textId="77777777" w:rsidR="001A0058" w:rsidRDefault="001A0058" w:rsidP="007102C6">
            <w:pPr>
              <w:pStyle w:val="TableText0"/>
            </w:pPr>
            <w:r>
              <w:t>Unclear</w:t>
            </w:r>
          </w:p>
        </w:tc>
      </w:tr>
      <w:tr w:rsidR="001A0058" w14:paraId="750A4CBE" w14:textId="77777777" w:rsidTr="00C802C4">
        <w:trPr>
          <w:trHeight w:val="788"/>
          <w:tblHeader/>
        </w:trPr>
        <w:tc>
          <w:tcPr>
            <w:tcW w:w="1570" w:type="dxa"/>
            <w:tcBorders>
              <w:top w:val="single" w:sz="4" w:space="0" w:color="auto"/>
              <w:left w:val="single" w:sz="4" w:space="0" w:color="auto"/>
              <w:bottom w:val="single" w:sz="4" w:space="0" w:color="auto"/>
              <w:right w:val="single" w:sz="4" w:space="0" w:color="auto"/>
            </w:tcBorders>
            <w:hideMark/>
          </w:tcPr>
          <w:p w14:paraId="6712A7A6" w14:textId="77777777" w:rsidR="001A0058" w:rsidRDefault="001A0058" w:rsidP="007102C6">
            <w:pPr>
              <w:pStyle w:val="TableText0"/>
            </w:pPr>
            <w:r>
              <w:t>Clinical validity of AMH testing measured after gonadotoxic treatment (resumption of menses as RS)</w:t>
            </w:r>
          </w:p>
        </w:tc>
        <w:tc>
          <w:tcPr>
            <w:tcW w:w="1627" w:type="dxa"/>
            <w:tcBorders>
              <w:top w:val="single" w:sz="4" w:space="0" w:color="auto"/>
              <w:left w:val="single" w:sz="4" w:space="0" w:color="auto"/>
              <w:bottom w:val="single" w:sz="4" w:space="0" w:color="auto"/>
              <w:right w:val="single" w:sz="4" w:space="0" w:color="auto"/>
            </w:tcBorders>
            <w:hideMark/>
          </w:tcPr>
          <w:p w14:paraId="51B67F4B" w14:textId="77777777" w:rsidR="001A0058" w:rsidRDefault="001A0058" w:rsidP="007102C6">
            <w:pPr>
              <w:pStyle w:val="TableText0"/>
            </w:pPr>
            <w:r>
              <w:t>n=214</w:t>
            </w:r>
          </w:p>
          <w:p w14:paraId="613E40FA" w14:textId="77777777" w:rsidR="001A0058" w:rsidRDefault="001A0058" w:rsidP="007102C6">
            <w:pPr>
              <w:pStyle w:val="TableText0"/>
            </w:pPr>
            <w:r>
              <w:t>k=4</w:t>
            </w:r>
          </w:p>
        </w:tc>
        <w:tc>
          <w:tcPr>
            <w:tcW w:w="909" w:type="dxa"/>
            <w:tcBorders>
              <w:top w:val="single" w:sz="4" w:space="0" w:color="auto"/>
              <w:left w:val="single" w:sz="4" w:space="0" w:color="auto"/>
              <w:bottom w:val="single" w:sz="4" w:space="0" w:color="auto"/>
              <w:right w:val="single" w:sz="4" w:space="0" w:color="auto"/>
            </w:tcBorders>
            <w:hideMark/>
          </w:tcPr>
          <w:p w14:paraId="2C4FA3C4" w14:textId="77777777" w:rsidR="001A0058" w:rsidRDefault="001A0058" w:rsidP="007102C6">
            <w:pPr>
              <w:pStyle w:val="TableText0"/>
            </w:pPr>
            <w:r>
              <w:t>0</w:t>
            </w:r>
          </w:p>
          <w:p w14:paraId="064A7418" w14:textId="77777777" w:rsidR="001A0058" w:rsidRDefault="001A0058" w:rsidP="007102C6">
            <w:pPr>
              <w:pStyle w:val="TableText0"/>
            </w:pPr>
            <w:r>
              <w:t>Low risk of bias</w:t>
            </w:r>
          </w:p>
        </w:tc>
        <w:tc>
          <w:tcPr>
            <w:tcW w:w="1385" w:type="dxa"/>
            <w:tcBorders>
              <w:top w:val="single" w:sz="4" w:space="0" w:color="auto"/>
              <w:left w:val="single" w:sz="4" w:space="0" w:color="auto"/>
              <w:bottom w:val="single" w:sz="4" w:space="0" w:color="auto"/>
              <w:right w:val="single" w:sz="4" w:space="0" w:color="auto"/>
            </w:tcBorders>
            <w:hideMark/>
          </w:tcPr>
          <w:p w14:paraId="715460AF" w14:textId="77777777" w:rsidR="001A0058" w:rsidRDefault="001A0058" w:rsidP="007102C6">
            <w:pPr>
              <w:pStyle w:val="TableText0"/>
            </w:pPr>
            <w:r>
              <w:t>0</w:t>
            </w:r>
          </w:p>
        </w:tc>
        <w:tc>
          <w:tcPr>
            <w:tcW w:w="1308" w:type="dxa"/>
            <w:tcBorders>
              <w:top w:val="single" w:sz="4" w:space="0" w:color="auto"/>
              <w:left w:val="single" w:sz="4" w:space="0" w:color="auto"/>
              <w:bottom w:val="single" w:sz="4" w:space="0" w:color="auto"/>
              <w:right w:val="single" w:sz="4" w:space="0" w:color="auto"/>
            </w:tcBorders>
            <w:hideMark/>
          </w:tcPr>
          <w:p w14:paraId="4D0DFA9B" w14:textId="77777777" w:rsidR="001A0058" w:rsidRDefault="001A0058" w:rsidP="007102C6">
            <w:pPr>
              <w:pStyle w:val="TableText0"/>
            </w:pPr>
            <w:r>
              <w:t>-1</w:t>
            </w:r>
          </w:p>
          <w:p w14:paraId="2C53EED7" w14:textId="77777777" w:rsidR="001A0058" w:rsidRDefault="001A0058" w:rsidP="007102C6">
            <w:pPr>
              <w:pStyle w:val="TableText0"/>
            </w:pPr>
            <w:r>
              <w:rPr>
                <w:bCs/>
              </w:rPr>
              <w:t>No evidence of incremental value of AMH was provided</w:t>
            </w:r>
          </w:p>
        </w:tc>
        <w:tc>
          <w:tcPr>
            <w:tcW w:w="851" w:type="dxa"/>
            <w:tcBorders>
              <w:top w:val="single" w:sz="4" w:space="0" w:color="auto"/>
              <w:left w:val="single" w:sz="4" w:space="0" w:color="auto"/>
              <w:bottom w:val="single" w:sz="4" w:space="0" w:color="auto"/>
              <w:right w:val="single" w:sz="4" w:space="0" w:color="auto"/>
            </w:tcBorders>
            <w:hideMark/>
          </w:tcPr>
          <w:p w14:paraId="2AFE827A" w14:textId="77777777" w:rsidR="001A0058" w:rsidRDefault="001A0058" w:rsidP="007102C6">
            <w:pPr>
              <w:pStyle w:val="TableText0"/>
            </w:pPr>
            <w:r>
              <w:t>0</w:t>
            </w:r>
          </w:p>
        </w:tc>
        <w:tc>
          <w:tcPr>
            <w:tcW w:w="850" w:type="dxa"/>
            <w:tcBorders>
              <w:top w:val="single" w:sz="4" w:space="0" w:color="auto"/>
              <w:left w:val="single" w:sz="4" w:space="0" w:color="auto"/>
              <w:bottom w:val="single" w:sz="4" w:space="0" w:color="auto"/>
              <w:right w:val="single" w:sz="4" w:space="0" w:color="auto"/>
            </w:tcBorders>
            <w:hideMark/>
          </w:tcPr>
          <w:p w14:paraId="00E04A08" w14:textId="77777777" w:rsidR="001A0058" w:rsidRDefault="001A0058" w:rsidP="007102C6">
            <w:pPr>
              <w:pStyle w:val="TableText0"/>
            </w:pPr>
            <w:r>
              <w:t xml:space="preserve">No </w:t>
            </w:r>
          </w:p>
        </w:tc>
        <w:tc>
          <w:tcPr>
            <w:tcW w:w="3544" w:type="dxa"/>
            <w:tcBorders>
              <w:top w:val="single" w:sz="4" w:space="0" w:color="auto"/>
              <w:left w:val="single" w:sz="4" w:space="0" w:color="auto"/>
              <w:bottom w:val="single" w:sz="4" w:space="0" w:color="auto"/>
              <w:right w:val="single" w:sz="4" w:space="0" w:color="auto"/>
            </w:tcBorders>
            <w:hideMark/>
          </w:tcPr>
          <w:p w14:paraId="3784C1DD" w14:textId="52EE0659" w:rsidR="001A0058" w:rsidRDefault="001A0058" w:rsidP="007102C6">
            <w:pPr>
              <w:pStyle w:val="TableText0"/>
            </w:pPr>
            <w:r>
              <w:t>First generation AMH tests showed lack of utility AMH measured both prior to and after treatment com</w:t>
            </w:r>
            <w:r w:rsidR="008B07C9">
              <w:t>pared to resumption of menses/</w:t>
            </w:r>
            <w:r>
              <w:t>CRA. Second generation tests perform better, however the positive test result was only clinically useful in women at high risk of ovarian failure, whereas the negative test result was only useful in the group at low risk of ovarian failure.</w:t>
            </w:r>
          </w:p>
        </w:tc>
        <w:tc>
          <w:tcPr>
            <w:tcW w:w="1559" w:type="dxa"/>
            <w:tcBorders>
              <w:top w:val="single" w:sz="4" w:space="0" w:color="auto"/>
              <w:left w:val="single" w:sz="4" w:space="0" w:color="auto"/>
              <w:bottom w:val="single" w:sz="4" w:space="0" w:color="auto"/>
              <w:right w:val="single" w:sz="4" w:space="0" w:color="auto"/>
            </w:tcBorders>
            <w:hideMark/>
          </w:tcPr>
          <w:p w14:paraId="7B0E1486" w14:textId="77777777" w:rsidR="001A0058" w:rsidRDefault="001A0058" w:rsidP="007102C6">
            <w:pPr>
              <w:pStyle w:val="TableText0"/>
              <w:rPr>
                <w:rFonts w:ascii="Cambria Math" w:hAnsi="Cambria Math" w:cs="Cambria Math"/>
                <w:color w:val="C00000"/>
              </w:rPr>
            </w:pPr>
            <w:r>
              <w:rPr>
                <w:rFonts w:ascii="Cambria Math" w:hAnsi="Cambria Math"/>
                <w:color w:val="00B050"/>
              </w:rPr>
              <w:t>⨁</w:t>
            </w:r>
            <w:r>
              <w:rPr>
                <w:rFonts w:ascii="Cambria Math" w:hAnsi="Cambria Math" w:cs="Cambria Math"/>
                <w:color w:val="C00000"/>
              </w:rPr>
              <w:t>⨀⨀⨀</w:t>
            </w:r>
          </w:p>
          <w:p w14:paraId="66364ACB" w14:textId="77777777" w:rsidR="001A0058" w:rsidRDefault="001A0058" w:rsidP="007102C6">
            <w:pPr>
              <w:pStyle w:val="TableText0"/>
            </w:pPr>
            <w:r>
              <w:t>Very low quality</w:t>
            </w:r>
          </w:p>
        </w:tc>
        <w:tc>
          <w:tcPr>
            <w:tcW w:w="1560" w:type="dxa"/>
            <w:tcBorders>
              <w:top w:val="single" w:sz="4" w:space="0" w:color="auto"/>
              <w:left w:val="single" w:sz="4" w:space="0" w:color="auto"/>
              <w:bottom w:val="single" w:sz="4" w:space="0" w:color="auto"/>
              <w:right w:val="single" w:sz="4" w:space="0" w:color="auto"/>
            </w:tcBorders>
            <w:hideMark/>
          </w:tcPr>
          <w:p w14:paraId="4BE04029" w14:textId="77777777" w:rsidR="001A0058" w:rsidRDefault="001A0058" w:rsidP="007102C6">
            <w:pPr>
              <w:pStyle w:val="TableText0"/>
            </w:pPr>
            <w:r>
              <w:t>Unclear</w:t>
            </w:r>
          </w:p>
        </w:tc>
      </w:tr>
    </w:tbl>
    <w:p w14:paraId="5EDB164C" w14:textId="1329FA83" w:rsidR="00F346ED" w:rsidRDefault="001A0058" w:rsidP="008B07C9">
      <w:pPr>
        <w:pStyle w:val="Tablenotes0"/>
        <w:spacing w:after="240"/>
      </w:pPr>
      <w:r>
        <w:t>AMH = anti-Müllerian hormone; CI = confidence interval; CRA = chemotherapy</w:t>
      </w:r>
      <w:r w:rsidR="00DF36E4">
        <w:t>-</w:t>
      </w:r>
      <w:r>
        <w:t>related amenorrhea; QoE</w:t>
      </w:r>
      <w:r w:rsidR="00992ABB">
        <w:t xml:space="preserve"> </w:t>
      </w:r>
      <w:r>
        <w:t>=</w:t>
      </w:r>
      <w:r w:rsidR="00992ABB">
        <w:t xml:space="preserve"> </w:t>
      </w:r>
      <w:r>
        <w:t>quality of evidence; RS = reference standard</w:t>
      </w:r>
      <w:bookmarkEnd w:id="525"/>
    </w:p>
    <w:p w14:paraId="1367C17F" w14:textId="6E05100E" w:rsidR="008B07C9" w:rsidRPr="00F346ED" w:rsidRDefault="008B07C9" w:rsidP="00F346ED">
      <w:pPr>
        <w:sectPr w:rsidR="008B07C9" w:rsidRPr="00F346ED" w:rsidSect="008D77C9">
          <w:pgSz w:w="16838" w:h="11906" w:orient="landscape"/>
          <w:pgMar w:top="1440" w:right="851" w:bottom="1440" w:left="851" w:header="720" w:footer="720" w:gutter="0"/>
          <w:paperSrc w:first="7" w:other="7"/>
          <w:cols w:space="720"/>
        </w:sectPr>
      </w:pPr>
      <w:r>
        <w:t>There were no evidence profile tables for change in management or impact of change in management are provided, due to lack of evidence in the proposed study population.</w:t>
      </w:r>
    </w:p>
    <w:p w14:paraId="319DE109" w14:textId="669A4D53" w:rsidR="00963BFB" w:rsidRPr="00183E4D" w:rsidRDefault="00193B87" w:rsidP="00A81273">
      <w:pPr>
        <w:pStyle w:val="Heading1"/>
        <w:jc w:val="both"/>
      </w:pPr>
      <w:bookmarkStart w:id="528" w:name="_Ref364237293"/>
      <w:bookmarkStart w:id="529" w:name="_Ref363131580"/>
      <w:bookmarkStart w:id="530" w:name="_Toc379118102"/>
      <w:bookmarkStart w:id="531" w:name="_Toc381796506"/>
      <w:bookmarkStart w:id="532" w:name="_Toc502833005"/>
      <w:r w:rsidRPr="00183E4D">
        <w:lastRenderedPageBreak/>
        <w:t xml:space="preserve">Appendix </w:t>
      </w:r>
      <w:r w:rsidR="00AC4BE5">
        <w:fldChar w:fldCharType="begin"/>
      </w:r>
      <w:r w:rsidR="00AC4BE5">
        <w:instrText xml:space="preserve"> SEQ Appendix \* ALPHABETIC </w:instrText>
      </w:r>
      <w:r w:rsidR="00AC4BE5">
        <w:fldChar w:fldCharType="separate"/>
      </w:r>
      <w:r w:rsidR="00AC4BE5">
        <w:rPr>
          <w:noProof/>
        </w:rPr>
        <w:t>E</w:t>
      </w:r>
      <w:r w:rsidR="00AC4BE5">
        <w:rPr>
          <w:noProof/>
        </w:rPr>
        <w:fldChar w:fldCharType="end"/>
      </w:r>
      <w:bookmarkEnd w:id="528"/>
      <w:r w:rsidR="00A40011" w:rsidRPr="00183E4D">
        <w:tab/>
      </w:r>
      <w:bookmarkEnd w:id="511"/>
      <w:bookmarkEnd w:id="529"/>
      <w:bookmarkEnd w:id="530"/>
      <w:bookmarkEnd w:id="531"/>
      <w:r w:rsidR="00591A6D" w:rsidRPr="00183E4D">
        <w:t xml:space="preserve">Excluded </w:t>
      </w:r>
      <w:r w:rsidR="004446E6">
        <w:t>s</w:t>
      </w:r>
      <w:r w:rsidR="0077418B" w:rsidRPr="00183E4D">
        <w:t>tudies</w:t>
      </w:r>
      <w:bookmarkEnd w:id="532"/>
    </w:p>
    <w:p w14:paraId="5EAC5BE9" w14:textId="65AA0A47" w:rsidR="001539A5" w:rsidRPr="0050123B" w:rsidRDefault="001539A5" w:rsidP="004446E6">
      <w:pPr>
        <w:pStyle w:val="Heading2"/>
      </w:pPr>
      <w:bookmarkStart w:id="533" w:name="_Toc502833006"/>
      <w:bookmarkEnd w:id="512"/>
      <w:r w:rsidRPr="0050123B">
        <w:t>Full</w:t>
      </w:r>
      <w:r w:rsidR="008B07C9">
        <w:t xml:space="preserve"> </w:t>
      </w:r>
      <w:r w:rsidRPr="0050123B">
        <w:t>text could not be retrieved</w:t>
      </w:r>
      <w:bookmarkEnd w:id="533"/>
    </w:p>
    <w:p w14:paraId="154ECF71" w14:textId="77777777" w:rsidR="001539A5" w:rsidRPr="00B23377" w:rsidRDefault="001539A5" w:rsidP="001539A5">
      <w:pPr>
        <w:spacing w:line="240" w:lineRule="auto"/>
      </w:pPr>
      <w:r w:rsidRPr="004A170F">
        <w:rPr>
          <w:rFonts w:eastAsia="Calibri" w:cs="Times New Roman"/>
          <w:noProof/>
          <w:lang w:val="en-US" w:eastAsia="en-US"/>
        </w:rPr>
        <w:t>Sandya, M &amp; Kumar, P 2016</w:t>
      </w:r>
      <w:r w:rsidRPr="00B23377">
        <w:rPr>
          <w:rFonts w:eastAsia="Calibri" w:cs="Times New Roman"/>
          <w:noProof/>
          <w:lang w:val="en-US"/>
        </w:rPr>
        <w:t xml:space="preserve">, 'Size of endometrioma and number does influence the ovarian reserve: A prospective observational study', </w:t>
      </w:r>
      <w:r w:rsidRPr="00B23377">
        <w:rPr>
          <w:rFonts w:eastAsia="Calibri" w:cs="Times New Roman"/>
          <w:i/>
          <w:noProof/>
          <w:lang w:val="en-US"/>
        </w:rPr>
        <w:t>International Journal of Infertility and Fetal Medicine</w:t>
      </w:r>
      <w:r w:rsidRPr="00B23377">
        <w:rPr>
          <w:rFonts w:eastAsia="Calibri" w:cs="Times New Roman"/>
          <w:noProof/>
          <w:lang w:val="en-US"/>
        </w:rPr>
        <w:t>, vol. 7, no. 1, 2016-1-1, pp. 14-18.</w:t>
      </w:r>
    </w:p>
    <w:p w14:paraId="3584CF23" w14:textId="05BAADCB" w:rsidR="001539A5" w:rsidRPr="00B23377" w:rsidRDefault="001539A5" w:rsidP="004446E6">
      <w:pPr>
        <w:pStyle w:val="Heading3"/>
      </w:pPr>
      <w:bookmarkStart w:id="534" w:name="_Toc502833007"/>
      <w:r>
        <w:t>No extractable data for analytical validity section</w:t>
      </w:r>
      <w:r w:rsidRPr="00B23377">
        <w:t xml:space="preserve"> or only predictive/prognostic data</w:t>
      </w:r>
      <w:bookmarkEnd w:id="534"/>
    </w:p>
    <w:p w14:paraId="430B5213" w14:textId="02616F31"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Anders, C, Marcom, PK, Peterson, B, Gu, L, Unruhe, S, Welch, R, Lyons, P, Kimmick, G, Shaw, H, Snyder, S, Antenos, M, Woodruff, T &amp; Blackwell, K 2008, 'A pilot study of predictive markers of chemotherapy-related amenorrhea among pre</w:t>
      </w:r>
      <w:r w:rsidR="003036C4">
        <w:rPr>
          <w:rFonts w:eastAsia="Calibri" w:cs="Times New Roman"/>
          <w:noProof/>
          <w:lang w:val="en-US"/>
        </w:rPr>
        <w:t>-menopausal</w:t>
      </w:r>
      <w:r w:rsidRPr="00B23377">
        <w:rPr>
          <w:rFonts w:eastAsia="Calibri" w:cs="Times New Roman"/>
          <w:noProof/>
          <w:lang w:val="en-US"/>
        </w:rPr>
        <w:t xml:space="preserve"> women with early stage breast cancer', </w:t>
      </w:r>
      <w:r w:rsidRPr="00B23377">
        <w:rPr>
          <w:rFonts w:eastAsia="Calibri" w:cs="Times New Roman"/>
          <w:i/>
          <w:noProof/>
          <w:lang w:val="en-US"/>
        </w:rPr>
        <w:t>Cancer Investigation</w:t>
      </w:r>
      <w:r w:rsidRPr="00B23377">
        <w:rPr>
          <w:rFonts w:eastAsia="Calibri" w:cs="Times New Roman"/>
          <w:noProof/>
          <w:lang w:val="en-US"/>
        </w:rPr>
        <w:t>, vol. 26, no. 3, 2008-1-1, pp. 286-295.</w:t>
      </w:r>
    </w:p>
    <w:p w14:paraId="24586D02"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rPr>
        <w:t xml:space="preserve">Chai, J, Howie, AF, Cameron, DA &amp; Anderson, RA 2014, 'A highly-sensitive anti-Müllerian hormone assay improves analysis of ovarian function following chemotherapy for early breast cancer', </w:t>
      </w:r>
      <w:r w:rsidRPr="00B23377">
        <w:rPr>
          <w:rFonts w:eastAsia="Calibri" w:cs="Times New Roman"/>
          <w:i/>
          <w:noProof/>
        </w:rPr>
        <w:t>European Journal of Cancer</w:t>
      </w:r>
      <w:r w:rsidRPr="00B23377">
        <w:rPr>
          <w:rFonts w:eastAsia="Calibri" w:cs="Times New Roman"/>
          <w:noProof/>
        </w:rPr>
        <w:t>, vol. 50, no. 14, 2014-1-1, pp. 2367-2374.</w:t>
      </w:r>
    </w:p>
    <w:p w14:paraId="6F5AB1DA"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D'Avila Â, M, Biolchi, V, Capp, E &amp; Corleta, HVE 2015, 'Age, anti-müllerian hormone, antral follicles count to predict amenorrhea or oligomenorrhea after chemotherapy with cyclophosphamide', </w:t>
      </w:r>
      <w:r w:rsidRPr="00B23377">
        <w:rPr>
          <w:rFonts w:eastAsia="Calibri" w:cs="Times New Roman"/>
          <w:i/>
          <w:noProof/>
          <w:lang w:val="en-US"/>
        </w:rPr>
        <w:t>Journal of Ovarian Research</w:t>
      </w:r>
      <w:r w:rsidRPr="00B23377">
        <w:rPr>
          <w:rFonts w:eastAsia="Calibri" w:cs="Times New Roman"/>
          <w:noProof/>
          <w:lang w:val="en-US"/>
        </w:rPr>
        <w:t>, vol. 8, no. 1, 2015-1-1.</w:t>
      </w:r>
    </w:p>
    <w:p w14:paraId="0565E705"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Henry, NL, Xia, R, Schott, AF, McConnell, D, Banerjee, M &amp; Hayes, DF 2014, 'Prediction of postchemotherapy ovarian function using markers of ovarian reserve', </w:t>
      </w:r>
      <w:r w:rsidRPr="00B23377">
        <w:rPr>
          <w:rFonts w:eastAsia="Calibri" w:cs="Times New Roman"/>
          <w:i/>
          <w:noProof/>
          <w:lang w:val="en-US"/>
        </w:rPr>
        <w:t>Oncologist</w:t>
      </w:r>
      <w:r w:rsidRPr="00B23377">
        <w:rPr>
          <w:rFonts w:eastAsia="Calibri" w:cs="Times New Roman"/>
          <w:noProof/>
          <w:lang w:val="en-US"/>
        </w:rPr>
        <w:t>, vol. 19, no. 1, 2014-1-1, pp. 68-74.</w:t>
      </w:r>
    </w:p>
    <w:p w14:paraId="315C50CE" w14:textId="21F316B4" w:rsidR="001539A5" w:rsidRPr="00B23377" w:rsidRDefault="001539A5" w:rsidP="004446E6">
      <w:pPr>
        <w:pStyle w:val="Heading3"/>
      </w:pPr>
      <w:bookmarkStart w:id="535" w:name="_Toc502833008"/>
      <w:r w:rsidRPr="00B23377">
        <w:t>Incorrect population</w:t>
      </w:r>
      <w:bookmarkEnd w:id="535"/>
    </w:p>
    <w:p w14:paraId="3D94CC32"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Christiansen, SC, Eilertsen, TB, Vanky, E &amp; Carlsen, SM 2016, 'Does AMH reflect follicle number similarly in women with and without PCOS?', </w:t>
      </w:r>
      <w:r w:rsidRPr="00B23377">
        <w:rPr>
          <w:rFonts w:eastAsia="Calibri" w:cs="Times New Roman"/>
          <w:i/>
          <w:noProof/>
          <w:lang w:val="en-US"/>
        </w:rPr>
        <w:t>PLoS ONE</w:t>
      </w:r>
      <w:r w:rsidRPr="00B23377">
        <w:rPr>
          <w:rFonts w:eastAsia="Calibri" w:cs="Times New Roman"/>
          <w:noProof/>
          <w:lang w:val="en-US"/>
        </w:rPr>
        <w:t>, vol. 11, no. 1, 2016-1-1.</w:t>
      </w:r>
    </w:p>
    <w:p w14:paraId="106A8072"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Leonhardt, H, Hellstrom, M, Gull, B, Lind, AK, Nilsson, L, Janson, PO &amp; Stener-Victorin, E 2014, 'Ovarian morphology assessed by magnetic resonance imaging in women with and without polycystic ovary syndrome and associations with antimullerian hormone, free testosterone, and glucose disposal rate', </w:t>
      </w:r>
      <w:r w:rsidRPr="00B23377">
        <w:rPr>
          <w:rFonts w:eastAsia="Calibri" w:cs="Times New Roman"/>
          <w:i/>
          <w:noProof/>
          <w:lang w:val="en-US"/>
        </w:rPr>
        <w:t>Fertil Steril</w:t>
      </w:r>
      <w:r w:rsidRPr="00B23377">
        <w:rPr>
          <w:rFonts w:eastAsia="Calibri" w:cs="Times New Roman"/>
          <w:noProof/>
          <w:lang w:val="en-US"/>
        </w:rPr>
        <w:t>, vol. 101, no. 6, 2014-1-1, pp. 1747-1756 e1741-1743.</w:t>
      </w:r>
    </w:p>
    <w:p w14:paraId="60CE4691"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Pigny, P, Gorisse, E, Ghulam, A, Robin, G, Catteau-Jonard, S, Duhamel, A &amp; Dewailly, D 2016, 'Comparative assessment of five serum antimullerian hormone assays for the diagnosis of polycystic ovary syndrome', </w:t>
      </w:r>
      <w:r w:rsidRPr="00B23377">
        <w:rPr>
          <w:rFonts w:eastAsia="Calibri" w:cs="Times New Roman"/>
          <w:i/>
          <w:noProof/>
          <w:lang w:val="en-US"/>
        </w:rPr>
        <w:t>Fertil Steril</w:t>
      </w:r>
      <w:r w:rsidRPr="00B23377">
        <w:rPr>
          <w:rFonts w:eastAsia="Calibri" w:cs="Times New Roman"/>
          <w:noProof/>
          <w:lang w:val="en-US"/>
        </w:rPr>
        <w:t>, vol. 105, no. 4, 2016-1-1, pp. 1063-1069 e1063.</w:t>
      </w:r>
    </w:p>
    <w:p w14:paraId="64760882"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Sahmay, S, Aydin, Y, Atakul, N, Aydogan, B &amp; Kaleli, S 2014, 'Relation of antimullerian hormone with the clinical signs of hyperandrogenism and polycystic ovary morphology', </w:t>
      </w:r>
      <w:r w:rsidRPr="00B23377">
        <w:rPr>
          <w:rFonts w:eastAsia="Calibri" w:cs="Times New Roman"/>
          <w:i/>
          <w:noProof/>
          <w:lang w:val="en-US"/>
        </w:rPr>
        <w:t>Gynecol Endocrinol</w:t>
      </w:r>
      <w:r w:rsidRPr="00B23377">
        <w:rPr>
          <w:rFonts w:eastAsia="Calibri" w:cs="Times New Roman"/>
          <w:noProof/>
          <w:lang w:val="en-US"/>
        </w:rPr>
        <w:t>, vol. 30, no. 2, 2014-1-1, pp. 130-134.</w:t>
      </w:r>
    </w:p>
    <w:p w14:paraId="1F314948" w14:textId="027D74B6" w:rsidR="001539A5" w:rsidRPr="00B23377" w:rsidRDefault="001539A5" w:rsidP="004446E6">
      <w:pPr>
        <w:pStyle w:val="Heading3"/>
      </w:pPr>
      <w:bookmarkStart w:id="536" w:name="_Toc502833009"/>
      <w:r w:rsidRPr="00B23377">
        <w:t>Incorrect intervention</w:t>
      </w:r>
      <w:bookmarkEnd w:id="536"/>
    </w:p>
    <w:p w14:paraId="40D511C5"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Yding Andersen, C, Rosendahl, M &amp; Byskov, AG 2008, 'Concentration of anti-Mullerian hormone and inhibin-B in relation to steroids and age in follicular fluid from small antral human follicles', </w:t>
      </w:r>
      <w:r w:rsidRPr="00B23377">
        <w:rPr>
          <w:rFonts w:eastAsia="Calibri" w:cs="Times New Roman"/>
          <w:i/>
          <w:noProof/>
          <w:lang w:val="en-US"/>
        </w:rPr>
        <w:t>J Clin Endocrinol Metab</w:t>
      </w:r>
      <w:r w:rsidRPr="00B23377">
        <w:rPr>
          <w:rFonts w:eastAsia="Calibri" w:cs="Times New Roman"/>
          <w:noProof/>
          <w:lang w:val="en-US"/>
        </w:rPr>
        <w:t>, vol. 93, no. 6, 2008-1-1, pp. 2344-2349.</w:t>
      </w:r>
    </w:p>
    <w:p w14:paraId="49177866" w14:textId="7E32EB65" w:rsidR="001539A5" w:rsidRPr="00B23377" w:rsidRDefault="001539A5" w:rsidP="004446E6">
      <w:pPr>
        <w:pStyle w:val="Heading3"/>
      </w:pPr>
      <w:bookmarkStart w:id="537" w:name="_Toc502833010"/>
      <w:r w:rsidRPr="00B23377">
        <w:lastRenderedPageBreak/>
        <w:t>No comparator</w:t>
      </w:r>
      <w:bookmarkEnd w:id="537"/>
    </w:p>
    <w:p w14:paraId="2472C5FC" w14:textId="77777777" w:rsidR="001539A5" w:rsidRPr="00B23377" w:rsidRDefault="001539A5" w:rsidP="001539A5">
      <w:pPr>
        <w:spacing w:line="240" w:lineRule="auto"/>
      </w:pPr>
      <w:r w:rsidRPr="00B23377">
        <w:t>Jantke, A, Rendtorff, R, Dittrich, R, Müller, A, Pfitzer, C, Hohmann, C, Keil, T &amp; Borgmann-Staudt, A 2012, 'Association between self-reported questionnaire data on fertility and results of hormone analyses in women after childhood cancer: A cross-sectional study', Journal of Obstetrics and Gynaecology Research, vol. 38, no. 10, 2012-1-1, pp. 1254-1259.</w:t>
      </w:r>
    </w:p>
    <w:p w14:paraId="622221B9" w14:textId="584C324F" w:rsidR="001539A5" w:rsidRPr="00B23377" w:rsidRDefault="001539A5" w:rsidP="004446E6">
      <w:pPr>
        <w:pStyle w:val="Heading3"/>
      </w:pPr>
      <w:bookmarkStart w:id="538" w:name="_Toc502833011"/>
      <w:r w:rsidRPr="00B23377">
        <w:t>Incorrect outcomes</w:t>
      </w:r>
      <w:bookmarkEnd w:id="538"/>
    </w:p>
    <w:p w14:paraId="5274937E"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Alborzi, S, Keramati, P, Younesi, M, Samsami, A &amp; Dadras, N 2014, 'The impact of laparoscopic cystectomy on ovarian reserve in patients with unilateral and bilateral endometriomas', </w:t>
      </w:r>
      <w:r w:rsidRPr="00B23377">
        <w:rPr>
          <w:rFonts w:eastAsia="Calibri" w:cs="Times New Roman"/>
          <w:i/>
          <w:noProof/>
          <w:lang w:val="en-US"/>
        </w:rPr>
        <w:t>Fertil Steril</w:t>
      </w:r>
      <w:r w:rsidRPr="00B23377">
        <w:rPr>
          <w:rFonts w:eastAsia="Calibri" w:cs="Times New Roman"/>
          <w:noProof/>
          <w:lang w:val="en-US"/>
        </w:rPr>
        <w:t>, vol. 101, no. 2, 2014-1-1, pp. 427-434.</w:t>
      </w:r>
    </w:p>
    <w:p w14:paraId="5D4B2815" w14:textId="7ACB22A3"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Anderson, RA, Themmen, APN, Al-Qahtani, A, Groome, NP &amp; Cameron, DA 2006, 'The effects of chemotherapy and long-term gonadotrophin suppression on the ovarian reserve in pre</w:t>
      </w:r>
      <w:r w:rsidR="003036C4">
        <w:rPr>
          <w:rFonts w:eastAsia="Calibri" w:cs="Times New Roman"/>
          <w:noProof/>
          <w:lang w:val="en-US"/>
        </w:rPr>
        <w:t>-menopausal</w:t>
      </w:r>
      <w:r w:rsidRPr="00B23377">
        <w:rPr>
          <w:rFonts w:eastAsia="Calibri" w:cs="Times New Roman"/>
          <w:noProof/>
          <w:lang w:val="en-US"/>
        </w:rPr>
        <w:t xml:space="preserve"> women with breast cancer', </w:t>
      </w:r>
      <w:r w:rsidRPr="00B23377">
        <w:rPr>
          <w:rFonts w:eastAsia="Calibri" w:cs="Times New Roman"/>
          <w:i/>
          <w:noProof/>
          <w:lang w:val="en-US"/>
        </w:rPr>
        <w:t>Human Reproduction</w:t>
      </w:r>
      <w:r w:rsidRPr="00B23377">
        <w:rPr>
          <w:rFonts w:eastAsia="Calibri" w:cs="Times New Roman"/>
          <w:noProof/>
          <w:lang w:val="en-US"/>
        </w:rPr>
        <w:t>, vol. 21, no. 10, 2006-1-1, pp. 2583-2592.</w:t>
      </w:r>
    </w:p>
    <w:p w14:paraId="274D8945"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Rosendahl, M, Andersen, CY, Ernst, E, Westergaard, LG, Rasmussen, PE, Loft, A &amp; Andersen, AN 2008, 'Ovarian function after removal of an entire ovary for cryopreservation of pieces of cortex prior to gonadotoxic treatment: a follow-up study', </w:t>
      </w:r>
      <w:r w:rsidRPr="00B23377">
        <w:rPr>
          <w:rFonts w:eastAsia="Calibri" w:cs="Times New Roman"/>
          <w:i/>
          <w:noProof/>
          <w:lang w:val="en-US"/>
        </w:rPr>
        <w:t>Hum Reprod</w:t>
      </w:r>
      <w:r w:rsidRPr="00B23377">
        <w:rPr>
          <w:rFonts w:eastAsia="Calibri" w:cs="Times New Roman"/>
          <w:noProof/>
          <w:lang w:val="en-US"/>
        </w:rPr>
        <w:t>, vol. 23, no. 11, 2008-1-1, pp. 2475-2483.</w:t>
      </w:r>
    </w:p>
    <w:p w14:paraId="6497D529"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Sabek, EAS, Saleh, OI &amp; Ahmed, HA 2015, 'Ultrasound in evaluating ovarian reserve, is it reliable?', </w:t>
      </w:r>
      <w:r w:rsidRPr="00B23377">
        <w:rPr>
          <w:rFonts w:eastAsia="Calibri" w:cs="Times New Roman"/>
          <w:i/>
          <w:noProof/>
          <w:lang w:val="en-US"/>
        </w:rPr>
        <w:t>Egyptian Journal of Radiology and Nuclear Medicine</w:t>
      </w:r>
      <w:r w:rsidRPr="00B23377">
        <w:rPr>
          <w:rFonts w:eastAsia="Calibri" w:cs="Times New Roman"/>
          <w:noProof/>
          <w:lang w:val="en-US"/>
        </w:rPr>
        <w:t>, vol. 46, no. 4, 2015-1-1, pp. 1343-1348.</w:t>
      </w:r>
    </w:p>
    <w:p w14:paraId="2FD96F78"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Salihoğlu, KN, Dilbaz, B, Cirik, DA, Ozelci, R, Ozkaya, E &amp; Mollamahmutoğlu, L 2016, 'Short-Term Impact of Laparoscopic Cystectomy on Ovarian Reserve Tests in Bilateral and Unilateral Endometriotic and Nonendometriotic Cysts', </w:t>
      </w:r>
      <w:r w:rsidRPr="00B23377">
        <w:rPr>
          <w:rFonts w:eastAsia="Calibri" w:cs="Times New Roman"/>
          <w:i/>
          <w:noProof/>
          <w:lang w:val="en-US"/>
        </w:rPr>
        <w:t>Journal of Minimally Invasive Gynecology</w:t>
      </w:r>
      <w:r w:rsidRPr="00B23377">
        <w:rPr>
          <w:rFonts w:eastAsia="Calibri" w:cs="Times New Roman"/>
          <w:noProof/>
          <w:lang w:val="en-US"/>
        </w:rPr>
        <w:t>, vol. 23, no. 5, 2016-1-1, pp. 719-725.</w:t>
      </w:r>
    </w:p>
    <w:p w14:paraId="439625CF"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Tokmak, A, Timur, H, Aksoy, RT, Çınar, M &amp; Yılmaz, N 2015, 'Is anti-mullerian hormone a good diagnostic marker for adolescent and young adult patients with polycystic ovary syndrome?', </w:t>
      </w:r>
      <w:r w:rsidRPr="00B23377">
        <w:rPr>
          <w:rFonts w:eastAsia="Calibri" w:cs="Times New Roman"/>
          <w:i/>
          <w:noProof/>
          <w:lang w:val="en-US"/>
        </w:rPr>
        <w:t>Turk Jinekoloji ve Obstetrik Dernegi Dergisi</w:t>
      </w:r>
      <w:r w:rsidRPr="00B23377">
        <w:rPr>
          <w:rFonts w:eastAsia="Calibri" w:cs="Times New Roman"/>
          <w:noProof/>
          <w:lang w:val="en-US"/>
        </w:rPr>
        <w:t>, vol. 12, no. 4, 2015-1-1, pp. 199-204.</w:t>
      </w:r>
    </w:p>
    <w:p w14:paraId="72356085" w14:textId="2BE3AC0D" w:rsidR="001539A5" w:rsidRPr="00B23377" w:rsidRDefault="001539A5" w:rsidP="00F03825">
      <w:pPr>
        <w:pStyle w:val="Heading2"/>
      </w:pPr>
      <w:bookmarkStart w:id="539" w:name="_Toc502833012"/>
      <w:r w:rsidRPr="00B23377">
        <w:t>Excluded from predictive/prognostic section</w:t>
      </w:r>
      <w:bookmarkEnd w:id="539"/>
    </w:p>
    <w:p w14:paraId="04C4C4DB" w14:textId="01B8DC2F" w:rsidR="001539A5" w:rsidRPr="00B23377" w:rsidRDefault="001539A5" w:rsidP="00F03825">
      <w:pPr>
        <w:pStyle w:val="Heading3"/>
      </w:pPr>
      <w:bookmarkStart w:id="540" w:name="_Toc502833013"/>
      <w:r w:rsidRPr="00B23377">
        <w:t>Not predictive/prognostic</w:t>
      </w:r>
      <w:bookmarkEnd w:id="540"/>
    </w:p>
    <w:p w14:paraId="0BC0C6D3"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Behringer, K, Thielen, I, Mueller, H, Goergen, H, Eibl, AD, Rosenbrock, J, Halbsguth, T, Eichenauer, DA, Fuchs, M, Reiners, KS, Renno, JH, van der Ven, K, Kuehr, M, von Wolff, M, Diehl, V, Engert, A &amp; Borchmann, P 2012, 'Fertility and gonadal function in female survivors after treatment of early unfavorable Hodgkin lymphoma (HL) within the German Hodgkin Study Group HD14 trial', </w:t>
      </w:r>
      <w:r w:rsidRPr="00B23377">
        <w:rPr>
          <w:rFonts w:eastAsia="Calibri" w:cs="Times New Roman"/>
          <w:i/>
          <w:noProof/>
          <w:lang w:val="en-US"/>
        </w:rPr>
        <w:t>Annals of Oncology</w:t>
      </w:r>
      <w:r w:rsidRPr="00B23377">
        <w:rPr>
          <w:rFonts w:eastAsia="Calibri" w:cs="Times New Roman"/>
          <w:noProof/>
          <w:lang w:val="en-US"/>
        </w:rPr>
        <w:t>, vol. 23, no. 7, 2012-1-1, pp. 1818-1825.</w:t>
      </w:r>
    </w:p>
    <w:p w14:paraId="7D984824"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Dillon, KE, Sammel, MD, Ginsberg, JP, Lechtenberg, L, Prewitt, M &amp; Gracia, CR 2013, 'Pregnancy after cancer: Results from a prospective cohort study of cancer survivors', </w:t>
      </w:r>
      <w:r w:rsidRPr="00B23377">
        <w:rPr>
          <w:rFonts w:eastAsia="Calibri" w:cs="Times New Roman"/>
          <w:i/>
          <w:noProof/>
          <w:lang w:val="en-US"/>
        </w:rPr>
        <w:t>Pediatric Blood and Cancer</w:t>
      </w:r>
      <w:r w:rsidRPr="00B23377">
        <w:rPr>
          <w:rFonts w:eastAsia="Calibri" w:cs="Times New Roman"/>
          <w:noProof/>
          <w:lang w:val="en-US"/>
        </w:rPr>
        <w:t>, vol. 60, no. 12, 2013-1-1, pp. 2001-2006.</w:t>
      </w:r>
    </w:p>
    <w:p w14:paraId="561495D2"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El-Shalakany, AH, Ali, MS, Abdelmaksoud, AA, El-Ghany, SA &amp; Hasan, EA 2013, 'Ovarian function in female survivors of childhood malignancies', </w:t>
      </w:r>
      <w:r w:rsidRPr="00B23377">
        <w:rPr>
          <w:rFonts w:eastAsia="Calibri" w:cs="Times New Roman"/>
          <w:i/>
          <w:noProof/>
          <w:lang w:val="en-US"/>
        </w:rPr>
        <w:t>Pediatric Hematology and Oncology</w:t>
      </w:r>
      <w:r w:rsidRPr="00B23377">
        <w:rPr>
          <w:rFonts w:eastAsia="Calibri" w:cs="Times New Roman"/>
          <w:noProof/>
          <w:lang w:val="en-US"/>
        </w:rPr>
        <w:t>, vol. 30, no. 4, 2013-1-1, pp. 328-335.</w:t>
      </w:r>
    </w:p>
    <w:p w14:paraId="6EC48628"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lastRenderedPageBreak/>
        <w:t xml:space="preserve">Giuseppe, L, Attilio, G, Edoardo, DN, Loredana, G, Cristina, L &amp; Vincenzo, L 2007, 'Ovarian function after cancer treatment in young women affected by Hodgkin disease (HD)', </w:t>
      </w:r>
      <w:r w:rsidRPr="00B23377">
        <w:rPr>
          <w:rFonts w:eastAsia="Calibri" w:cs="Times New Roman"/>
          <w:i/>
          <w:noProof/>
          <w:lang w:val="en-US"/>
        </w:rPr>
        <w:t>Hematology</w:t>
      </w:r>
      <w:r w:rsidRPr="00B23377">
        <w:rPr>
          <w:rFonts w:eastAsia="Calibri" w:cs="Times New Roman"/>
          <w:noProof/>
          <w:lang w:val="en-US"/>
        </w:rPr>
        <w:t>, vol. 12, no. 2, Apr, pp. 141-147.</w:t>
      </w:r>
    </w:p>
    <w:p w14:paraId="045BA9D1"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Greve, T, Schmidt, KT, Kristensen, SG, Ernst, E &amp; Andersen, CY 2012, 'Evaluation of the ovarian reserve in women transplanted with frozen and thawed ovarian cortical tissue', </w:t>
      </w:r>
      <w:r w:rsidRPr="00B23377">
        <w:rPr>
          <w:rFonts w:eastAsia="Calibri" w:cs="Times New Roman"/>
          <w:i/>
          <w:noProof/>
          <w:lang w:val="en-US"/>
        </w:rPr>
        <w:t>Fertility and Sterility</w:t>
      </w:r>
      <w:r w:rsidRPr="00B23377">
        <w:rPr>
          <w:rFonts w:eastAsia="Calibri" w:cs="Times New Roman"/>
          <w:noProof/>
          <w:lang w:val="en-US"/>
        </w:rPr>
        <w:t>, vol. 97, no. 6, 2012-1-1, pp. 1394-+.</w:t>
      </w:r>
    </w:p>
    <w:p w14:paraId="4B8E5F03"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Loverro, G, Guarini, A, Di Naro, E, Giacomantonio, L, Lavopa, C &amp; Liso, V 2007, 'Ovarian function after cancer treatment in young women affected by Hodgkin disease (HD)', </w:t>
      </w:r>
      <w:r w:rsidRPr="00B23377">
        <w:rPr>
          <w:rFonts w:eastAsia="Calibri" w:cs="Times New Roman"/>
          <w:i/>
          <w:noProof/>
          <w:lang w:val="en-US"/>
        </w:rPr>
        <w:t>Hematology</w:t>
      </w:r>
      <w:r w:rsidRPr="00B23377">
        <w:rPr>
          <w:rFonts w:eastAsia="Calibri" w:cs="Times New Roman"/>
          <w:noProof/>
          <w:lang w:val="en-US"/>
        </w:rPr>
        <w:t>, vol. 12, no. 2, 2007-1-1, pp. 141-147.</w:t>
      </w:r>
    </w:p>
    <w:p w14:paraId="2FDFD6C0"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Lunsford, AJ, Whelan, K, McCormick, K &amp; McLaren, JF 2014, 'Antimullerian hormone as a measure of reproductive function in female childhood cancer survivors', </w:t>
      </w:r>
      <w:r w:rsidRPr="00B23377">
        <w:rPr>
          <w:rFonts w:eastAsia="Calibri" w:cs="Times New Roman"/>
          <w:i/>
          <w:noProof/>
          <w:lang w:val="en-US"/>
        </w:rPr>
        <w:t>Fertil Steril</w:t>
      </w:r>
      <w:r w:rsidRPr="00B23377">
        <w:rPr>
          <w:rFonts w:eastAsia="Calibri" w:cs="Times New Roman"/>
          <w:noProof/>
          <w:lang w:val="en-US"/>
        </w:rPr>
        <w:t>, vol. 101, no. 1, 2014-1-1, pp. 227-231.</w:t>
      </w:r>
    </w:p>
    <w:p w14:paraId="393E435D"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Miyoshi, Y, Ohta, H, Namba, N, Tachibana, M, Miyamura, T, Miyashita, E, Hashii, Y, Oue, T, Isobe, A, Tsutsui, T, Kimura, T &amp; Ozono, K 2013, 'Low serum concentrations of anti-müllerian hormone are common in 53 female childhood cancer survivors', </w:t>
      </w:r>
      <w:r w:rsidRPr="00B23377">
        <w:rPr>
          <w:rFonts w:eastAsia="Calibri" w:cs="Times New Roman"/>
          <w:i/>
          <w:noProof/>
          <w:lang w:val="en-US"/>
        </w:rPr>
        <w:t>Hormone Research in Paediatrics</w:t>
      </w:r>
      <w:r w:rsidRPr="00B23377">
        <w:rPr>
          <w:rFonts w:eastAsia="Calibri" w:cs="Times New Roman"/>
          <w:noProof/>
          <w:lang w:val="en-US"/>
        </w:rPr>
        <w:t>, vol. 79, no. 1, 2013-1-1, pp. 17-21.</w:t>
      </w:r>
    </w:p>
    <w:p w14:paraId="24AB28CB" w14:textId="228EC600"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Nielsen, SN, Andersen, AN, Schmidt, KT, Rechnitzer, C, Schmiegelow, K, Bentzen, JG &amp; Larsen, EC 2013, 'A 10-year follow</w:t>
      </w:r>
      <w:r w:rsidR="00DE6DD5">
        <w:rPr>
          <w:rFonts w:eastAsia="Calibri" w:cs="Times New Roman"/>
          <w:noProof/>
          <w:lang w:val="en-US"/>
        </w:rPr>
        <w:t>-</w:t>
      </w:r>
      <w:r w:rsidRPr="00B23377">
        <w:rPr>
          <w:rFonts w:eastAsia="Calibri" w:cs="Times New Roman"/>
          <w:noProof/>
          <w:lang w:val="en-US"/>
        </w:rPr>
        <w:t xml:space="preserve">up of reproductive function in women treated for childhood cancer', </w:t>
      </w:r>
      <w:r w:rsidRPr="00B23377">
        <w:rPr>
          <w:rFonts w:eastAsia="Calibri" w:cs="Times New Roman"/>
          <w:i/>
          <w:noProof/>
          <w:lang w:val="en-US"/>
        </w:rPr>
        <w:t>Reproductive BioMedicine Online</w:t>
      </w:r>
      <w:r w:rsidRPr="00B23377">
        <w:rPr>
          <w:rFonts w:eastAsia="Calibri" w:cs="Times New Roman"/>
          <w:noProof/>
          <w:lang w:val="en-US"/>
        </w:rPr>
        <w:t>, vol. 27, no. 2, 2013-1-1, pp. 192-200.</w:t>
      </w:r>
    </w:p>
    <w:p w14:paraId="5548BDB3"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Rosendahl, M, Andersen, CY, Ernst, E, Westergaard, LG, Rasmussen, PE, Loft, A &amp; Andersen, AN 2008, 'Ovarian function after removal of an entire ovary for cryopreservation of pieces of cortex prior to gonadotoxic treatment: a follow-up study', </w:t>
      </w:r>
      <w:r w:rsidRPr="00B23377">
        <w:rPr>
          <w:rFonts w:eastAsia="Calibri" w:cs="Times New Roman"/>
          <w:i/>
          <w:noProof/>
          <w:lang w:val="en-US"/>
        </w:rPr>
        <w:t>Hum Reprod</w:t>
      </w:r>
      <w:r w:rsidRPr="00B23377">
        <w:rPr>
          <w:rFonts w:eastAsia="Calibri" w:cs="Times New Roman"/>
          <w:noProof/>
          <w:lang w:val="en-US"/>
        </w:rPr>
        <w:t>, vol. 23, no. 11, 2008-1-1, pp. 2475-2483.</w:t>
      </w:r>
    </w:p>
    <w:p w14:paraId="62A26094" w14:textId="77777777" w:rsidR="001539A5" w:rsidRPr="00B23377" w:rsidRDefault="001539A5" w:rsidP="00F03825">
      <w:pPr>
        <w:pStyle w:val="Heading3"/>
      </w:pPr>
      <w:bookmarkStart w:id="541" w:name="_Toc502833014"/>
      <w:r w:rsidRPr="00B23377">
        <w:t>Data not extractable</w:t>
      </w:r>
      <w:bookmarkEnd w:id="541"/>
    </w:p>
    <w:p w14:paraId="0A6004D5"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Bastings, L, Liebenthron, J, Westphal, JR, Beerendonk, CC, van der Ven, H, Meinecke, B, Montag, M, Braat, DD &amp; Peek, R 2014, 'Efficacy of ovarian tissue cryopreservation in a major European center', </w:t>
      </w:r>
      <w:r w:rsidRPr="00B23377">
        <w:rPr>
          <w:rFonts w:eastAsia="Calibri" w:cs="Times New Roman"/>
          <w:i/>
          <w:noProof/>
          <w:lang w:val="en-US"/>
        </w:rPr>
        <w:t>J Assist Reprod Genet</w:t>
      </w:r>
      <w:r w:rsidRPr="00B23377">
        <w:rPr>
          <w:rFonts w:eastAsia="Calibri" w:cs="Times New Roman"/>
          <w:noProof/>
          <w:lang w:val="en-US"/>
        </w:rPr>
        <w:t>, vol. 31, no. 8, Aug, pp. 1003-1012.</w:t>
      </w:r>
    </w:p>
    <w:p w14:paraId="20A6048C"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Greve, T, Schmidt, KT, Kristensen, SG, Ernst, E &amp; Andersen, CY 2012, 'Evaluation of the ovarian reserve in women transplanted with frozen and thawed ovarian cortical tissue', </w:t>
      </w:r>
      <w:r w:rsidRPr="00B23377">
        <w:rPr>
          <w:rFonts w:eastAsia="Calibri" w:cs="Times New Roman"/>
          <w:i/>
          <w:noProof/>
          <w:lang w:val="en-US"/>
        </w:rPr>
        <w:t>Fertility and Sterility</w:t>
      </w:r>
      <w:r w:rsidRPr="00B23377">
        <w:rPr>
          <w:rFonts w:eastAsia="Calibri" w:cs="Times New Roman"/>
          <w:noProof/>
          <w:lang w:val="en-US"/>
        </w:rPr>
        <w:t>, vol. 97, no. 6, 2012-1-1, pp. 1394-+.</w:t>
      </w:r>
    </w:p>
    <w:p w14:paraId="1C0925EF"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Gupta, AA, Lee Chong, A, Deveault, C, Traubici, J, Maloney, AM, Knight, S, Lorenzo, A &amp; Allen, L 2016, 'Anti-Mullerian Hormone in Female Adolescent Cancer Patients Before, During, and After Completion of Therapy: A Pilot Feasibility Study', </w:t>
      </w:r>
      <w:r w:rsidRPr="00B23377">
        <w:rPr>
          <w:rFonts w:eastAsia="Calibri" w:cs="Times New Roman"/>
          <w:i/>
          <w:noProof/>
          <w:lang w:val="en-US"/>
        </w:rPr>
        <w:t>J Pediatr Adolesc Gynecol</w:t>
      </w:r>
      <w:r w:rsidRPr="00B23377">
        <w:rPr>
          <w:rFonts w:eastAsia="Calibri" w:cs="Times New Roman"/>
          <w:noProof/>
          <w:lang w:val="en-US"/>
        </w:rPr>
        <w:t>, vol. 29, no. 6, 2016-1-1, pp. 599-603.</w:t>
      </w:r>
    </w:p>
    <w:p w14:paraId="260108B5"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Hamre, H, Kiserud, CE, Ruud, E, Thorsby, PM &amp; Fosså, SD 2012, 'Gonadal function and parenthood 20 years after treatment for childhood lymphoma: A cross-sectional study', </w:t>
      </w:r>
      <w:r w:rsidRPr="00B23377">
        <w:rPr>
          <w:rFonts w:eastAsia="Calibri" w:cs="Times New Roman"/>
          <w:i/>
          <w:noProof/>
          <w:lang w:val="en-US"/>
        </w:rPr>
        <w:t>Pediatric Blood and Cancer</w:t>
      </w:r>
      <w:r w:rsidRPr="00B23377">
        <w:rPr>
          <w:rFonts w:eastAsia="Calibri" w:cs="Times New Roman"/>
          <w:noProof/>
          <w:lang w:val="en-US"/>
        </w:rPr>
        <w:t>, vol. 59, no. 2, 2012-1-1, pp. 271-277.</w:t>
      </w:r>
    </w:p>
    <w:p w14:paraId="10B7DB27" w14:textId="36026BEA"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Jadoul, P, Anckaert, E,, D, eleer, A, Steffens, M, Dolmans, MM, Vermylen, C, Smitz, J, Donnez, J &amp; Maiter, D 2011, 'Clinical and biologic evaluation of ovarian function in women treated by bone marrow transplantation for various indications during childhood or adolescence', </w:t>
      </w:r>
      <w:r w:rsidRPr="00B23377">
        <w:rPr>
          <w:rFonts w:eastAsia="Calibri" w:cs="Times New Roman"/>
          <w:i/>
          <w:noProof/>
          <w:lang w:val="en-US"/>
        </w:rPr>
        <w:t>Fertil Steril</w:t>
      </w:r>
      <w:r w:rsidRPr="00B23377">
        <w:rPr>
          <w:rFonts w:eastAsia="Calibri" w:cs="Times New Roman"/>
          <w:noProof/>
          <w:lang w:val="en-US"/>
        </w:rPr>
        <w:t>, vol. 96, no. 1, 2011-1-1, pp. 126-133 e123.</w:t>
      </w:r>
    </w:p>
    <w:p w14:paraId="785F2102"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lastRenderedPageBreak/>
        <w:t xml:space="preserve">Janse, F, Donnez, J, Anckaert, E, de Jong, FH, Fauser, BC &amp; Dolmans, MM 2011, 'Limited value of ovarian function markers following orthotopic transplantation of ovarian tissue after gonadotoxic treatment', </w:t>
      </w:r>
      <w:r w:rsidRPr="00B23377">
        <w:rPr>
          <w:rFonts w:eastAsia="Calibri" w:cs="Times New Roman"/>
          <w:i/>
          <w:noProof/>
          <w:lang w:val="en-US"/>
        </w:rPr>
        <w:t>J Clin Endocrinol Metab</w:t>
      </w:r>
      <w:r w:rsidRPr="00B23377">
        <w:rPr>
          <w:rFonts w:eastAsia="Calibri" w:cs="Times New Roman"/>
          <w:noProof/>
          <w:lang w:val="en-US"/>
        </w:rPr>
        <w:t>, vol. 96, no. 4, 2011-1-1, pp. 1136-1144.</w:t>
      </w:r>
    </w:p>
    <w:p w14:paraId="7482529E"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Lunsford, AJ, Whelan, K, McCormick, K &amp; McLaren, JF 2014, 'Antimullerian hormone as a measure of reproductive function in female childhood cancer survivors', </w:t>
      </w:r>
      <w:r w:rsidRPr="00B23377">
        <w:rPr>
          <w:rFonts w:eastAsia="Calibri" w:cs="Times New Roman"/>
          <w:i/>
          <w:noProof/>
          <w:lang w:val="en-US"/>
        </w:rPr>
        <w:t>Fertil Steril</w:t>
      </w:r>
      <w:r w:rsidRPr="00B23377">
        <w:rPr>
          <w:rFonts w:eastAsia="Calibri" w:cs="Times New Roman"/>
          <w:noProof/>
          <w:lang w:val="en-US"/>
        </w:rPr>
        <w:t>, vol. 101, no. 1, 2014-1-1, pp. 227-231.</w:t>
      </w:r>
    </w:p>
    <w:p w14:paraId="46A87235"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Morel, N, Bachelot, A, Chakhtoura, Z, Ghillani-Dalbin, P, Amoura, Z, Galicier, L, Aumaitre, O, Piette, JC, Pourrat, J, Boutin, D, Sacre, K, Kahn, JE, Duhaut, P, Farge, D, Frances, C, Guettrot-Imbert, G, Harle, JR, Lambotte, O, Le Guern, V, Sene, D, Trad, S, Vidal, E, Sarrot-Reynauld, F, Gompel, A, Tanguy, ML, Touraine, P, Lacorte, JM, Costedoat-Chalumeau, N &amp; Grp, P 2013, 'Study of Anti-Mullerian Hormone and Its Relation to the Subsequent Probability of Pregnancy in 112 Patients With Systemic Lupus Erythematosus, Exposed or Not to Cyclophosphamide', </w:t>
      </w:r>
      <w:r w:rsidRPr="00B23377">
        <w:rPr>
          <w:rFonts w:eastAsia="Calibri" w:cs="Times New Roman"/>
          <w:i/>
          <w:noProof/>
          <w:lang w:val="en-US"/>
        </w:rPr>
        <w:t>Journal of Clinical Endocrinology &amp; Metabolism</w:t>
      </w:r>
      <w:r w:rsidRPr="00B23377">
        <w:rPr>
          <w:rFonts w:eastAsia="Calibri" w:cs="Times New Roman"/>
          <w:noProof/>
          <w:lang w:val="en-US"/>
        </w:rPr>
        <w:t>, vol. 98, no. 9, 2013-1-1, pp. 3785-3792.</w:t>
      </w:r>
    </w:p>
    <w:p w14:paraId="47322A01"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Ozaki, R, Kumakiri, J, Tinelli, A, Grimbizis, GF, Kitade, M &amp; Takeda, S 2016, 'Evaluation of factors predicting diminished ovarian reserve before and after laparoscopic cystectomy for ovarian endometriomas: A prospective cohort study', </w:t>
      </w:r>
      <w:r w:rsidRPr="00B23377">
        <w:rPr>
          <w:rFonts w:eastAsia="Calibri" w:cs="Times New Roman"/>
          <w:i/>
          <w:noProof/>
          <w:lang w:val="en-US"/>
        </w:rPr>
        <w:t>Journal of Ovarian Research</w:t>
      </w:r>
      <w:r w:rsidRPr="00B23377">
        <w:rPr>
          <w:rFonts w:eastAsia="Calibri" w:cs="Times New Roman"/>
          <w:noProof/>
          <w:lang w:val="en-US"/>
        </w:rPr>
        <w:t>, vol. 9, no. 1, 2016-1-1.</w:t>
      </w:r>
    </w:p>
    <w:p w14:paraId="6A823E87"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Taniguchi, F, Sakamoto, Y, Yabuta, Y, Azuma, Y, Hirakawa, E, Nagira, K, Uegaki, T, Deura, I, Hata, K &amp; Harada, T 2016, 'Analysis of pregnancy outcome and decline of anti-Müllerian hormone after laparoscopic cystectomy for ovarian endometriomas', </w:t>
      </w:r>
      <w:r w:rsidRPr="00B23377">
        <w:rPr>
          <w:rFonts w:eastAsia="Calibri" w:cs="Times New Roman"/>
          <w:i/>
          <w:noProof/>
          <w:lang w:val="en-US"/>
        </w:rPr>
        <w:t>Journal of Obstetrics and Gynaecology Research</w:t>
      </w:r>
      <w:r w:rsidRPr="00B23377">
        <w:rPr>
          <w:rFonts w:eastAsia="Calibri" w:cs="Times New Roman"/>
          <w:noProof/>
          <w:lang w:val="en-US"/>
        </w:rPr>
        <w:t>, vol. 42, no. 11, 2016-1-1, pp. 1534-1540.</w:t>
      </w:r>
    </w:p>
    <w:p w14:paraId="21A5BCE7" w14:textId="75E8DED1" w:rsidR="001539A5" w:rsidRPr="00B23377" w:rsidRDefault="001539A5" w:rsidP="00874FF7">
      <w:pPr>
        <w:pStyle w:val="Heading3"/>
        <w:rPr>
          <w:rFonts w:eastAsia="Calibri"/>
        </w:rPr>
      </w:pPr>
      <w:bookmarkStart w:id="542" w:name="_Toc502833015"/>
      <w:r w:rsidRPr="00B23377">
        <w:rPr>
          <w:rFonts w:eastAsia="Calibri"/>
        </w:rPr>
        <w:t xml:space="preserve">Incorrect population </w:t>
      </w:r>
      <w:r w:rsidR="005A10F3">
        <w:rPr>
          <w:rFonts w:eastAsia="Calibri"/>
        </w:rPr>
        <w:t>or study population too small (n</w:t>
      </w:r>
      <w:r w:rsidRPr="00B23377">
        <w:rPr>
          <w:rFonts w:eastAsia="Calibri"/>
        </w:rPr>
        <w:t>&lt;10)</w:t>
      </w:r>
      <w:bookmarkEnd w:id="542"/>
    </w:p>
    <w:p w14:paraId="6E4CA70F" w14:textId="77777777"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 xml:space="preserve">Ghorani, E, Ramaswami, R, Smith, RJ, Savage, PM &amp; Seckl, MJ 2016, 'Anti-Mullerian Hormone in Patients Treated with Chemotherapy for Gestational Trophoblastic Neoplasia Does Not Predict Short-Term Fertility', </w:t>
      </w:r>
      <w:r w:rsidRPr="00B23377">
        <w:rPr>
          <w:rFonts w:eastAsia="Calibri" w:cs="Times New Roman"/>
          <w:i/>
          <w:noProof/>
          <w:lang w:val="en-US"/>
        </w:rPr>
        <w:t>Journal of Reproductive Medicine</w:t>
      </w:r>
      <w:r w:rsidRPr="00B23377">
        <w:rPr>
          <w:rFonts w:eastAsia="Calibri" w:cs="Times New Roman"/>
          <w:noProof/>
          <w:lang w:val="en-US"/>
        </w:rPr>
        <w:t>, vol. 61, no. 5, 2016-1-1, pp. 205-209.</w:t>
      </w:r>
    </w:p>
    <w:p w14:paraId="0DB1CCAF" w14:textId="4A4092DE" w:rsidR="001539A5" w:rsidRPr="00B23377" w:rsidRDefault="001539A5" w:rsidP="001539A5">
      <w:pPr>
        <w:spacing w:line="240" w:lineRule="auto"/>
        <w:rPr>
          <w:rFonts w:eastAsia="Calibri" w:cs="Times New Roman"/>
          <w:noProof/>
          <w:lang w:val="en-US"/>
        </w:rPr>
      </w:pPr>
      <w:r w:rsidRPr="00B23377">
        <w:rPr>
          <w:rFonts w:eastAsia="Calibri" w:cs="Times New Roman"/>
          <w:noProof/>
          <w:lang w:val="en-US"/>
        </w:rPr>
        <w:t>Kunt, C, Ozaksit, G, Keskin Kurt, R, Cakir Gungor, AN, Kanat-Pektas, M, Kilic, S &amp; Dede, A 2011, 'Anti-Mullerian hormone is a better marker than inhibin B, follicle</w:t>
      </w:r>
      <w:r w:rsidR="00DE6DD5">
        <w:rPr>
          <w:rFonts w:eastAsia="Calibri" w:cs="Times New Roman"/>
          <w:noProof/>
          <w:lang w:val="en-US"/>
        </w:rPr>
        <w:t>-</w:t>
      </w:r>
      <w:r w:rsidRPr="00B23377">
        <w:rPr>
          <w:rFonts w:eastAsia="Calibri" w:cs="Times New Roman"/>
          <w:noProof/>
          <w:lang w:val="en-US"/>
        </w:rPr>
        <w:t xml:space="preserve">stimulating hormone, estradiol or antral follicle count in predicting the outcome of in vitro fertilization', </w:t>
      </w:r>
      <w:r w:rsidRPr="00B23377">
        <w:rPr>
          <w:rFonts w:eastAsia="Calibri" w:cs="Times New Roman"/>
          <w:i/>
          <w:noProof/>
          <w:lang w:val="en-US"/>
        </w:rPr>
        <w:t>Archives of Gynecology and Obstetrics</w:t>
      </w:r>
      <w:r w:rsidRPr="00B23377">
        <w:rPr>
          <w:rFonts w:eastAsia="Calibri" w:cs="Times New Roman"/>
          <w:noProof/>
          <w:lang w:val="en-US"/>
        </w:rPr>
        <w:t>, vol. 283, no. 6, 2011-1-1, pp. 1415-1421.</w:t>
      </w:r>
    </w:p>
    <w:p w14:paraId="79060E24" w14:textId="77777777" w:rsidR="001539A5" w:rsidRPr="004A170F" w:rsidRDefault="001539A5" w:rsidP="001539A5">
      <w:pPr>
        <w:spacing w:line="240" w:lineRule="auto"/>
        <w:rPr>
          <w:rFonts w:eastAsia="Calibri" w:cs="Times New Roman"/>
          <w:noProof/>
          <w:lang w:val="en-US"/>
        </w:rPr>
      </w:pPr>
      <w:r w:rsidRPr="00B23377">
        <w:rPr>
          <w:rFonts w:eastAsia="Calibri" w:cs="Times New Roman"/>
          <w:noProof/>
          <w:lang w:val="en-US"/>
        </w:rPr>
        <w:t xml:space="preserve">Lee, JR, Kim, SH, Kim, SM, Jee, BC, Ku, SY, Suh, CS, Choi, YM, Kim, JG &amp; Moon, SY 2008, 'Follicular fluid anti-Müllerian hormone and inhibin B concentrations: comparison between gonadotropin-releasing hormone (GnRH) agonist and GnRH antagonist cycles', </w:t>
      </w:r>
      <w:r w:rsidRPr="00B23377">
        <w:rPr>
          <w:rFonts w:eastAsia="Calibri" w:cs="Times New Roman"/>
          <w:i/>
          <w:noProof/>
          <w:lang w:val="en-US"/>
        </w:rPr>
        <w:t>Fertility and Sterility</w:t>
      </w:r>
      <w:r w:rsidRPr="00B23377">
        <w:rPr>
          <w:rFonts w:eastAsia="Calibri" w:cs="Times New Roman"/>
          <w:noProof/>
          <w:lang w:val="en-US"/>
        </w:rPr>
        <w:t>, vol. 89, no. 4, 2008-1-1, pp. 860-867.</w:t>
      </w:r>
    </w:p>
    <w:p w14:paraId="7403D619" w14:textId="77777777" w:rsidR="000F4B7F" w:rsidRDefault="000F4B7F" w:rsidP="000F4B7F">
      <w:pPr>
        <w:pStyle w:val="Heading1"/>
        <w:jc w:val="both"/>
        <w:sectPr w:rsidR="000F4B7F" w:rsidSect="0080059D">
          <w:headerReference w:type="even" r:id="rId106"/>
          <w:headerReference w:type="default" r:id="rId107"/>
          <w:footerReference w:type="even" r:id="rId108"/>
          <w:headerReference w:type="first" r:id="rId109"/>
          <w:pgSz w:w="11906" w:h="16838"/>
          <w:pgMar w:top="1440" w:right="1440" w:bottom="1440" w:left="1440" w:header="720" w:footer="720" w:gutter="0"/>
          <w:paperSrc w:first="7" w:other="7"/>
          <w:cols w:space="720"/>
          <w:docGrid w:linePitch="360"/>
        </w:sectPr>
      </w:pPr>
      <w:bookmarkStart w:id="543" w:name="_Toc379118117"/>
      <w:bookmarkStart w:id="544" w:name="_Toc381796514"/>
    </w:p>
    <w:p w14:paraId="246A7A40" w14:textId="0D5CDE32" w:rsidR="000F4B7F" w:rsidRDefault="000F4B7F" w:rsidP="000F4B7F">
      <w:pPr>
        <w:pStyle w:val="Heading1"/>
        <w:jc w:val="both"/>
      </w:pPr>
      <w:bookmarkStart w:id="545" w:name="_Ref497820796"/>
      <w:bookmarkStart w:id="546" w:name="_Toc502833016"/>
      <w:r w:rsidRPr="00183E4D">
        <w:lastRenderedPageBreak/>
        <w:t xml:space="preserve">Appendix </w:t>
      </w:r>
      <w:r w:rsidR="00AC4BE5">
        <w:fldChar w:fldCharType="begin"/>
      </w:r>
      <w:r w:rsidR="00AC4BE5">
        <w:instrText xml:space="preserve"> SEQ Appendix \* ALPHABETIC </w:instrText>
      </w:r>
      <w:r w:rsidR="00AC4BE5">
        <w:fldChar w:fldCharType="separate"/>
      </w:r>
      <w:r w:rsidR="00AC4BE5">
        <w:rPr>
          <w:noProof/>
        </w:rPr>
        <w:t>F</w:t>
      </w:r>
      <w:r w:rsidR="00AC4BE5">
        <w:rPr>
          <w:noProof/>
        </w:rPr>
        <w:fldChar w:fldCharType="end"/>
      </w:r>
      <w:bookmarkEnd w:id="545"/>
      <w:r w:rsidRPr="00183E4D">
        <w:tab/>
      </w:r>
      <w:r>
        <w:t xml:space="preserve">Quality appraisal </w:t>
      </w:r>
      <w:r w:rsidR="00D76A9E">
        <w:t xml:space="preserve">of </w:t>
      </w:r>
      <w:r>
        <w:t>prognostic evidence</w:t>
      </w:r>
      <w:bookmarkEnd w:id="546"/>
    </w:p>
    <w:p w14:paraId="7747F89A" w14:textId="26CF8DC6" w:rsidR="000F4B7F" w:rsidRDefault="000F4B7F" w:rsidP="000F4B7F">
      <w:pPr>
        <w:pStyle w:val="Caption"/>
        <w:keepNext/>
      </w:pPr>
      <w:bookmarkStart w:id="547" w:name="_Toc502833109"/>
      <w:r>
        <w:t xml:space="preserve">Table </w:t>
      </w:r>
      <w:r w:rsidR="00AC4BE5">
        <w:fldChar w:fldCharType="begin"/>
      </w:r>
      <w:r w:rsidR="00AC4BE5">
        <w:instrText xml:space="preserve"> SEQ Table \* ARABIC </w:instrText>
      </w:r>
      <w:r w:rsidR="00AC4BE5">
        <w:fldChar w:fldCharType="separate"/>
      </w:r>
      <w:r w:rsidR="00AC4BE5">
        <w:rPr>
          <w:noProof/>
        </w:rPr>
        <w:t>91</w:t>
      </w:r>
      <w:r w:rsidR="00AC4BE5">
        <w:rPr>
          <w:noProof/>
        </w:rPr>
        <w:fldChar w:fldCharType="end"/>
      </w:r>
      <w:r w:rsidR="00814320">
        <w:tab/>
      </w:r>
      <w:r>
        <w:t>Quality appraisal for studies included in</w:t>
      </w:r>
      <w:r>
        <w:rPr>
          <w:noProof/>
        </w:rPr>
        <w:t xml:space="preserve"> predictive and prog</w:t>
      </w:r>
      <w:r w:rsidR="00D76A9E">
        <w:rPr>
          <w:noProof/>
        </w:rPr>
        <w:t>nostic evidence section of B4, m</w:t>
      </w:r>
      <w:r>
        <w:rPr>
          <w:noProof/>
        </w:rPr>
        <w:t>easured using QUIPS tool</w:t>
      </w:r>
      <w:bookmarkEnd w:id="547"/>
    </w:p>
    <w:tbl>
      <w:tblPr>
        <w:tblStyle w:val="TableGrid16"/>
        <w:tblW w:w="0" w:type="auto"/>
        <w:tblLook w:val="04A0" w:firstRow="1" w:lastRow="0" w:firstColumn="1" w:lastColumn="0" w:noHBand="0" w:noVBand="1"/>
        <w:tblCaption w:val="Quality appraisal for studies included in predictive and prognostic evidence section of B4 (Measured using QUIPS tool)"/>
        <w:tblDescription w:val="Quality appraisal for studies included in predictive and prognostic evidence section of B4 (Measured using QUIPS tool)"/>
      </w:tblPr>
      <w:tblGrid>
        <w:gridCol w:w="1980"/>
        <w:gridCol w:w="1704"/>
        <w:gridCol w:w="1704"/>
        <w:gridCol w:w="1704"/>
        <w:gridCol w:w="1704"/>
        <w:gridCol w:w="1704"/>
        <w:gridCol w:w="1704"/>
        <w:gridCol w:w="1704"/>
      </w:tblGrid>
      <w:tr w:rsidR="000F4B7F" w:rsidRPr="000F4B7F" w14:paraId="7BAA6D56" w14:textId="77777777" w:rsidTr="00C22CC2">
        <w:trPr>
          <w:tblHeader/>
        </w:trPr>
        <w:tc>
          <w:tcPr>
            <w:tcW w:w="1980" w:type="dxa"/>
            <w:tcBorders>
              <w:right w:val="single" w:sz="4" w:space="0" w:color="auto"/>
            </w:tcBorders>
          </w:tcPr>
          <w:p w14:paraId="10B968CD" w14:textId="32868DD8" w:rsidR="000F4B7F" w:rsidRPr="007102C6" w:rsidRDefault="007102C6" w:rsidP="007102C6">
            <w:pPr>
              <w:pStyle w:val="Tabletext1"/>
              <w:rPr>
                <w:b/>
              </w:rPr>
            </w:pPr>
            <w:r>
              <w:rPr>
                <w:b/>
              </w:rPr>
              <w:t> </w:t>
            </w:r>
          </w:p>
        </w:tc>
        <w:tc>
          <w:tcPr>
            <w:tcW w:w="1704" w:type="dxa"/>
            <w:tcBorders>
              <w:top w:val="single" w:sz="4" w:space="0" w:color="auto"/>
              <w:left w:val="single" w:sz="4" w:space="0" w:color="auto"/>
              <w:bottom w:val="single" w:sz="4" w:space="0" w:color="auto"/>
              <w:right w:val="nil"/>
            </w:tcBorders>
          </w:tcPr>
          <w:p w14:paraId="33F633F3" w14:textId="77777777" w:rsidR="000F4B7F" w:rsidRPr="007102C6" w:rsidRDefault="000F4B7F" w:rsidP="007102C6">
            <w:pPr>
              <w:pStyle w:val="Tabletext1"/>
              <w:rPr>
                <w:b/>
              </w:rPr>
            </w:pPr>
            <w:r w:rsidRPr="007102C6">
              <w:rPr>
                <w:b/>
              </w:rPr>
              <w:t>Biases (risk of bias)</w:t>
            </w:r>
          </w:p>
        </w:tc>
        <w:tc>
          <w:tcPr>
            <w:tcW w:w="1704" w:type="dxa"/>
            <w:tcBorders>
              <w:top w:val="single" w:sz="4" w:space="0" w:color="auto"/>
              <w:left w:val="nil"/>
              <w:bottom w:val="single" w:sz="4" w:space="0" w:color="auto"/>
              <w:right w:val="nil"/>
            </w:tcBorders>
          </w:tcPr>
          <w:p w14:paraId="0733C2F4" w14:textId="77777777" w:rsidR="000F4B7F" w:rsidRPr="007102C6" w:rsidRDefault="000F4B7F" w:rsidP="007102C6">
            <w:pPr>
              <w:pStyle w:val="Tabletext1"/>
              <w:rPr>
                <w:b/>
              </w:rPr>
            </w:pPr>
          </w:p>
        </w:tc>
        <w:tc>
          <w:tcPr>
            <w:tcW w:w="1704" w:type="dxa"/>
            <w:tcBorders>
              <w:top w:val="single" w:sz="4" w:space="0" w:color="auto"/>
              <w:left w:val="nil"/>
              <w:bottom w:val="single" w:sz="4" w:space="0" w:color="auto"/>
              <w:right w:val="nil"/>
            </w:tcBorders>
          </w:tcPr>
          <w:p w14:paraId="67CABDAA" w14:textId="77777777" w:rsidR="000F4B7F" w:rsidRPr="007102C6" w:rsidRDefault="000F4B7F" w:rsidP="007102C6">
            <w:pPr>
              <w:pStyle w:val="Tabletext1"/>
              <w:rPr>
                <w:b/>
              </w:rPr>
            </w:pPr>
          </w:p>
        </w:tc>
        <w:tc>
          <w:tcPr>
            <w:tcW w:w="1704" w:type="dxa"/>
            <w:tcBorders>
              <w:top w:val="single" w:sz="4" w:space="0" w:color="auto"/>
              <w:left w:val="nil"/>
              <w:bottom w:val="single" w:sz="4" w:space="0" w:color="auto"/>
              <w:right w:val="nil"/>
            </w:tcBorders>
          </w:tcPr>
          <w:p w14:paraId="67DB1758" w14:textId="77777777" w:rsidR="000F4B7F" w:rsidRPr="007102C6" w:rsidRDefault="000F4B7F" w:rsidP="007102C6">
            <w:pPr>
              <w:pStyle w:val="Tabletext1"/>
              <w:rPr>
                <w:b/>
              </w:rPr>
            </w:pPr>
          </w:p>
        </w:tc>
        <w:tc>
          <w:tcPr>
            <w:tcW w:w="1704" w:type="dxa"/>
            <w:tcBorders>
              <w:top w:val="single" w:sz="4" w:space="0" w:color="auto"/>
              <w:left w:val="nil"/>
              <w:bottom w:val="single" w:sz="4" w:space="0" w:color="auto"/>
              <w:right w:val="nil"/>
            </w:tcBorders>
          </w:tcPr>
          <w:p w14:paraId="5B1B7D15" w14:textId="77777777" w:rsidR="000F4B7F" w:rsidRPr="007102C6" w:rsidRDefault="000F4B7F" w:rsidP="007102C6">
            <w:pPr>
              <w:pStyle w:val="Tabletext1"/>
              <w:rPr>
                <w:b/>
              </w:rPr>
            </w:pPr>
          </w:p>
        </w:tc>
        <w:tc>
          <w:tcPr>
            <w:tcW w:w="1704" w:type="dxa"/>
            <w:tcBorders>
              <w:top w:val="single" w:sz="4" w:space="0" w:color="auto"/>
              <w:left w:val="nil"/>
              <w:bottom w:val="single" w:sz="4" w:space="0" w:color="auto"/>
              <w:right w:val="single" w:sz="4" w:space="0" w:color="auto"/>
            </w:tcBorders>
          </w:tcPr>
          <w:p w14:paraId="489A80F8" w14:textId="77777777" w:rsidR="000F4B7F" w:rsidRPr="007102C6" w:rsidRDefault="000F4B7F" w:rsidP="007102C6">
            <w:pPr>
              <w:pStyle w:val="Tabletext1"/>
              <w:rPr>
                <w:b/>
              </w:rPr>
            </w:pPr>
          </w:p>
        </w:tc>
        <w:tc>
          <w:tcPr>
            <w:tcW w:w="1704" w:type="dxa"/>
            <w:tcBorders>
              <w:top w:val="single" w:sz="4" w:space="0" w:color="auto"/>
              <w:left w:val="single" w:sz="4" w:space="0" w:color="auto"/>
              <w:bottom w:val="single" w:sz="4" w:space="0" w:color="auto"/>
              <w:right w:val="single" w:sz="4" w:space="0" w:color="auto"/>
            </w:tcBorders>
          </w:tcPr>
          <w:p w14:paraId="6A528AF9" w14:textId="77777777" w:rsidR="000F4B7F" w:rsidRPr="007102C6" w:rsidRDefault="000F4B7F" w:rsidP="007102C6">
            <w:pPr>
              <w:pStyle w:val="Tabletext1"/>
              <w:rPr>
                <w:b/>
              </w:rPr>
            </w:pPr>
          </w:p>
        </w:tc>
      </w:tr>
      <w:tr w:rsidR="000F4B7F" w:rsidRPr="000F4B7F" w14:paraId="312A77BC" w14:textId="77777777" w:rsidTr="00C22CC2">
        <w:trPr>
          <w:tblHeader/>
        </w:trPr>
        <w:tc>
          <w:tcPr>
            <w:tcW w:w="1980" w:type="dxa"/>
          </w:tcPr>
          <w:p w14:paraId="5431783F" w14:textId="77777777" w:rsidR="000F4B7F" w:rsidRPr="007102C6" w:rsidRDefault="000F4B7F" w:rsidP="007102C6">
            <w:pPr>
              <w:pStyle w:val="Tabletext1"/>
              <w:rPr>
                <w:b/>
              </w:rPr>
            </w:pPr>
            <w:r w:rsidRPr="007102C6">
              <w:rPr>
                <w:b/>
              </w:rPr>
              <w:t>Study</w:t>
            </w:r>
          </w:p>
        </w:tc>
        <w:tc>
          <w:tcPr>
            <w:tcW w:w="1704" w:type="dxa"/>
            <w:tcBorders>
              <w:top w:val="single" w:sz="4" w:space="0" w:color="auto"/>
            </w:tcBorders>
          </w:tcPr>
          <w:p w14:paraId="08DEFA68" w14:textId="77777777" w:rsidR="000F4B7F" w:rsidRPr="007102C6" w:rsidRDefault="000F4B7F" w:rsidP="007102C6">
            <w:pPr>
              <w:pStyle w:val="Tabletext1"/>
              <w:rPr>
                <w:b/>
              </w:rPr>
            </w:pPr>
            <w:r w:rsidRPr="007102C6">
              <w:rPr>
                <w:b/>
              </w:rPr>
              <w:t>Study participation</w:t>
            </w:r>
          </w:p>
        </w:tc>
        <w:tc>
          <w:tcPr>
            <w:tcW w:w="1704" w:type="dxa"/>
            <w:tcBorders>
              <w:top w:val="single" w:sz="4" w:space="0" w:color="auto"/>
            </w:tcBorders>
          </w:tcPr>
          <w:p w14:paraId="6D39225F" w14:textId="77777777" w:rsidR="000F4B7F" w:rsidRPr="007102C6" w:rsidRDefault="000F4B7F" w:rsidP="007102C6">
            <w:pPr>
              <w:pStyle w:val="Tabletext1"/>
              <w:rPr>
                <w:b/>
              </w:rPr>
            </w:pPr>
            <w:r w:rsidRPr="007102C6">
              <w:rPr>
                <w:b/>
              </w:rPr>
              <w:t>Study attrition</w:t>
            </w:r>
          </w:p>
        </w:tc>
        <w:tc>
          <w:tcPr>
            <w:tcW w:w="1704" w:type="dxa"/>
            <w:tcBorders>
              <w:top w:val="single" w:sz="4" w:space="0" w:color="auto"/>
            </w:tcBorders>
          </w:tcPr>
          <w:p w14:paraId="43E8985D" w14:textId="77777777" w:rsidR="000F4B7F" w:rsidRPr="007102C6" w:rsidRDefault="000F4B7F" w:rsidP="007102C6">
            <w:pPr>
              <w:pStyle w:val="Tabletext1"/>
              <w:rPr>
                <w:b/>
              </w:rPr>
            </w:pPr>
            <w:r w:rsidRPr="007102C6">
              <w:rPr>
                <w:b/>
              </w:rPr>
              <w:t>Prognostic factor measurement</w:t>
            </w:r>
          </w:p>
        </w:tc>
        <w:tc>
          <w:tcPr>
            <w:tcW w:w="1704" w:type="dxa"/>
            <w:tcBorders>
              <w:top w:val="single" w:sz="4" w:space="0" w:color="auto"/>
            </w:tcBorders>
          </w:tcPr>
          <w:p w14:paraId="4D29F962" w14:textId="77777777" w:rsidR="000F4B7F" w:rsidRPr="007102C6" w:rsidRDefault="000F4B7F" w:rsidP="007102C6">
            <w:pPr>
              <w:pStyle w:val="Tabletext1"/>
              <w:rPr>
                <w:b/>
              </w:rPr>
            </w:pPr>
            <w:r w:rsidRPr="007102C6">
              <w:rPr>
                <w:b/>
              </w:rPr>
              <w:t>Outcome measurement</w:t>
            </w:r>
          </w:p>
        </w:tc>
        <w:tc>
          <w:tcPr>
            <w:tcW w:w="1704" w:type="dxa"/>
            <w:tcBorders>
              <w:top w:val="single" w:sz="4" w:space="0" w:color="auto"/>
            </w:tcBorders>
          </w:tcPr>
          <w:p w14:paraId="5E50F705" w14:textId="77777777" w:rsidR="000F4B7F" w:rsidRPr="007102C6" w:rsidRDefault="000F4B7F" w:rsidP="007102C6">
            <w:pPr>
              <w:pStyle w:val="Tabletext1"/>
              <w:rPr>
                <w:b/>
              </w:rPr>
            </w:pPr>
            <w:r w:rsidRPr="007102C6">
              <w:rPr>
                <w:b/>
              </w:rPr>
              <w:t>Study confounding</w:t>
            </w:r>
          </w:p>
        </w:tc>
        <w:tc>
          <w:tcPr>
            <w:tcW w:w="1704" w:type="dxa"/>
            <w:tcBorders>
              <w:top w:val="single" w:sz="4" w:space="0" w:color="auto"/>
              <w:right w:val="double" w:sz="4" w:space="0" w:color="auto"/>
            </w:tcBorders>
          </w:tcPr>
          <w:p w14:paraId="63217386" w14:textId="77777777" w:rsidR="000F4B7F" w:rsidRPr="007102C6" w:rsidRDefault="000F4B7F" w:rsidP="007102C6">
            <w:pPr>
              <w:pStyle w:val="Tabletext1"/>
              <w:rPr>
                <w:b/>
              </w:rPr>
            </w:pPr>
            <w:r w:rsidRPr="007102C6">
              <w:rPr>
                <w:b/>
              </w:rPr>
              <w:t>Statistical analysis and reporting</w:t>
            </w:r>
          </w:p>
        </w:tc>
        <w:tc>
          <w:tcPr>
            <w:tcW w:w="1704" w:type="dxa"/>
            <w:tcBorders>
              <w:top w:val="single" w:sz="4" w:space="0" w:color="auto"/>
              <w:left w:val="double" w:sz="4" w:space="0" w:color="auto"/>
              <w:bottom w:val="single" w:sz="4" w:space="0" w:color="auto"/>
              <w:right w:val="double" w:sz="4" w:space="0" w:color="auto"/>
            </w:tcBorders>
          </w:tcPr>
          <w:p w14:paraId="1559CD6C" w14:textId="77777777" w:rsidR="000F4B7F" w:rsidRPr="007102C6" w:rsidRDefault="000F4B7F" w:rsidP="007102C6">
            <w:pPr>
              <w:pStyle w:val="Tabletext1"/>
              <w:rPr>
                <w:b/>
              </w:rPr>
            </w:pPr>
            <w:r w:rsidRPr="007102C6">
              <w:rPr>
                <w:b/>
              </w:rPr>
              <w:t>Overall risk of bias</w:t>
            </w:r>
          </w:p>
        </w:tc>
      </w:tr>
      <w:tr w:rsidR="000F4B7F" w:rsidRPr="000F4B7F" w14:paraId="78AFE658" w14:textId="77777777" w:rsidTr="008A68D3">
        <w:tc>
          <w:tcPr>
            <w:tcW w:w="1980" w:type="dxa"/>
          </w:tcPr>
          <w:p w14:paraId="4540366C"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Anders et al. (2008)</w:t>
            </w:r>
          </w:p>
        </w:tc>
        <w:tc>
          <w:tcPr>
            <w:tcW w:w="1704" w:type="dxa"/>
            <w:shd w:val="clear" w:color="auto" w:fill="FFFF00"/>
          </w:tcPr>
          <w:p w14:paraId="4B749FE1"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C000"/>
          </w:tcPr>
          <w:p w14:paraId="542661F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High</w:t>
            </w:r>
          </w:p>
        </w:tc>
        <w:tc>
          <w:tcPr>
            <w:tcW w:w="1704" w:type="dxa"/>
            <w:shd w:val="clear" w:color="auto" w:fill="92D050"/>
          </w:tcPr>
          <w:p w14:paraId="5F8A0C4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4E064381"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615896C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FFFF00"/>
          </w:tcPr>
          <w:p w14:paraId="1E9D7E9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1B0DBA47"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39CEB9C0" w14:textId="77777777" w:rsidTr="008A68D3">
        <w:tc>
          <w:tcPr>
            <w:tcW w:w="1980" w:type="dxa"/>
          </w:tcPr>
          <w:p w14:paraId="0F24B2C9"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Anderson &amp; Cameron (2011)</w:t>
            </w:r>
          </w:p>
        </w:tc>
        <w:tc>
          <w:tcPr>
            <w:tcW w:w="1704" w:type="dxa"/>
            <w:shd w:val="clear" w:color="auto" w:fill="FFFF00"/>
          </w:tcPr>
          <w:p w14:paraId="0DEB836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1F1C59E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1DB21D8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5523B4BC"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55D9715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11DD85F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7A696ED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4FC449FD" w14:textId="77777777" w:rsidTr="008A68D3">
        <w:tc>
          <w:tcPr>
            <w:tcW w:w="1980" w:type="dxa"/>
          </w:tcPr>
          <w:p w14:paraId="4AB8CDB2"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Anderson et al. (2013)</w:t>
            </w:r>
          </w:p>
        </w:tc>
        <w:tc>
          <w:tcPr>
            <w:tcW w:w="1704" w:type="dxa"/>
            <w:shd w:val="clear" w:color="auto" w:fill="FFFF00"/>
          </w:tcPr>
          <w:p w14:paraId="2EB8026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6441E47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4EE787E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2355390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17799D6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2F986CC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059211DF"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11BC6F35" w14:textId="77777777" w:rsidTr="008A68D3">
        <w:tc>
          <w:tcPr>
            <w:tcW w:w="1980" w:type="dxa"/>
            <w:shd w:val="clear" w:color="auto" w:fill="auto"/>
          </w:tcPr>
          <w:p w14:paraId="38574EAB"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Chai et al. (2014)</w:t>
            </w:r>
          </w:p>
        </w:tc>
        <w:tc>
          <w:tcPr>
            <w:tcW w:w="1704" w:type="dxa"/>
            <w:shd w:val="clear" w:color="auto" w:fill="FFFF00"/>
          </w:tcPr>
          <w:p w14:paraId="0871D53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120D18F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1B84675F"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417E699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29A5F45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5E9C6F3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3262C21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18CC7724" w14:textId="77777777" w:rsidTr="008A68D3">
        <w:tc>
          <w:tcPr>
            <w:tcW w:w="1980" w:type="dxa"/>
          </w:tcPr>
          <w:p w14:paraId="0502F3FD"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D’avila et al. (2015)</w:t>
            </w:r>
          </w:p>
        </w:tc>
        <w:tc>
          <w:tcPr>
            <w:tcW w:w="1704" w:type="dxa"/>
            <w:shd w:val="clear" w:color="auto" w:fill="FFFF00"/>
          </w:tcPr>
          <w:p w14:paraId="5D56D91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67D26F2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0EFF801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7AE2BAE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67298FC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407EA1C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55116E97"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37F378EB" w14:textId="77777777" w:rsidTr="008A68D3">
        <w:tc>
          <w:tcPr>
            <w:tcW w:w="1980" w:type="dxa"/>
          </w:tcPr>
          <w:p w14:paraId="77036336"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Dezellus et al. (2017)</w:t>
            </w:r>
          </w:p>
        </w:tc>
        <w:tc>
          <w:tcPr>
            <w:tcW w:w="1704" w:type="dxa"/>
            <w:shd w:val="clear" w:color="auto" w:fill="FFFF00"/>
          </w:tcPr>
          <w:p w14:paraId="5802053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608F709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79DF279F"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00FFE5A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74198730"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126428A3"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2777BF5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10827E4B" w14:textId="77777777" w:rsidTr="008A68D3">
        <w:tc>
          <w:tcPr>
            <w:tcW w:w="1980" w:type="dxa"/>
          </w:tcPr>
          <w:p w14:paraId="127297D4"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Hamy et al. (2016)</w:t>
            </w:r>
          </w:p>
        </w:tc>
        <w:tc>
          <w:tcPr>
            <w:tcW w:w="1704" w:type="dxa"/>
            <w:shd w:val="clear" w:color="auto" w:fill="92D050"/>
          </w:tcPr>
          <w:p w14:paraId="51376C4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56424FA3"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48F60A9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2202002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41CDA1B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92D050"/>
          </w:tcPr>
          <w:p w14:paraId="08C14AB0"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7A5B02AC"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72AB0406" w14:textId="77777777" w:rsidTr="008A68D3">
        <w:tc>
          <w:tcPr>
            <w:tcW w:w="1980" w:type="dxa"/>
          </w:tcPr>
          <w:p w14:paraId="7933B5D2"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Henry et al. (2014)</w:t>
            </w:r>
          </w:p>
        </w:tc>
        <w:tc>
          <w:tcPr>
            <w:tcW w:w="1704" w:type="dxa"/>
            <w:shd w:val="clear" w:color="auto" w:fill="92D050"/>
          </w:tcPr>
          <w:p w14:paraId="4FD32A6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730FA29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39DD528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7AB3A63C"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58FD378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0548B12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50C00C77"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5F672F25" w14:textId="77777777" w:rsidTr="008A68D3">
        <w:tc>
          <w:tcPr>
            <w:tcW w:w="1980" w:type="dxa"/>
          </w:tcPr>
          <w:p w14:paraId="25C64F5F"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Iwase et al. (2016)</w:t>
            </w:r>
          </w:p>
        </w:tc>
        <w:tc>
          <w:tcPr>
            <w:tcW w:w="1704" w:type="dxa"/>
            <w:shd w:val="clear" w:color="auto" w:fill="FFFF00"/>
          </w:tcPr>
          <w:p w14:paraId="43DFA64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75FB0FE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3B9D81B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2485DB8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3E440E5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92D050"/>
          </w:tcPr>
          <w:p w14:paraId="53E78F00"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7565D9F3"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59F321E4" w14:textId="77777777" w:rsidTr="008A68D3">
        <w:tc>
          <w:tcPr>
            <w:tcW w:w="1980" w:type="dxa"/>
          </w:tcPr>
          <w:p w14:paraId="14887FA0"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Lee et al. (2011)</w:t>
            </w:r>
          </w:p>
        </w:tc>
        <w:tc>
          <w:tcPr>
            <w:tcW w:w="1704" w:type="dxa"/>
            <w:shd w:val="clear" w:color="auto" w:fill="FFFF00"/>
          </w:tcPr>
          <w:p w14:paraId="5394E727"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1274AEB1"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215E88E1"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42B5EBA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581DCC7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92D050"/>
          </w:tcPr>
          <w:p w14:paraId="0A3AD66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0E4075C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5C777634" w14:textId="77777777" w:rsidTr="008A68D3">
        <w:tc>
          <w:tcPr>
            <w:tcW w:w="1980" w:type="dxa"/>
          </w:tcPr>
          <w:p w14:paraId="5F68166C"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Lind et al. (2016)</w:t>
            </w:r>
          </w:p>
        </w:tc>
        <w:tc>
          <w:tcPr>
            <w:tcW w:w="1704" w:type="dxa"/>
            <w:shd w:val="clear" w:color="auto" w:fill="FFFF00"/>
          </w:tcPr>
          <w:p w14:paraId="37310AF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C000"/>
          </w:tcPr>
          <w:p w14:paraId="6F7EAED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High</w:t>
            </w:r>
          </w:p>
        </w:tc>
        <w:tc>
          <w:tcPr>
            <w:tcW w:w="1704" w:type="dxa"/>
            <w:shd w:val="clear" w:color="auto" w:fill="92D050"/>
          </w:tcPr>
          <w:p w14:paraId="6A06A41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1BD2819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75C2594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FFFF00"/>
          </w:tcPr>
          <w:p w14:paraId="3BE7769F"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39BE816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1079520A" w14:textId="77777777" w:rsidTr="008A68D3">
        <w:tc>
          <w:tcPr>
            <w:tcW w:w="1980" w:type="dxa"/>
          </w:tcPr>
          <w:p w14:paraId="6DFE99A8"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Manno et al. (2016)</w:t>
            </w:r>
          </w:p>
        </w:tc>
        <w:tc>
          <w:tcPr>
            <w:tcW w:w="1704" w:type="dxa"/>
            <w:shd w:val="clear" w:color="auto" w:fill="FFFF00"/>
          </w:tcPr>
          <w:p w14:paraId="5B59AA0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19DCD33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47A0BF4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7CD7B54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7A52497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FFFF00"/>
          </w:tcPr>
          <w:p w14:paraId="41DA6BC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73654E4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34F2F02C" w14:textId="77777777" w:rsidTr="008A68D3">
        <w:tc>
          <w:tcPr>
            <w:tcW w:w="1980" w:type="dxa"/>
          </w:tcPr>
          <w:p w14:paraId="194D0581"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Ozaki et al. (2016)</w:t>
            </w:r>
          </w:p>
        </w:tc>
        <w:tc>
          <w:tcPr>
            <w:tcW w:w="1704" w:type="dxa"/>
            <w:shd w:val="clear" w:color="auto" w:fill="FFFF00"/>
          </w:tcPr>
          <w:p w14:paraId="3AD8DE5C"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2CD7479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59E323D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79E36FE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25481D73"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FFFF00"/>
          </w:tcPr>
          <w:p w14:paraId="5A9E916D"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103DFBD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59CBB259" w14:textId="77777777" w:rsidTr="008A68D3">
        <w:tc>
          <w:tcPr>
            <w:tcW w:w="1980" w:type="dxa"/>
          </w:tcPr>
          <w:p w14:paraId="66F4A0FF"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Pup et al. (2014)</w:t>
            </w:r>
          </w:p>
        </w:tc>
        <w:tc>
          <w:tcPr>
            <w:tcW w:w="1704" w:type="dxa"/>
            <w:shd w:val="clear" w:color="auto" w:fill="FFFF00"/>
          </w:tcPr>
          <w:p w14:paraId="51D14EBF"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65C6D5B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C000"/>
          </w:tcPr>
          <w:p w14:paraId="1802CA7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High</w:t>
            </w:r>
            <w:r w:rsidRPr="00D76A9E">
              <w:rPr>
                <w:rFonts w:ascii="Arial Narrow" w:hAnsi="Arial Narrow" w:cs="Times New Roman"/>
                <w:sz w:val="20"/>
                <w:szCs w:val="24"/>
                <w:vertAlign w:val="superscript"/>
              </w:rPr>
              <w:t>a</w:t>
            </w:r>
          </w:p>
        </w:tc>
        <w:tc>
          <w:tcPr>
            <w:tcW w:w="1704" w:type="dxa"/>
            <w:shd w:val="clear" w:color="auto" w:fill="FFFF00"/>
          </w:tcPr>
          <w:p w14:paraId="3E1F0FE7"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48B1D960"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FFFF00"/>
          </w:tcPr>
          <w:p w14:paraId="69ED042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44C5228F"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1EB349B0" w14:textId="77777777" w:rsidTr="008A68D3">
        <w:tc>
          <w:tcPr>
            <w:tcW w:w="1980" w:type="dxa"/>
          </w:tcPr>
          <w:p w14:paraId="7685D778"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Ruddy et al. (2014)</w:t>
            </w:r>
          </w:p>
        </w:tc>
        <w:tc>
          <w:tcPr>
            <w:tcW w:w="1704" w:type="dxa"/>
            <w:shd w:val="clear" w:color="auto" w:fill="FFFF00"/>
          </w:tcPr>
          <w:p w14:paraId="07A82051"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57EC7181"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24CB56E7"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27D1AB1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319E778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275BBFB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05D6DB9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6AADDE97" w14:textId="77777777" w:rsidTr="008A68D3">
        <w:tc>
          <w:tcPr>
            <w:tcW w:w="1980" w:type="dxa"/>
          </w:tcPr>
          <w:p w14:paraId="5F1E94E4"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Sonigo et al. (2016)</w:t>
            </w:r>
          </w:p>
        </w:tc>
        <w:tc>
          <w:tcPr>
            <w:tcW w:w="1704" w:type="dxa"/>
            <w:shd w:val="clear" w:color="auto" w:fill="FFFF00"/>
          </w:tcPr>
          <w:p w14:paraId="3342D24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2589093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15344C2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1259D8E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1BE29E8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5FE8C35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7F9AA4B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24052877" w14:textId="77777777" w:rsidTr="008A68D3">
        <w:tc>
          <w:tcPr>
            <w:tcW w:w="1980" w:type="dxa"/>
          </w:tcPr>
          <w:p w14:paraId="2B412617"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Stochino-Loi et al. (2017)</w:t>
            </w:r>
          </w:p>
        </w:tc>
        <w:tc>
          <w:tcPr>
            <w:tcW w:w="1704" w:type="dxa"/>
            <w:shd w:val="clear" w:color="auto" w:fill="FFFF00"/>
          </w:tcPr>
          <w:p w14:paraId="7D5F150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43B66AC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C000"/>
          </w:tcPr>
          <w:p w14:paraId="482A7DC0"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High</w:t>
            </w:r>
            <w:r w:rsidRPr="00D76A9E">
              <w:rPr>
                <w:rFonts w:ascii="Arial Narrow" w:hAnsi="Arial Narrow" w:cs="Times New Roman"/>
                <w:sz w:val="20"/>
                <w:szCs w:val="24"/>
                <w:vertAlign w:val="superscript"/>
              </w:rPr>
              <w:t>a</w:t>
            </w:r>
          </w:p>
        </w:tc>
        <w:tc>
          <w:tcPr>
            <w:tcW w:w="1704" w:type="dxa"/>
            <w:shd w:val="clear" w:color="auto" w:fill="92D050"/>
          </w:tcPr>
          <w:p w14:paraId="2127107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72AF2CF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455C34F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7D6843FC"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54271E3C" w14:textId="77777777" w:rsidTr="008A68D3">
        <w:tc>
          <w:tcPr>
            <w:tcW w:w="1980" w:type="dxa"/>
          </w:tcPr>
          <w:p w14:paraId="74EE11E7"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Su et al. (2010)</w:t>
            </w:r>
          </w:p>
        </w:tc>
        <w:tc>
          <w:tcPr>
            <w:tcW w:w="1704" w:type="dxa"/>
            <w:shd w:val="clear" w:color="auto" w:fill="FFFF00"/>
          </w:tcPr>
          <w:p w14:paraId="6C31BF5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4B86EA63"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11DABA33"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0F25EF07"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3D4F915F"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3088BB56"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0887933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7D844047" w14:textId="77777777" w:rsidTr="008A68D3">
        <w:tc>
          <w:tcPr>
            <w:tcW w:w="1980" w:type="dxa"/>
          </w:tcPr>
          <w:p w14:paraId="7BBFD6A9"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Su et al. (2014)</w:t>
            </w:r>
          </w:p>
        </w:tc>
        <w:tc>
          <w:tcPr>
            <w:tcW w:w="1704" w:type="dxa"/>
            <w:shd w:val="clear" w:color="auto" w:fill="FFFF00"/>
          </w:tcPr>
          <w:p w14:paraId="099AFCB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19DCF057"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4BFCEB8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40E3B30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7A5783A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92D050"/>
          </w:tcPr>
          <w:p w14:paraId="0A62B0C1"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top w:val="single" w:sz="4" w:space="0" w:color="auto"/>
              <w:left w:val="double" w:sz="4" w:space="0" w:color="auto"/>
              <w:bottom w:val="single" w:sz="4" w:space="0" w:color="auto"/>
              <w:right w:val="double" w:sz="4" w:space="0" w:color="auto"/>
            </w:tcBorders>
            <w:shd w:val="clear" w:color="auto" w:fill="92D050"/>
          </w:tcPr>
          <w:p w14:paraId="0723A52C"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r>
      <w:tr w:rsidR="000F4B7F" w:rsidRPr="000F4B7F" w14:paraId="23015377" w14:textId="77777777" w:rsidTr="008A68D3">
        <w:tc>
          <w:tcPr>
            <w:tcW w:w="1980" w:type="dxa"/>
          </w:tcPr>
          <w:p w14:paraId="55A2E5F1"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Takae et al. (2015)</w:t>
            </w:r>
          </w:p>
        </w:tc>
        <w:tc>
          <w:tcPr>
            <w:tcW w:w="1704" w:type="dxa"/>
            <w:shd w:val="clear" w:color="auto" w:fill="FFFF00"/>
          </w:tcPr>
          <w:p w14:paraId="655C3C0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FF00"/>
          </w:tcPr>
          <w:p w14:paraId="1E77741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67AE76B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92D050"/>
          </w:tcPr>
          <w:p w14:paraId="2B0E3AA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5BEDEF04"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right w:val="double" w:sz="4" w:space="0" w:color="auto"/>
            </w:tcBorders>
            <w:shd w:val="clear" w:color="auto" w:fill="FFFF00"/>
          </w:tcPr>
          <w:p w14:paraId="51F74312"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top w:val="single" w:sz="4" w:space="0" w:color="auto"/>
              <w:left w:val="double" w:sz="4" w:space="0" w:color="auto"/>
              <w:bottom w:val="single" w:sz="4" w:space="0" w:color="auto"/>
              <w:right w:val="double" w:sz="4" w:space="0" w:color="auto"/>
            </w:tcBorders>
            <w:shd w:val="clear" w:color="auto" w:fill="FFFF00"/>
          </w:tcPr>
          <w:p w14:paraId="15D4E27B"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r w:rsidR="000F4B7F" w:rsidRPr="000F4B7F" w14:paraId="50C7F711" w14:textId="77777777" w:rsidTr="008A68D3">
        <w:tc>
          <w:tcPr>
            <w:tcW w:w="1980" w:type="dxa"/>
          </w:tcPr>
          <w:p w14:paraId="04EBBA5A" w14:textId="77777777" w:rsidR="000F4B7F" w:rsidRPr="000F4B7F" w:rsidRDefault="000F4B7F" w:rsidP="000F4B7F">
            <w:pPr>
              <w:spacing w:after="0" w:line="240" w:lineRule="auto"/>
              <w:rPr>
                <w:rFonts w:ascii="Arial Narrow" w:hAnsi="Arial Narrow" w:cs="Times New Roman"/>
                <w:sz w:val="20"/>
                <w:szCs w:val="24"/>
              </w:rPr>
            </w:pPr>
            <w:r w:rsidRPr="000F4B7F">
              <w:rPr>
                <w:rFonts w:ascii="Arial Narrow" w:hAnsi="Arial Narrow" w:cs="Times New Roman"/>
                <w:sz w:val="20"/>
                <w:szCs w:val="24"/>
              </w:rPr>
              <w:t>Yu et al. (2010)</w:t>
            </w:r>
          </w:p>
        </w:tc>
        <w:tc>
          <w:tcPr>
            <w:tcW w:w="1704" w:type="dxa"/>
            <w:shd w:val="clear" w:color="auto" w:fill="FFFF00"/>
          </w:tcPr>
          <w:p w14:paraId="6258B20F"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FFC000"/>
          </w:tcPr>
          <w:p w14:paraId="7FB3DF75"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High</w:t>
            </w:r>
          </w:p>
        </w:tc>
        <w:tc>
          <w:tcPr>
            <w:tcW w:w="1704" w:type="dxa"/>
            <w:shd w:val="clear" w:color="auto" w:fill="92D050"/>
          </w:tcPr>
          <w:p w14:paraId="32908EEE"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shd w:val="clear" w:color="auto" w:fill="FFFF00"/>
          </w:tcPr>
          <w:p w14:paraId="6EC80B03"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shd w:val="clear" w:color="auto" w:fill="92D050"/>
          </w:tcPr>
          <w:p w14:paraId="0B5B6808"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Low</w:t>
            </w:r>
          </w:p>
        </w:tc>
        <w:tc>
          <w:tcPr>
            <w:tcW w:w="1704" w:type="dxa"/>
            <w:tcBorders>
              <w:right w:val="double" w:sz="4" w:space="0" w:color="auto"/>
            </w:tcBorders>
            <w:shd w:val="clear" w:color="auto" w:fill="FFFF00"/>
          </w:tcPr>
          <w:p w14:paraId="4CB2AAC9"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c>
          <w:tcPr>
            <w:tcW w:w="1704" w:type="dxa"/>
            <w:tcBorders>
              <w:top w:val="single" w:sz="4" w:space="0" w:color="auto"/>
              <w:left w:val="double" w:sz="4" w:space="0" w:color="auto"/>
              <w:bottom w:val="double" w:sz="4" w:space="0" w:color="auto"/>
              <w:right w:val="double" w:sz="4" w:space="0" w:color="auto"/>
            </w:tcBorders>
            <w:shd w:val="clear" w:color="auto" w:fill="FFFF00"/>
          </w:tcPr>
          <w:p w14:paraId="7D4EBD7A" w14:textId="77777777" w:rsidR="000F4B7F" w:rsidRPr="00D76A9E" w:rsidRDefault="000F4B7F" w:rsidP="000F4B7F">
            <w:pPr>
              <w:spacing w:after="0" w:line="240" w:lineRule="auto"/>
              <w:rPr>
                <w:rFonts w:ascii="Arial Narrow" w:hAnsi="Arial Narrow" w:cs="Times New Roman"/>
                <w:sz w:val="20"/>
                <w:szCs w:val="24"/>
              </w:rPr>
            </w:pPr>
            <w:r w:rsidRPr="00D76A9E">
              <w:rPr>
                <w:rFonts w:ascii="Arial Narrow" w:hAnsi="Arial Narrow" w:cs="Times New Roman"/>
                <w:sz w:val="20"/>
                <w:szCs w:val="24"/>
              </w:rPr>
              <w:t>Moderate</w:t>
            </w:r>
          </w:p>
        </w:tc>
      </w:tr>
    </w:tbl>
    <w:p w14:paraId="225E29DC" w14:textId="5BFFD1E2" w:rsidR="000F4B7F" w:rsidRPr="00D76A9E" w:rsidRDefault="000F4B7F" w:rsidP="000F4B7F">
      <w:pPr>
        <w:spacing w:after="160" w:line="259" w:lineRule="auto"/>
        <w:rPr>
          <w:rFonts w:ascii="Arial Narrow" w:eastAsia="Calibri" w:hAnsi="Arial Narrow" w:cs="Times New Roman"/>
          <w:sz w:val="18"/>
          <w:szCs w:val="18"/>
          <w:lang w:eastAsia="en-US"/>
        </w:rPr>
      </w:pPr>
      <w:r w:rsidRPr="00D76A9E">
        <w:rPr>
          <w:rFonts w:ascii="Arial Narrow" w:eastAsia="Calibri" w:hAnsi="Arial Narrow" w:cs="Times New Roman"/>
          <w:sz w:val="18"/>
          <w:szCs w:val="18"/>
          <w:vertAlign w:val="superscript"/>
          <w:lang w:eastAsia="en-US"/>
        </w:rPr>
        <w:t>a</w:t>
      </w:r>
      <w:r w:rsidRPr="00D76A9E">
        <w:rPr>
          <w:rFonts w:ascii="Arial Narrow" w:eastAsia="Calibri" w:hAnsi="Arial Narrow" w:cs="Times New Roman"/>
          <w:sz w:val="18"/>
          <w:szCs w:val="18"/>
          <w:lang w:eastAsia="en-US"/>
        </w:rPr>
        <w:t xml:space="preserve"> </w:t>
      </w:r>
      <w:r w:rsidR="00D76A9E" w:rsidRPr="00D76A9E">
        <w:rPr>
          <w:rFonts w:ascii="Arial Narrow" w:hAnsi="Arial Narrow" w:cs="Times New Roman"/>
          <w:sz w:val="18"/>
          <w:szCs w:val="18"/>
        </w:rPr>
        <w:t>I</w:t>
      </w:r>
      <w:r w:rsidRPr="00D76A9E">
        <w:rPr>
          <w:rFonts w:ascii="Arial Narrow" w:hAnsi="Arial Narrow" w:cs="Times New Roman"/>
          <w:sz w:val="18"/>
          <w:szCs w:val="18"/>
        </w:rPr>
        <w:t>t was not reporte</w:t>
      </w:r>
      <w:r w:rsidR="00EE589E">
        <w:rPr>
          <w:rFonts w:ascii="Arial Narrow" w:hAnsi="Arial Narrow" w:cs="Times New Roman"/>
          <w:sz w:val="18"/>
          <w:szCs w:val="18"/>
        </w:rPr>
        <w:t>d how AMH levels were measured, i.e. which assay/kit was used</w:t>
      </w:r>
    </w:p>
    <w:p w14:paraId="11A41018" w14:textId="69EBB9C3" w:rsidR="000F4B7F" w:rsidRPr="000F4B7F" w:rsidRDefault="000F4B7F" w:rsidP="000F4B7F">
      <w:pPr>
        <w:tabs>
          <w:tab w:val="left" w:pos="2085"/>
        </w:tabs>
      </w:pPr>
    </w:p>
    <w:p w14:paraId="03993F0F" w14:textId="77777777" w:rsidR="000F4B7F" w:rsidRDefault="000F4B7F" w:rsidP="00DF343F">
      <w:pPr>
        <w:pStyle w:val="Heading1"/>
        <w:jc w:val="both"/>
        <w:sectPr w:rsidR="000F4B7F" w:rsidSect="000F4B7F">
          <w:pgSz w:w="16838" w:h="11906" w:orient="landscape"/>
          <w:pgMar w:top="1440" w:right="1440" w:bottom="1440" w:left="1440" w:header="720" w:footer="720" w:gutter="0"/>
          <w:cols w:space="720"/>
          <w:docGrid w:linePitch="360"/>
        </w:sectPr>
      </w:pPr>
    </w:p>
    <w:p w14:paraId="31FC9859" w14:textId="77777777" w:rsidR="007518CF" w:rsidRDefault="00A81273" w:rsidP="00A81273">
      <w:pPr>
        <w:pStyle w:val="Heading1"/>
        <w:jc w:val="both"/>
      </w:pPr>
      <w:bookmarkStart w:id="548" w:name="_Ref497999928"/>
      <w:bookmarkStart w:id="549" w:name="_Toc502833017"/>
      <w:r w:rsidRPr="00183E4D">
        <w:lastRenderedPageBreak/>
        <w:t xml:space="preserve">Appendix </w:t>
      </w:r>
      <w:r w:rsidR="00AC4BE5">
        <w:fldChar w:fldCharType="begin"/>
      </w:r>
      <w:r w:rsidR="00AC4BE5">
        <w:instrText xml:space="preserve"> SEQ Appendix \* ALPHABETIC </w:instrText>
      </w:r>
      <w:r w:rsidR="00AC4BE5">
        <w:fldChar w:fldCharType="separate"/>
      </w:r>
      <w:r w:rsidR="00AC4BE5">
        <w:rPr>
          <w:noProof/>
        </w:rPr>
        <w:t>G</w:t>
      </w:r>
      <w:r w:rsidR="00AC4BE5">
        <w:rPr>
          <w:noProof/>
        </w:rPr>
        <w:fldChar w:fldCharType="end"/>
      </w:r>
      <w:bookmarkEnd w:id="548"/>
      <w:r w:rsidRPr="00183E4D">
        <w:tab/>
      </w:r>
      <w:r>
        <w:t>Correlation data</w:t>
      </w:r>
      <w:bookmarkEnd w:id="549"/>
    </w:p>
    <w:p w14:paraId="1B98A4F4" w14:textId="6DA36F95" w:rsidR="00A81273" w:rsidRPr="00001DCC" w:rsidRDefault="00A81273" w:rsidP="00A81273">
      <w:pPr>
        <w:pStyle w:val="TableHeading"/>
        <w:rPr>
          <w:lang w:eastAsia="en-US"/>
        </w:rPr>
      </w:pPr>
      <w:bookmarkStart w:id="550" w:name="_Toc502833110"/>
      <w:r>
        <w:t xml:space="preserve">Table </w:t>
      </w:r>
      <w:r w:rsidR="00AC4BE5">
        <w:fldChar w:fldCharType="begin"/>
      </w:r>
      <w:r w:rsidR="00AC4BE5">
        <w:instrText xml:space="preserve"> SEQ Table \* ARABIC </w:instrText>
      </w:r>
      <w:r w:rsidR="00AC4BE5">
        <w:fldChar w:fldCharType="separate"/>
      </w:r>
      <w:r w:rsidR="00AC4BE5">
        <w:rPr>
          <w:noProof/>
        </w:rPr>
        <w:t>92</w:t>
      </w:r>
      <w:r w:rsidR="00AC4BE5">
        <w:rPr>
          <w:noProof/>
        </w:rPr>
        <w:fldChar w:fldCharType="end"/>
      </w:r>
      <w:r>
        <w:tab/>
        <w:t xml:space="preserve">Correlation of </w:t>
      </w:r>
      <w:r w:rsidRPr="00001DCC">
        <w:rPr>
          <w:lang w:eastAsia="en-US"/>
        </w:rPr>
        <w:t>AMH and AFC</w:t>
      </w:r>
      <w:bookmarkEnd w:id="550"/>
    </w:p>
    <w:tbl>
      <w:tblPr>
        <w:tblStyle w:val="TableGrid11"/>
        <w:tblW w:w="14454" w:type="dxa"/>
        <w:tblLook w:val="04A0" w:firstRow="1" w:lastRow="0" w:firstColumn="1" w:lastColumn="0" w:noHBand="0" w:noVBand="1"/>
        <w:tblCaption w:val="Correlation of AMH and AFC"/>
        <w:tblDescription w:val="Correlation of AMH and AFC"/>
      </w:tblPr>
      <w:tblGrid>
        <w:gridCol w:w="1129"/>
        <w:gridCol w:w="2835"/>
        <w:gridCol w:w="3969"/>
        <w:gridCol w:w="4536"/>
        <w:gridCol w:w="1985"/>
      </w:tblGrid>
      <w:tr w:rsidR="00A81273" w:rsidRPr="00001DCC" w14:paraId="554FD57B" w14:textId="77777777" w:rsidTr="0022378E">
        <w:trPr>
          <w:tblHeader/>
        </w:trPr>
        <w:tc>
          <w:tcPr>
            <w:tcW w:w="1129" w:type="dxa"/>
            <w:tcBorders>
              <w:bottom w:val="single" w:sz="4" w:space="0" w:color="auto"/>
            </w:tcBorders>
          </w:tcPr>
          <w:p w14:paraId="49FCF796" w14:textId="77777777" w:rsidR="00A81273" w:rsidRPr="004B7632" w:rsidRDefault="00A81273" w:rsidP="004B7632">
            <w:pPr>
              <w:pStyle w:val="TableText0"/>
              <w:rPr>
                <w:b/>
              </w:rPr>
            </w:pPr>
            <w:r w:rsidRPr="004B7632">
              <w:rPr>
                <w:b/>
              </w:rPr>
              <w:t>Study</w:t>
            </w:r>
          </w:p>
        </w:tc>
        <w:tc>
          <w:tcPr>
            <w:tcW w:w="2835" w:type="dxa"/>
            <w:tcBorders>
              <w:bottom w:val="single" w:sz="4" w:space="0" w:color="auto"/>
            </w:tcBorders>
          </w:tcPr>
          <w:p w14:paraId="08B31242" w14:textId="77777777" w:rsidR="00A81273" w:rsidRPr="004B7632" w:rsidRDefault="00A81273" w:rsidP="004B7632">
            <w:pPr>
              <w:pStyle w:val="TableText0"/>
              <w:rPr>
                <w:b/>
              </w:rPr>
            </w:pPr>
            <w:r w:rsidRPr="004B7632">
              <w:rPr>
                <w:b/>
              </w:rPr>
              <w:t>Comparison</w:t>
            </w:r>
          </w:p>
        </w:tc>
        <w:tc>
          <w:tcPr>
            <w:tcW w:w="3969" w:type="dxa"/>
            <w:tcBorders>
              <w:bottom w:val="single" w:sz="4" w:space="0" w:color="auto"/>
            </w:tcBorders>
          </w:tcPr>
          <w:p w14:paraId="58D01C81" w14:textId="77777777" w:rsidR="00A81273" w:rsidRPr="004B7632" w:rsidRDefault="00A81273" w:rsidP="004B7632">
            <w:pPr>
              <w:pStyle w:val="TableText0"/>
              <w:rPr>
                <w:b/>
              </w:rPr>
            </w:pPr>
            <w:r w:rsidRPr="004B7632">
              <w:rPr>
                <w:b/>
              </w:rPr>
              <w:t>Population</w:t>
            </w:r>
          </w:p>
        </w:tc>
        <w:tc>
          <w:tcPr>
            <w:tcW w:w="4536" w:type="dxa"/>
            <w:tcBorders>
              <w:bottom w:val="single" w:sz="4" w:space="0" w:color="auto"/>
            </w:tcBorders>
          </w:tcPr>
          <w:p w14:paraId="42E27959" w14:textId="77777777" w:rsidR="00A81273" w:rsidRPr="004B7632" w:rsidRDefault="00A81273" w:rsidP="004B7632">
            <w:pPr>
              <w:pStyle w:val="TableText0"/>
              <w:rPr>
                <w:b/>
              </w:rPr>
            </w:pPr>
            <w:r w:rsidRPr="004B7632">
              <w:rPr>
                <w:b/>
              </w:rPr>
              <w:t>Correlation</w:t>
            </w:r>
          </w:p>
        </w:tc>
        <w:tc>
          <w:tcPr>
            <w:tcW w:w="1985" w:type="dxa"/>
            <w:tcBorders>
              <w:bottom w:val="single" w:sz="4" w:space="0" w:color="auto"/>
            </w:tcBorders>
          </w:tcPr>
          <w:p w14:paraId="0556282C" w14:textId="77777777" w:rsidR="00A81273" w:rsidRPr="004B7632" w:rsidRDefault="00A81273" w:rsidP="004B7632">
            <w:pPr>
              <w:pStyle w:val="TableText0"/>
              <w:rPr>
                <w:b/>
              </w:rPr>
            </w:pPr>
            <w:r w:rsidRPr="004B7632">
              <w:rPr>
                <w:b/>
              </w:rPr>
              <w:t>Coefficient</w:t>
            </w:r>
          </w:p>
        </w:tc>
      </w:tr>
      <w:tr w:rsidR="00A81273" w:rsidRPr="00001DCC" w14:paraId="2A333CD5" w14:textId="77777777" w:rsidTr="0022378E">
        <w:tc>
          <w:tcPr>
            <w:tcW w:w="1129" w:type="dxa"/>
            <w:tcBorders>
              <w:bottom w:val="single" w:sz="4" w:space="0" w:color="auto"/>
              <w:right w:val="nil"/>
            </w:tcBorders>
          </w:tcPr>
          <w:p w14:paraId="72BDC40B" w14:textId="77777777" w:rsidR="00A81273" w:rsidRPr="004B7632" w:rsidRDefault="00A81273" w:rsidP="004B7632">
            <w:pPr>
              <w:pStyle w:val="TableText0"/>
              <w:rPr>
                <w:b/>
                <w:color w:val="FFFFFF" w:themeColor="background1"/>
              </w:rPr>
            </w:pPr>
            <w:r w:rsidRPr="004B7632">
              <w:rPr>
                <w:b/>
                <w:color w:val="FFFFFF" w:themeColor="background1"/>
              </w:rPr>
              <w:t>-</w:t>
            </w:r>
          </w:p>
        </w:tc>
        <w:tc>
          <w:tcPr>
            <w:tcW w:w="2835" w:type="dxa"/>
            <w:tcBorders>
              <w:left w:val="nil"/>
              <w:bottom w:val="single" w:sz="4" w:space="0" w:color="auto"/>
              <w:right w:val="nil"/>
            </w:tcBorders>
          </w:tcPr>
          <w:p w14:paraId="7516DD91" w14:textId="77777777" w:rsidR="00A81273" w:rsidRPr="004B7632" w:rsidRDefault="00A81273" w:rsidP="004B7632">
            <w:pPr>
              <w:pStyle w:val="TableText0"/>
              <w:rPr>
                <w:b/>
                <w:color w:val="FFFFFF" w:themeColor="background1"/>
              </w:rPr>
            </w:pPr>
          </w:p>
        </w:tc>
        <w:tc>
          <w:tcPr>
            <w:tcW w:w="3969" w:type="dxa"/>
            <w:tcBorders>
              <w:left w:val="nil"/>
              <w:bottom w:val="single" w:sz="4" w:space="0" w:color="auto"/>
              <w:right w:val="nil"/>
            </w:tcBorders>
          </w:tcPr>
          <w:p w14:paraId="093F0262" w14:textId="77777777" w:rsidR="00A81273" w:rsidRPr="004B7632" w:rsidRDefault="00A81273" w:rsidP="004B7632">
            <w:pPr>
              <w:pStyle w:val="TableText0"/>
              <w:rPr>
                <w:color w:val="FFFFFF" w:themeColor="background1"/>
              </w:rPr>
            </w:pPr>
            <w:r w:rsidRPr="004B7632">
              <w:rPr>
                <w:i/>
                <w:u w:val="single"/>
              </w:rPr>
              <w:t>Pre-treatment</w:t>
            </w:r>
          </w:p>
        </w:tc>
        <w:tc>
          <w:tcPr>
            <w:tcW w:w="4536" w:type="dxa"/>
            <w:tcBorders>
              <w:left w:val="nil"/>
              <w:bottom w:val="single" w:sz="4" w:space="0" w:color="auto"/>
              <w:right w:val="nil"/>
            </w:tcBorders>
          </w:tcPr>
          <w:p w14:paraId="514B2312" w14:textId="77777777" w:rsidR="00A81273" w:rsidRPr="004B7632" w:rsidRDefault="00A81273" w:rsidP="004B7632">
            <w:pPr>
              <w:pStyle w:val="TableText0"/>
              <w:rPr>
                <w:b/>
                <w:color w:val="FFFFFF"/>
              </w:rPr>
            </w:pPr>
            <w:r w:rsidRPr="004B7632">
              <w:rPr>
                <w:b/>
                <w:color w:val="FFFFFF"/>
              </w:rPr>
              <w:t>-</w:t>
            </w:r>
          </w:p>
        </w:tc>
        <w:tc>
          <w:tcPr>
            <w:tcW w:w="1985" w:type="dxa"/>
            <w:tcBorders>
              <w:left w:val="nil"/>
              <w:bottom w:val="single" w:sz="4" w:space="0" w:color="auto"/>
            </w:tcBorders>
          </w:tcPr>
          <w:p w14:paraId="4A8D4F97" w14:textId="77777777" w:rsidR="00A81273" w:rsidRPr="004B7632" w:rsidRDefault="00A81273" w:rsidP="004B7632">
            <w:pPr>
              <w:pStyle w:val="TableText0"/>
              <w:rPr>
                <w:b/>
                <w:color w:val="FFFFFF"/>
              </w:rPr>
            </w:pPr>
            <w:r w:rsidRPr="004B7632">
              <w:rPr>
                <w:b/>
              </w:rPr>
              <w:t>Spearman’s rank correlation</w:t>
            </w:r>
          </w:p>
        </w:tc>
      </w:tr>
      <w:tr w:rsidR="00A81273" w:rsidRPr="00001DCC" w14:paraId="309B4D7A" w14:textId="77777777" w:rsidTr="0022378E">
        <w:tc>
          <w:tcPr>
            <w:tcW w:w="1129" w:type="dxa"/>
          </w:tcPr>
          <w:p w14:paraId="0AB17D37" w14:textId="77777777" w:rsidR="00A81273" w:rsidRPr="00001DCC" w:rsidRDefault="00A81273" w:rsidP="00462566">
            <w:pPr>
              <w:spacing w:before="40" w:after="40" w:line="240" w:lineRule="auto"/>
              <w:rPr>
                <w:rFonts w:ascii="Arial Narrow" w:hAnsi="Arial Narrow" w:cs="Times New Roman"/>
                <w:sz w:val="20"/>
                <w:szCs w:val="20"/>
              </w:rPr>
            </w:pPr>
            <w:r w:rsidRPr="00001DCC">
              <w:rPr>
                <w:rFonts w:ascii="Arial Narrow" w:hAnsi="Arial Narrow" w:cs="Times New Roman"/>
                <w:sz w:val="20"/>
                <w:szCs w:val="20"/>
              </w:rPr>
              <w:t>Lee et al. (2011)</w:t>
            </w:r>
          </w:p>
        </w:tc>
        <w:tc>
          <w:tcPr>
            <w:tcW w:w="2835" w:type="dxa"/>
          </w:tcPr>
          <w:p w14:paraId="561D658B" w14:textId="77777777" w:rsidR="00A81273" w:rsidRPr="004B7632" w:rsidRDefault="00A81273" w:rsidP="004B7632">
            <w:pPr>
              <w:pStyle w:val="Tabletext1"/>
            </w:pPr>
            <w:r w:rsidRPr="004B7632">
              <w:t>DSL ACTIVE® AMH ELISA versus</w:t>
            </w:r>
          </w:p>
          <w:p w14:paraId="40CD7909" w14:textId="77777777" w:rsidR="00A81273" w:rsidRPr="004B7632" w:rsidRDefault="00A81273" w:rsidP="004B7632">
            <w:pPr>
              <w:pStyle w:val="Tabletext1"/>
            </w:pPr>
            <w:r w:rsidRPr="004B7632">
              <w:t>AFC by TVUS</w:t>
            </w:r>
          </w:p>
        </w:tc>
        <w:tc>
          <w:tcPr>
            <w:tcW w:w="3969" w:type="dxa"/>
          </w:tcPr>
          <w:p w14:paraId="25A92B8F" w14:textId="77777777" w:rsidR="00A81273" w:rsidRPr="004B7632" w:rsidRDefault="00A81273" w:rsidP="004B7632">
            <w:pPr>
              <w:pStyle w:val="Tabletext1"/>
            </w:pPr>
            <w:r w:rsidRPr="004B7632">
              <w:t>41 women with breast cancer before adjuvant treatment</w:t>
            </w:r>
          </w:p>
        </w:tc>
        <w:tc>
          <w:tcPr>
            <w:tcW w:w="4536" w:type="dxa"/>
          </w:tcPr>
          <w:p w14:paraId="65F8C5E5" w14:textId="77777777" w:rsidR="00A81273" w:rsidRPr="004B7632" w:rsidRDefault="00A81273" w:rsidP="004B7632">
            <w:pPr>
              <w:pStyle w:val="Tabletext1"/>
            </w:pPr>
            <w:r w:rsidRPr="004B7632">
              <w:t>The was a correlation between early follicular phase serum levels of AMH and total AFC</w:t>
            </w:r>
          </w:p>
        </w:tc>
        <w:tc>
          <w:tcPr>
            <w:tcW w:w="1985" w:type="dxa"/>
          </w:tcPr>
          <w:p w14:paraId="13CCBDD5" w14:textId="221513B6" w:rsidR="00A81273" w:rsidRPr="004B7632" w:rsidRDefault="00A81273" w:rsidP="004B7632">
            <w:pPr>
              <w:pStyle w:val="Tabletext1"/>
            </w:pPr>
            <w:r w:rsidRPr="004B7632">
              <w:t>rho</w:t>
            </w:r>
            <w:r w:rsidR="00EB382C" w:rsidRPr="004B7632">
              <w:t>=</w:t>
            </w:r>
            <w:r w:rsidRPr="004B7632">
              <w:t>0.444, p=0.005</w:t>
            </w:r>
          </w:p>
        </w:tc>
      </w:tr>
      <w:tr w:rsidR="00A81273" w:rsidRPr="00001DCC" w14:paraId="3FF1509B" w14:textId="77777777" w:rsidTr="0022378E">
        <w:tc>
          <w:tcPr>
            <w:tcW w:w="1129" w:type="dxa"/>
            <w:tcBorders>
              <w:bottom w:val="single" w:sz="4" w:space="0" w:color="auto"/>
            </w:tcBorders>
          </w:tcPr>
          <w:p w14:paraId="50F80488" w14:textId="77777777" w:rsidR="00A81273" w:rsidRPr="00001DCC" w:rsidRDefault="00A81273" w:rsidP="00462566">
            <w:pPr>
              <w:spacing w:before="40" w:after="40" w:line="240" w:lineRule="auto"/>
              <w:rPr>
                <w:rFonts w:ascii="Arial Narrow" w:hAnsi="Arial Narrow" w:cs="Times New Roman"/>
                <w:sz w:val="20"/>
                <w:szCs w:val="20"/>
              </w:rPr>
            </w:pPr>
            <w:r>
              <w:rPr>
                <w:rFonts w:ascii="Arial Narrow" w:hAnsi="Arial Narrow" w:cs="Times New Roman"/>
                <w:sz w:val="20"/>
                <w:szCs w:val="20"/>
              </w:rPr>
              <w:t>Paradisi et al. (2016)</w:t>
            </w:r>
          </w:p>
        </w:tc>
        <w:tc>
          <w:tcPr>
            <w:tcW w:w="2835" w:type="dxa"/>
            <w:tcBorders>
              <w:bottom w:val="single" w:sz="4" w:space="0" w:color="auto"/>
            </w:tcBorders>
          </w:tcPr>
          <w:p w14:paraId="55D2AC9F" w14:textId="77777777" w:rsidR="00A81273" w:rsidRPr="004B7632" w:rsidRDefault="00A81273" w:rsidP="004B7632">
            <w:pPr>
              <w:pStyle w:val="Tabletext1"/>
            </w:pPr>
            <w:r w:rsidRPr="004B7632">
              <w:t>AMH Gen II ELISA versus</w:t>
            </w:r>
          </w:p>
          <w:p w14:paraId="0E353A17" w14:textId="77777777" w:rsidR="00A81273" w:rsidRPr="004B7632" w:rsidRDefault="00A81273" w:rsidP="004B7632">
            <w:pPr>
              <w:pStyle w:val="Tabletext1"/>
            </w:pPr>
            <w:r w:rsidRPr="004B7632">
              <w:t>AFC by TVUS</w:t>
            </w:r>
          </w:p>
        </w:tc>
        <w:tc>
          <w:tcPr>
            <w:tcW w:w="3969" w:type="dxa"/>
            <w:tcBorders>
              <w:bottom w:val="single" w:sz="4" w:space="0" w:color="auto"/>
            </w:tcBorders>
          </w:tcPr>
          <w:p w14:paraId="2B022E2B" w14:textId="77777777" w:rsidR="00A81273" w:rsidRPr="004B7632" w:rsidRDefault="00A81273" w:rsidP="004B7632">
            <w:pPr>
              <w:pStyle w:val="Tabletext1"/>
            </w:pPr>
            <w:r w:rsidRPr="004B7632">
              <w:t>191 cancer patients before chemo-radiotherapy and OTC and 43 controls</w:t>
            </w:r>
          </w:p>
        </w:tc>
        <w:tc>
          <w:tcPr>
            <w:tcW w:w="4536" w:type="dxa"/>
            <w:tcBorders>
              <w:bottom w:val="single" w:sz="4" w:space="0" w:color="auto"/>
            </w:tcBorders>
          </w:tcPr>
          <w:p w14:paraId="0DB1E8BD" w14:textId="77777777" w:rsidR="00A81273" w:rsidRPr="004B7632" w:rsidRDefault="00A81273" w:rsidP="004B7632">
            <w:pPr>
              <w:pStyle w:val="Tabletext1"/>
            </w:pPr>
            <w:r w:rsidRPr="004B7632">
              <w:t>There was a correlation between serum levels of AMH and total AFC (2–9 mm) throughout the whole menstrual cycle in the entire study population</w:t>
            </w:r>
          </w:p>
        </w:tc>
        <w:tc>
          <w:tcPr>
            <w:tcW w:w="1985" w:type="dxa"/>
            <w:tcBorders>
              <w:bottom w:val="single" w:sz="4" w:space="0" w:color="auto"/>
            </w:tcBorders>
          </w:tcPr>
          <w:p w14:paraId="7D3A4837" w14:textId="140FF46F" w:rsidR="00A81273" w:rsidRPr="004B7632" w:rsidRDefault="00A81273" w:rsidP="004B7632">
            <w:pPr>
              <w:pStyle w:val="Tabletext1"/>
            </w:pPr>
            <w:r w:rsidRPr="004B7632">
              <w:t>rho</w:t>
            </w:r>
            <w:r w:rsidR="00EB382C" w:rsidRPr="004B7632">
              <w:t>=</w:t>
            </w:r>
            <w:r w:rsidRPr="004B7632">
              <w:t>0.52, p&lt;0.001</w:t>
            </w:r>
          </w:p>
        </w:tc>
      </w:tr>
      <w:tr w:rsidR="00A81273" w:rsidRPr="00237B58" w14:paraId="68E54942" w14:textId="77777777" w:rsidTr="0022378E">
        <w:tc>
          <w:tcPr>
            <w:tcW w:w="1129" w:type="dxa"/>
            <w:tcBorders>
              <w:right w:val="nil"/>
            </w:tcBorders>
          </w:tcPr>
          <w:p w14:paraId="27AE1012" w14:textId="77777777" w:rsidR="00A81273" w:rsidRPr="00A543FE" w:rsidRDefault="00A81273" w:rsidP="00462566">
            <w:pPr>
              <w:spacing w:before="40" w:after="40" w:line="240" w:lineRule="auto"/>
              <w:rPr>
                <w:rFonts w:ascii="Arial Narrow" w:hAnsi="Arial Narrow" w:cs="Times New Roman"/>
                <w:i/>
                <w:color w:val="FFFFFF" w:themeColor="background1"/>
                <w:sz w:val="20"/>
                <w:szCs w:val="20"/>
                <w:u w:val="single"/>
              </w:rPr>
            </w:pPr>
            <w:r w:rsidRPr="00A543FE">
              <w:rPr>
                <w:rFonts w:ascii="Arial Narrow" w:hAnsi="Arial Narrow" w:cs="Times New Roman"/>
                <w:i/>
                <w:color w:val="FFFFFF" w:themeColor="background1"/>
                <w:sz w:val="20"/>
                <w:szCs w:val="20"/>
                <w:u w:val="single"/>
              </w:rPr>
              <w:t>-</w:t>
            </w:r>
          </w:p>
        </w:tc>
        <w:tc>
          <w:tcPr>
            <w:tcW w:w="2835" w:type="dxa"/>
            <w:tcBorders>
              <w:left w:val="nil"/>
              <w:right w:val="nil"/>
            </w:tcBorders>
          </w:tcPr>
          <w:p w14:paraId="5BAB3A22" w14:textId="77777777" w:rsidR="00A81273" w:rsidRPr="004B7632" w:rsidRDefault="00A81273" w:rsidP="004B7632">
            <w:pPr>
              <w:pStyle w:val="Tabletext1"/>
            </w:pPr>
          </w:p>
        </w:tc>
        <w:tc>
          <w:tcPr>
            <w:tcW w:w="3969" w:type="dxa"/>
            <w:tcBorders>
              <w:left w:val="nil"/>
              <w:right w:val="nil"/>
            </w:tcBorders>
          </w:tcPr>
          <w:p w14:paraId="52E22203" w14:textId="77777777" w:rsidR="00A81273" w:rsidRPr="004B7632" w:rsidRDefault="00A81273" w:rsidP="004B7632">
            <w:pPr>
              <w:pStyle w:val="Tabletext1"/>
            </w:pPr>
            <w:r w:rsidRPr="004B7632">
              <w:t>Post-treatment</w:t>
            </w:r>
          </w:p>
        </w:tc>
        <w:tc>
          <w:tcPr>
            <w:tcW w:w="4536" w:type="dxa"/>
            <w:tcBorders>
              <w:left w:val="nil"/>
              <w:right w:val="nil"/>
            </w:tcBorders>
          </w:tcPr>
          <w:p w14:paraId="483FAA00" w14:textId="77777777" w:rsidR="00A81273" w:rsidRPr="004B7632" w:rsidRDefault="00A81273" w:rsidP="004B7632">
            <w:pPr>
              <w:pStyle w:val="Tabletext1"/>
            </w:pPr>
            <w:r w:rsidRPr="004B7632">
              <w:t>-</w:t>
            </w:r>
          </w:p>
        </w:tc>
        <w:tc>
          <w:tcPr>
            <w:tcW w:w="1985" w:type="dxa"/>
            <w:tcBorders>
              <w:left w:val="nil"/>
            </w:tcBorders>
          </w:tcPr>
          <w:p w14:paraId="4D69A4D4" w14:textId="77777777" w:rsidR="00A81273" w:rsidRPr="004B7632" w:rsidRDefault="00A81273" w:rsidP="004B7632">
            <w:pPr>
              <w:pStyle w:val="Tabletext1"/>
            </w:pPr>
            <w:r w:rsidRPr="004B7632">
              <w:t>-</w:t>
            </w:r>
          </w:p>
        </w:tc>
      </w:tr>
      <w:tr w:rsidR="00A81273" w:rsidRPr="00001DCC" w14:paraId="4CD0A079" w14:textId="77777777" w:rsidTr="0022378E">
        <w:tc>
          <w:tcPr>
            <w:tcW w:w="1129" w:type="dxa"/>
            <w:tcBorders>
              <w:bottom w:val="single" w:sz="4" w:space="0" w:color="auto"/>
            </w:tcBorders>
          </w:tcPr>
          <w:p w14:paraId="3F384690" w14:textId="77777777" w:rsidR="00A81273" w:rsidRPr="00001DCC" w:rsidRDefault="00A81273" w:rsidP="00462566">
            <w:pPr>
              <w:spacing w:before="40" w:after="40" w:line="240" w:lineRule="auto"/>
              <w:rPr>
                <w:rFonts w:ascii="Arial Narrow" w:hAnsi="Arial Narrow" w:cs="Times New Roman"/>
                <w:sz w:val="20"/>
                <w:szCs w:val="20"/>
              </w:rPr>
            </w:pPr>
            <w:r>
              <w:rPr>
                <w:rFonts w:ascii="Arial Narrow" w:hAnsi="Arial Narrow" w:cs="Times New Roman"/>
                <w:sz w:val="20"/>
                <w:szCs w:val="20"/>
              </w:rPr>
              <w:t>Partridge et al. (2010)</w:t>
            </w:r>
          </w:p>
        </w:tc>
        <w:tc>
          <w:tcPr>
            <w:tcW w:w="2835" w:type="dxa"/>
            <w:tcBorders>
              <w:bottom w:val="single" w:sz="4" w:space="0" w:color="auto"/>
            </w:tcBorders>
          </w:tcPr>
          <w:p w14:paraId="6CF7D721" w14:textId="77777777" w:rsidR="00A81273" w:rsidRPr="004B7632" w:rsidRDefault="00A81273" w:rsidP="004B7632">
            <w:pPr>
              <w:pStyle w:val="Tabletext1"/>
            </w:pPr>
            <w:r w:rsidRPr="004B7632">
              <w:t>DSL ACTIVE® AMH ELISA versus</w:t>
            </w:r>
          </w:p>
          <w:p w14:paraId="7B04FE80" w14:textId="77777777" w:rsidR="00A81273" w:rsidRPr="004B7632" w:rsidRDefault="00A81273" w:rsidP="004B7632">
            <w:pPr>
              <w:pStyle w:val="Tabletext1"/>
            </w:pPr>
            <w:r w:rsidRPr="004B7632">
              <w:t>AFC by TVUS</w:t>
            </w:r>
          </w:p>
        </w:tc>
        <w:tc>
          <w:tcPr>
            <w:tcW w:w="3969" w:type="dxa"/>
          </w:tcPr>
          <w:p w14:paraId="09A47BE6" w14:textId="77777777" w:rsidR="00A81273" w:rsidRPr="004B7632" w:rsidRDefault="00A81273" w:rsidP="004B7632">
            <w:pPr>
              <w:pStyle w:val="Tabletext1"/>
            </w:pPr>
            <w:r w:rsidRPr="004B7632">
              <w:t>20 breast cancer survivors with continued menses after chemotherapy</w:t>
            </w:r>
          </w:p>
        </w:tc>
        <w:tc>
          <w:tcPr>
            <w:tcW w:w="4536" w:type="dxa"/>
          </w:tcPr>
          <w:p w14:paraId="0631E2BA" w14:textId="77777777" w:rsidR="00A81273" w:rsidRPr="004B7632" w:rsidRDefault="00A81273" w:rsidP="004B7632">
            <w:pPr>
              <w:pStyle w:val="Tabletext1"/>
            </w:pPr>
            <w:r w:rsidRPr="004B7632">
              <w:t>The AFC and AMH levels were highly correlated</w:t>
            </w:r>
          </w:p>
        </w:tc>
        <w:tc>
          <w:tcPr>
            <w:tcW w:w="1985" w:type="dxa"/>
          </w:tcPr>
          <w:p w14:paraId="42D3A794" w14:textId="31E370D1" w:rsidR="00A81273" w:rsidRPr="004B7632" w:rsidRDefault="00A81273" w:rsidP="004B7632">
            <w:pPr>
              <w:pStyle w:val="Tabletext1"/>
            </w:pPr>
            <w:r w:rsidRPr="004B7632">
              <w:t>rho</w:t>
            </w:r>
            <w:r w:rsidR="00EB382C" w:rsidRPr="004B7632">
              <w:t>=</w:t>
            </w:r>
            <w:r w:rsidRPr="004B7632">
              <w:t>0.72, p&lt;0.0001</w:t>
            </w:r>
          </w:p>
        </w:tc>
      </w:tr>
      <w:tr w:rsidR="00A81273" w:rsidRPr="00237B58" w14:paraId="35881435" w14:textId="77777777" w:rsidTr="0022378E">
        <w:tc>
          <w:tcPr>
            <w:tcW w:w="1129" w:type="dxa"/>
            <w:tcBorders>
              <w:right w:val="nil"/>
            </w:tcBorders>
          </w:tcPr>
          <w:p w14:paraId="7AA91546" w14:textId="77777777" w:rsidR="00A81273" w:rsidRPr="00A543FE" w:rsidRDefault="00A81273" w:rsidP="00462566">
            <w:pPr>
              <w:spacing w:before="40" w:after="40" w:line="240" w:lineRule="auto"/>
              <w:rPr>
                <w:rFonts w:ascii="Arial Narrow" w:hAnsi="Arial Narrow" w:cs="Times New Roman"/>
                <w:i/>
                <w:color w:val="FFFFFF" w:themeColor="background1"/>
                <w:sz w:val="20"/>
                <w:szCs w:val="20"/>
                <w:u w:val="single"/>
              </w:rPr>
            </w:pPr>
            <w:r w:rsidRPr="00A543FE">
              <w:rPr>
                <w:rFonts w:ascii="Arial Narrow" w:hAnsi="Arial Narrow" w:cs="Times New Roman"/>
                <w:i/>
                <w:color w:val="FFFFFF" w:themeColor="background1"/>
                <w:sz w:val="20"/>
                <w:szCs w:val="20"/>
                <w:u w:val="single"/>
              </w:rPr>
              <w:t>-</w:t>
            </w:r>
          </w:p>
        </w:tc>
        <w:tc>
          <w:tcPr>
            <w:tcW w:w="2835" w:type="dxa"/>
            <w:tcBorders>
              <w:left w:val="nil"/>
              <w:right w:val="nil"/>
            </w:tcBorders>
          </w:tcPr>
          <w:p w14:paraId="43A21E08" w14:textId="77777777" w:rsidR="00A81273" w:rsidRPr="004B7632" w:rsidRDefault="00A81273" w:rsidP="004B7632">
            <w:pPr>
              <w:pStyle w:val="Tabletext1"/>
            </w:pPr>
          </w:p>
        </w:tc>
        <w:tc>
          <w:tcPr>
            <w:tcW w:w="3969" w:type="dxa"/>
            <w:tcBorders>
              <w:left w:val="nil"/>
              <w:right w:val="nil"/>
            </w:tcBorders>
          </w:tcPr>
          <w:p w14:paraId="3D66FFA2" w14:textId="77777777" w:rsidR="00A81273" w:rsidRPr="004B7632" w:rsidRDefault="00A81273" w:rsidP="004B7632">
            <w:pPr>
              <w:pStyle w:val="Tabletext1"/>
            </w:pPr>
            <w:r w:rsidRPr="004B7632">
              <w:t>Post-childhood cancer</w:t>
            </w:r>
          </w:p>
        </w:tc>
        <w:tc>
          <w:tcPr>
            <w:tcW w:w="4536" w:type="dxa"/>
            <w:tcBorders>
              <w:left w:val="nil"/>
              <w:right w:val="nil"/>
            </w:tcBorders>
          </w:tcPr>
          <w:p w14:paraId="3369C4D1" w14:textId="77777777" w:rsidR="00A81273" w:rsidRPr="004B7632" w:rsidRDefault="00A81273" w:rsidP="004B7632">
            <w:pPr>
              <w:pStyle w:val="Tabletext1"/>
            </w:pPr>
            <w:r w:rsidRPr="004B7632">
              <w:t>-</w:t>
            </w:r>
          </w:p>
        </w:tc>
        <w:tc>
          <w:tcPr>
            <w:tcW w:w="1985" w:type="dxa"/>
            <w:tcBorders>
              <w:left w:val="nil"/>
            </w:tcBorders>
          </w:tcPr>
          <w:p w14:paraId="7BB04D08" w14:textId="77777777" w:rsidR="00A81273" w:rsidRPr="004B7632" w:rsidRDefault="00A81273" w:rsidP="004B7632">
            <w:pPr>
              <w:pStyle w:val="Tabletext1"/>
            </w:pPr>
            <w:r w:rsidRPr="004B7632">
              <w:t>-</w:t>
            </w:r>
          </w:p>
        </w:tc>
      </w:tr>
      <w:tr w:rsidR="00A81273" w:rsidRPr="00001DCC" w14:paraId="487C456F" w14:textId="77777777" w:rsidTr="0022378E">
        <w:tc>
          <w:tcPr>
            <w:tcW w:w="1129" w:type="dxa"/>
            <w:tcBorders>
              <w:bottom w:val="single" w:sz="4" w:space="0" w:color="auto"/>
            </w:tcBorders>
          </w:tcPr>
          <w:p w14:paraId="407C0919" w14:textId="77777777" w:rsidR="00A81273" w:rsidRPr="00001DCC" w:rsidRDefault="00A81273" w:rsidP="00462566">
            <w:pPr>
              <w:spacing w:before="40" w:after="40" w:line="240" w:lineRule="auto"/>
              <w:rPr>
                <w:rFonts w:ascii="Arial Narrow" w:hAnsi="Arial Narrow" w:cs="Times New Roman"/>
                <w:sz w:val="20"/>
                <w:szCs w:val="20"/>
              </w:rPr>
            </w:pPr>
            <w:r>
              <w:rPr>
                <w:rFonts w:ascii="Arial Narrow" w:hAnsi="Arial Narrow" w:cs="Times New Roman"/>
                <w:sz w:val="20"/>
                <w:szCs w:val="20"/>
              </w:rPr>
              <w:t>Nielsen et al. (2013)</w:t>
            </w:r>
          </w:p>
        </w:tc>
        <w:tc>
          <w:tcPr>
            <w:tcW w:w="2835" w:type="dxa"/>
            <w:tcBorders>
              <w:bottom w:val="single" w:sz="4" w:space="0" w:color="auto"/>
            </w:tcBorders>
          </w:tcPr>
          <w:p w14:paraId="7175E7BC" w14:textId="77777777" w:rsidR="00A81273" w:rsidRPr="004B7632" w:rsidRDefault="00A81273" w:rsidP="004B7632">
            <w:pPr>
              <w:pStyle w:val="Tabletext1"/>
            </w:pPr>
            <w:r w:rsidRPr="004B7632">
              <w:t>EIA AMH/MIS assay versus</w:t>
            </w:r>
          </w:p>
          <w:p w14:paraId="53480777" w14:textId="77777777" w:rsidR="00A81273" w:rsidRPr="004B7632" w:rsidRDefault="00A81273" w:rsidP="004B7632">
            <w:pPr>
              <w:pStyle w:val="Tabletext1"/>
            </w:pPr>
            <w:r w:rsidRPr="004B7632">
              <w:t>AFC by TVUS</w:t>
            </w:r>
          </w:p>
        </w:tc>
        <w:tc>
          <w:tcPr>
            <w:tcW w:w="3969" w:type="dxa"/>
            <w:tcBorders>
              <w:bottom w:val="single" w:sz="4" w:space="0" w:color="auto"/>
            </w:tcBorders>
          </w:tcPr>
          <w:p w14:paraId="0D5336ED" w14:textId="77777777" w:rsidR="00A81273" w:rsidRPr="004B7632" w:rsidRDefault="00A81273" w:rsidP="004B7632">
            <w:pPr>
              <w:pStyle w:val="Tabletext1"/>
            </w:pPr>
            <w:r w:rsidRPr="004B7632">
              <w:t>71 female childhood cancer survivors</w:t>
            </w:r>
          </w:p>
        </w:tc>
        <w:tc>
          <w:tcPr>
            <w:tcW w:w="4536" w:type="dxa"/>
            <w:tcBorders>
              <w:bottom w:val="single" w:sz="4" w:space="0" w:color="auto"/>
            </w:tcBorders>
          </w:tcPr>
          <w:p w14:paraId="4C6EDBA4" w14:textId="77777777" w:rsidR="00A81273" w:rsidRPr="004B7632" w:rsidRDefault="00A81273" w:rsidP="004B7632">
            <w:pPr>
              <w:pStyle w:val="Tabletext1"/>
            </w:pPr>
            <w:r w:rsidRPr="004B7632">
              <w:t>There was a correlation between AMH and total AFC (2–10 mm)</w:t>
            </w:r>
          </w:p>
        </w:tc>
        <w:tc>
          <w:tcPr>
            <w:tcW w:w="1985" w:type="dxa"/>
            <w:tcBorders>
              <w:bottom w:val="single" w:sz="4" w:space="0" w:color="auto"/>
            </w:tcBorders>
          </w:tcPr>
          <w:p w14:paraId="53ED0F99" w14:textId="27F848CB" w:rsidR="00A81273" w:rsidRPr="004B7632" w:rsidRDefault="00A81273" w:rsidP="004B7632">
            <w:pPr>
              <w:pStyle w:val="Tabletext1"/>
            </w:pPr>
            <w:r w:rsidRPr="004B7632">
              <w:t>rho</w:t>
            </w:r>
            <w:r w:rsidR="00EB382C" w:rsidRPr="004B7632">
              <w:t>=</w:t>
            </w:r>
            <w:r w:rsidRPr="004B7632">
              <w:t>0.83, p&lt;0.001</w:t>
            </w:r>
          </w:p>
        </w:tc>
      </w:tr>
      <w:tr w:rsidR="00A81273" w:rsidRPr="00001DCC" w14:paraId="34B93D64" w14:textId="77777777" w:rsidTr="0022378E">
        <w:tc>
          <w:tcPr>
            <w:tcW w:w="1129" w:type="dxa"/>
            <w:tcBorders>
              <w:bottom w:val="single" w:sz="4" w:space="0" w:color="auto"/>
              <w:right w:val="nil"/>
            </w:tcBorders>
          </w:tcPr>
          <w:p w14:paraId="62809FE5" w14:textId="77777777" w:rsidR="00A81273" w:rsidRPr="00A543FE" w:rsidRDefault="00A81273" w:rsidP="00462566">
            <w:pPr>
              <w:spacing w:before="40" w:after="40" w:line="240" w:lineRule="auto"/>
              <w:rPr>
                <w:rFonts w:ascii="Arial Narrow" w:hAnsi="Arial Narrow" w:cs="Times New Roman"/>
                <w:b/>
                <w:color w:val="FFFFFF" w:themeColor="background1"/>
                <w:sz w:val="20"/>
                <w:szCs w:val="20"/>
              </w:rPr>
            </w:pPr>
            <w:r w:rsidRPr="00A543FE">
              <w:rPr>
                <w:rFonts w:ascii="Arial Narrow" w:hAnsi="Arial Narrow" w:cs="Times New Roman"/>
                <w:b/>
                <w:color w:val="FFFFFF" w:themeColor="background1"/>
                <w:sz w:val="20"/>
                <w:szCs w:val="20"/>
              </w:rPr>
              <w:t>-</w:t>
            </w:r>
          </w:p>
        </w:tc>
        <w:tc>
          <w:tcPr>
            <w:tcW w:w="2835" w:type="dxa"/>
            <w:tcBorders>
              <w:left w:val="nil"/>
              <w:bottom w:val="single" w:sz="4" w:space="0" w:color="auto"/>
              <w:right w:val="nil"/>
            </w:tcBorders>
          </w:tcPr>
          <w:p w14:paraId="7B82F598" w14:textId="77777777" w:rsidR="00A81273" w:rsidRPr="00A543FE" w:rsidRDefault="00A81273" w:rsidP="004B7632">
            <w:pPr>
              <w:pStyle w:val="Tabletext1"/>
            </w:pPr>
          </w:p>
        </w:tc>
        <w:tc>
          <w:tcPr>
            <w:tcW w:w="3969" w:type="dxa"/>
            <w:tcBorders>
              <w:left w:val="nil"/>
              <w:bottom w:val="single" w:sz="4" w:space="0" w:color="auto"/>
              <w:right w:val="nil"/>
            </w:tcBorders>
          </w:tcPr>
          <w:p w14:paraId="6A14CD84" w14:textId="77777777" w:rsidR="00A81273" w:rsidRPr="00237B58" w:rsidRDefault="00A81273" w:rsidP="004B7632">
            <w:pPr>
              <w:pStyle w:val="Tabletext1"/>
            </w:pPr>
            <w:r w:rsidRPr="00237B58">
              <w:rPr>
                <w:i/>
                <w:u w:val="single"/>
              </w:rPr>
              <w:t>Pre-</w:t>
            </w:r>
            <w:r>
              <w:rPr>
                <w:i/>
                <w:u w:val="single"/>
              </w:rPr>
              <w:t xml:space="preserve"> </w:t>
            </w:r>
            <w:r w:rsidRPr="00237B58">
              <w:rPr>
                <w:i/>
                <w:u w:val="single"/>
              </w:rPr>
              <w:t>surgery</w:t>
            </w:r>
          </w:p>
        </w:tc>
        <w:tc>
          <w:tcPr>
            <w:tcW w:w="4536" w:type="dxa"/>
            <w:tcBorders>
              <w:left w:val="nil"/>
              <w:bottom w:val="single" w:sz="4" w:space="0" w:color="auto"/>
              <w:right w:val="nil"/>
            </w:tcBorders>
          </w:tcPr>
          <w:p w14:paraId="3B1D2030" w14:textId="77777777" w:rsidR="00A81273" w:rsidRPr="00001DCC" w:rsidRDefault="00A81273" w:rsidP="004B7632">
            <w:pPr>
              <w:pStyle w:val="Tabletext1"/>
              <w:rPr>
                <w:b/>
                <w:color w:val="FFFFFF"/>
              </w:rPr>
            </w:pPr>
            <w:r w:rsidRPr="00001DCC">
              <w:rPr>
                <w:b/>
                <w:color w:val="FFFFFF"/>
              </w:rPr>
              <w:t>-</w:t>
            </w:r>
          </w:p>
        </w:tc>
        <w:tc>
          <w:tcPr>
            <w:tcW w:w="1985" w:type="dxa"/>
            <w:tcBorders>
              <w:left w:val="nil"/>
              <w:bottom w:val="single" w:sz="4" w:space="0" w:color="auto"/>
            </w:tcBorders>
          </w:tcPr>
          <w:p w14:paraId="6768A61B" w14:textId="77777777" w:rsidR="00A81273" w:rsidRPr="00001DCC" w:rsidRDefault="00A81273" w:rsidP="004B7632">
            <w:pPr>
              <w:pStyle w:val="Tabletext1"/>
              <w:rPr>
                <w:b/>
                <w:i/>
                <w:color w:val="FFFFFF"/>
              </w:rPr>
            </w:pPr>
            <w:r w:rsidRPr="00001DCC">
              <w:rPr>
                <w:b/>
              </w:rPr>
              <w:t>Pearson’s bivariate correlation</w:t>
            </w:r>
          </w:p>
        </w:tc>
      </w:tr>
      <w:tr w:rsidR="00A81273" w:rsidRPr="00001DCC" w14:paraId="5B077406" w14:textId="77777777" w:rsidTr="0022378E">
        <w:tc>
          <w:tcPr>
            <w:tcW w:w="1129" w:type="dxa"/>
          </w:tcPr>
          <w:p w14:paraId="4174E82A" w14:textId="77777777" w:rsidR="00A81273" w:rsidRPr="00001DCC" w:rsidRDefault="00A81273" w:rsidP="004B7632">
            <w:pPr>
              <w:pStyle w:val="Tabletext1"/>
            </w:pPr>
            <w:r>
              <w:t>Biacchiardi et al. (2011)</w:t>
            </w:r>
          </w:p>
        </w:tc>
        <w:tc>
          <w:tcPr>
            <w:tcW w:w="2835" w:type="dxa"/>
          </w:tcPr>
          <w:p w14:paraId="3CFB6DFF" w14:textId="77777777" w:rsidR="00A81273" w:rsidRPr="00001DCC" w:rsidRDefault="00A81273" w:rsidP="004B7632">
            <w:pPr>
              <w:pStyle w:val="Tabletext1"/>
            </w:pPr>
            <w:r w:rsidRPr="00001DCC">
              <w:t>EIA AMH/MIS assay</w:t>
            </w:r>
            <w:r>
              <w:t xml:space="preserve"> versus</w:t>
            </w:r>
          </w:p>
          <w:p w14:paraId="14B7A834" w14:textId="77777777" w:rsidR="00A81273" w:rsidRPr="00001DCC" w:rsidRDefault="00A81273" w:rsidP="004B7632">
            <w:pPr>
              <w:pStyle w:val="Tabletext1"/>
            </w:pPr>
            <w:r w:rsidRPr="00001DCC">
              <w:t>AFC TVUS</w:t>
            </w:r>
          </w:p>
        </w:tc>
        <w:tc>
          <w:tcPr>
            <w:tcW w:w="3969" w:type="dxa"/>
          </w:tcPr>
          <w:p w14:paraId="64BCA130" w14:textId="77777777" w:rsidR="00A81273" w:rsidRPr="00001DCC" w:rsidRDefault="00A81273" w:rsidP="004B7632">
            <w:pPr>
              <w:pStyle w:val="Tabletext1"/>
            </w:pPr>
            <w:r w:rsidRPr="00001DCC">
              <w:t>43 normo-ovulatory women aged 18–42 years who were affected by one or more ovarian endometriomas</w:t>
            </w:r>
          </w:p>
        </w:tc>
        <w:tc>
          <w:tcPr>
            <w:tcW w:w="4536" w:type="dxa"/>
          </w:tcPr>
          <w:p w14:paraId="3380A786" w14:textId="77777777" w:rsidR="00A81273" w:rsidRPr="00001DCC" w:rsidRDefault="00A81273" w:rsidP="004B7632">
            <w:pPr>
              <w:pStyle w:val="Tabletext1"/>
            </w:pPr>
            <w:r w:rsidRPr="00001DCC">
              <w:t xml:space="preserve">There were positive correlations between early follicular phase serum levels of AMH and total AFC (≥3mm) </w:t>
            </w:r>
          </w:p>
        </w:tc>
        <w:tc>
          <w:tcPr>
            <w:tcW w:w="1985" w:type="dxa"/>
          </w:tcPr>
          <w:p w14:paraId="69A78789" w14:textId="2EF077AF" w:rsidR="00A81273" w:rsidRPr="00001DCC" w:rsidRDefault="00A81273" w:rsidP="004B7632">
            <w:pPr>
              <w:pStyle w:val="Tabletext1"/>
            </w:pPr>
            <w:r w:rsidRPr="00EB382C">
              <w:t>r</w:t>
            </w:r>
            <w:r w:rsidRPr="00001DCC">
              <w:t xml:space="preserve">= </w:t>
            </w:r>
            <w:r w:rsidR="00EB382C">
              <w:t>-</w:t>
            </w:r>
            <w:r w:rsidRPr="00001DCC">
              <w:t>0.312</w:t>
            </w:r>
            <w:r>
              <w:t>, p=0.038</w:t>
            </w:r>
          </w:p>
        </w:tc>
      </w:tr>
      <w:tr w:rsidR="00A81273" w:rsidRPr="00237B58" w14:paraId="6DDDB2D8" w14:textId="77777777" w:rsidTr="0022378E">
        <w:tc>
          <w:tcPr>
            <w:tcW w:w="1129" w:type="dxa"/>
            <w:tcBorders>
              <w:right w:val="nil"/>
            </w:tcBorders>
          </w:tcPr>
          <w:p w14:paraId="47FB018A" w14:textId="77777777" w:rsidR="00A81273" w:rsidRPr="00A543FE" w:rsidRDefault="00A81273" w:rsidP="004B7632">
            <w:pPr>
              <w:pStyle w:val="Tabletext1"/>
              <w:rPr>
                <w:i/>
                <w:color w:val="FFFFFF" w:themeColor="background1"/>
                <w:u w:val="single"/>
              </w:rPr>
            </w:pPr>
            <w:r w:rsidRPr="00A543FE">
              <w:rPr>
                <w:i/>
                <w:color w:val="FFFFFF" w:themeColor="background1"/>
                <w:u w:val="single"/>
              </w:rPr>
              <w:t>-</w:t>
            </w:r>
          </w:p>
        </w:tc>
        <w:tc>
          <w:tcPr>
            <w:tcW w:w="2835" w:type="dxa"/>
            <w:tcBorders>
              <w:left w:val="nil"/>
              <w:right w:val="nil"/>
            </w:tcBorders>
          </w:tcPr>
          <w:p w14:paraId="0376F28A" w14:textId="77777777" w:rsidR="00A81273" w:rsidRPr="00A543FE" w:rsidRDefault="00A81273" w:rsidP="004B7632">
            <w:pPr>
              <w:pStyle w:val="Tabletext1"/>
              <w:rPr>
                <w:i/>
                <w:color w:val="FFFFFF" w:themeColor="background1"/>
                <w:u w:val="single"/>
              </w:rPr>
            </w:pPr>
          </w:p>
        </w:tc>
        <w:tc>
          <w:tcPr>
            <w:tcW w:w="3969" w:type="dxa"/>
            <w:tcBorders>
              <w:left w:val="nil"/>
              <w:right w:val="nil"/>
            </w:tcBorders>
          </w:tcPr>
          <w:p w14:paraId="05433EBA" w14:textId="77777777" w:rsidR="00A81273" w:rsidRPr="00237B58" w:rsidRDefault="00A81273" w:rsidP="004B7632">
            <w:pPr>
              <w:pStyle w:val="Tabletext1"/>
              <w:rPr>
                <w:i/>
                <w:color w:val="FFFFFF" w:themeColor="background1"/>
                <w:u w:val="single"/>
              </w:rPr>
            </w:pPr>
            <w:r w:rsidRPr="00237B58">
              <w:rPr>
                <w:i/>
                <w:u w:val="single"/>
              </w:rPr>
              <w:t>P</w:t>
            </w:r>
            <w:r>
              <w:rPr>
                <w:i/>
                <w:u w:val="single"/>
              </w:rPr>
              <w:t>ost-</w:t>
            </w:r>
            <w:r w:rsidRPr="00237B58">
              <w:rPr>
                <w:i/>
                <w:u w:val="single"/>
              </w:rPr>
              <w:t>surgery</w:t>
            </w:r>
          </w:p>
        </w:tc>
        <w:tc>
          <w:tcPr>
            <w:tcW w:w="4536" w:type="dxa"/>
            <w:tcBorders>
              <w:left w:val="nil"/>
              <w:right w:val="nil"/>
            </w:tcBorders>
          </w:tcPr>
          <w:p w14:paraId="7FCA0796" w14:textId="77777777" w:rsidR="00A81273" w:rsidRPr="00237B58" w:rsidRDefault="00A81273" w:rsidP="004B7632">
            <w:pPr>
              <w:pStyle w:val="Tabletext1"/>
              <w:rPr>
                <w:i/>
                <w:color w:val="FFFFFF" w:themeColor="background1"/>
                <w:u w:val="single"/>
              </w:rPr>
            </w:pPr>
            <w:r w:rsidRPr="00237B58">
              <w:rPr>
                <w:i/>
                <w:color w:val="FFFFFF" w:themeColor="background1"/>
                <w:u w:val="single"/>
              </w:rPr>
              <w:t>-</w:t>
            </w:r>
          </w:p>
        </w:tc>
        <w:tc>
          <w:tcPr>
            <w:tcW w:w="1985" w:type="dxa"/>
            <w:tcBorders>
              <w:left w:val="nil"/>
            </w:tcBorders>
          </w:tcPr>
          <w:p w14:paraId="0491F12B" w14:textId="77777777" w:rsidR="00A81273" w:rsidRPr="00237B58" w:rsidRDefault="00A81273" w:rsidP="004B7632">
            <w:pPr>
              <w:pStyle w:val="Tabletext1"/>
              <w:rPr>
                <w:i/>
                <w:color w:val="FFFFFF" w:themeColor="background1"/>
                <w:u w:val="single"/>
              </w:rPr>
            </w:pPr>
            <w:r w:rsidRPr="00237B58">
              <w:rPr>
                <w:i/>
                <w:color w:val="FFFFFF" w:themeColor="background1"/>
                <w:u w:val="single"/>
              </w:rPr>
              <w:t>-</w:t>
            </w:r>
          </w:p>
        </w:tc>
      </w:tr>
      <w:tr w:rsidR="00A81273" w:rsidRPr="00001DCC" w14:paraId="4D252900" w14:textId="77777777" w:rsidTr="0022378E">
        <w:tc>
          <w:tcPr>
            <w:tcW w:w="1129" w:type="dxa"/>
          </w:tcPr>
          <w:p w14:paraId="6D22F975" w14:textId="77777777" w:rsidR="00A81273" w:rsidRPr="00001DCC" w:rsidRDefault="00A81273" w:rsidP="004B7632">
            <w:pPr>
              <w:pStyle w:val="Tabletext1"/>
            </w:pPr>
            <w:r>
              <w:t>Biacchiardi et al. (2011)</w:t>
            </w:r>
          </w:p>
        </w:tc>
        <w:tc>
          <w:tcPr>
            <w:tcW w:w="2835" w:type="dxa"/>
          </w:tcPr>
          <w:p w14:paraId="71C8FA68" w14:textId="77777777" w:rsidR="00A81273" w:rsidRPr="00001DCC" w:rsidRDefault="00A81273" w:rsidP="004B7632">
            <w:pPr>
              <w:pStyle w:val="Tabletext1"/>
            </w:pPr>
            <w:r w:rsidRPr="00001DCC">
              <w:t>EIA AMH/MIS assay</w:t>
            </w:r>
            <w:r>
              <w:t xml:space="preserve"> versus</w:t>
            </w:r>
          </w:p>
          <w:p w14:paraId="463B6031" w14:textId="77777777" w:rsidR="00A81273" w:rsidRPr="00001DCC" w:rsidRDefault="00A81273" w:rsidP="004B7632">
            <w:pPr>
              <w:pStyle w:val="Tabletext1"/>
            </w:pPr>
            <w:r w:rsidRPr="00001DCC">
              <w:t>AFC TVUS</w:t>
            </w:r>
          </w:p>
        </w:tc>
        <w:tc>
          <w:tcPr>
            <w:tcW w:w="3969" w:type="dxa"/>
          </w:tcPr>
          <w:p w14:paraId="6EE60DBE" w14:textId="77777777" w:rsidR="00A81273" w:rsidRPr="00001DCC" w:rsidRDefault="00A81273" w:rsidP="004B7632">
            <w:pPr>
              <w:pStyle w:val="Tabletext1"/>
            </w:pPr>
            <w:r w:rsidRPr="00001DCC">
              <w:t>43 normo-ovulatory women aged 18–42 years who were affected by one or more ovarian endometriomas</w:t>
            </w:r>
          </w:p>
        </w:tc>
        <w:tc>
          <w:tcPr>
            <w:tcW w:w="4536" w:type="dxa"/>
          </w:tcPr>
          <w:p w14:paraId="0AAA18FA" w14:textId="77777777" w:rsidR="00A81273" w:rsidRPr="00001DCC" w:rsidRDefault="00A81273" w:rsidP="004B7632">
            <w:pPr>
              <w:pStyle w:val="Tabletext1"/>
            </w:pPr>
            <w:r w:rsidRPr="00001DCC">
              <w:t>There were positive correlations between early follicular phase serum lev</w:t>
            </w:r>
            <w:r>
              <w:t>els of AMH and total AFC (≥3mm)</w:t>
            </w:r>
            <w:r w:rsidRPr="00001DCC">
              <w:t xml:space="preserve"> 3 months post</w:t>
            </w:r>
            <w:r>
              <w:t>-surgery</w:t>
            </w:r>
          </w:p>
        </w:tc>
        <w:tc>
          <w:tcPr>
            <w:tcW w:w="1985" w:type="dxa"/>
          </w:tcPr>
          <w:p w14:paraId="3A8CF87A" w14:textId="70674E93" w:rsidR="00A81273" w:rsidRPr="00001DCC" w:rsidRDefault="00A81273" w:rsidP="004B7632">
            <w:pPr>
              <w:pStyle w:val="Tabletext1"/>
            </w:pPr>
            <w:r w:rsidRPr="00EB382C">
              <w:t>r</w:t>
            </w:r>
            <w:r w:rsidRPr="00001DCC">
              <w:t xml:space="preserve">= </w:t>
            </w:r>
            <w:r w:rsidR="00EB382C">
              <w:t>-</w:t>
            </w:r>
            <w:r w:rsidRPr="00001DCC">
              <w:t>0.819</w:t>
            </w:r>
            <w:r>
              <w:t xml:space="preserve">, </w:t>
            </w:r>
            <w:r w:rsidRPr="00001DCC">
              <w:t>p&lt;0.001</w:t>
            </w:r>
          </w:p>
        </w:tc>
      </w:tr>
    </w:tbl>
    <w:p w14:paraId="25A2C62F" w14:textId="64E44712" w:rsidR="00A81273" w:rsidRPr="00001DCC" w:rsidRDefault="00A81273" w:rsidP="00A81273">
      <w:pPr>
        <w:pStyle w:val="Tablenotes0"/>
      </w:pPr>
      <w:r w:rsidRPr="002A4F9A">
        <w:t xml:space="preserve">AFC = antral follicle count; AMH = anti-Müllerian hormone; EIA = enzyme Immunoassay; ELISA = enzyme-linked immunosorbent assay; </w:t>
      </w:r>
      <w:r>
        <w:t xml:space="preserve">k = number of studies; </w:t>
      </w:r>
      <w:r w:rsidRPr="002A4F9A">
        <w:t>MIS = Mü</w:t>
      </w:r>
      <w:r w:rsidR="005070FC">
        <w:t>llerian-inhibiting</w:t>
      </w:r>
      <w:r w:rsidRPr="002A4F9A">
        <w:t xml:space="preserve"> substance; OTC = o</w:t>
      </w:r>
      <w:r>
        <w:t>varian tissue cryopreservation;</w:t>
      </w:r>
      <w:r w:rsidRPr="002A4F9A">
        <w:t xml:space="preserve"> </w:t>
      </w:r>
      <w:r w:rsidRPr="00001DCC">
        <w:t>TVUS = transvaginal ultrasound</w:t>
      </w:r>
    </w:p>
    <w:p w14:paraId="7099C31A" w14:textId="77777777" w:rsidR="00A81273" w:rsidRPr="00001DCC" w:rsidRDefault="00A81273" w:rsidP="00A81273">
      <w:pPr>
        <w:pStyle w:val="TableHeading"/>
        <w:rPr>
          <w:lang w:eastAsia="en-US"/>
        </w:rPr>
      </w:pPr>
      <w:bookmarkStart w:id="551" w:name="_Toc502833111"/>
      <w:r>
        <w:t xml:space="preserve">Table </w:t>
      </w:r>
      <w:r w:rsidR="00AC4BE5">
        <w:fldChar w:fldCharType="begin"/>
      </w:r>
      <w:r w:rsidR="00AC4BE5">
        <w:instrText xml:space="preserve"> SEQ Table \* ARABIC </w:instrText>
      </w:r>
      <w:r w:rsidR="00AC4BE5">
        <w:fldChar w:fldCharType="separate"/>
      </w:r>
      <w:r w:rsidR="00AC4BE5">
        <w:rPr>
          <w:noProof/>
        </w:rPr>
        <w:t>93</w:t>
      </w:r>
      <w:r w:rsidR="00AC4BE5">
        <w:rPr>
          <w:noProof/>
        </w:rPr>
        <w:fldChar w:fldCharType="end"/>
      </w:r>
      <w:r>
        <w:tab/>
        <w:t xml:space="preserve">Correlation between </w:t>
      </w:r>
      <w:r w:rsidRPr="00001DCC">
        <w:rPr>
          <w:lang w:eastAsia="en-US"/>
        </w:rPr>
        <w:t>AMH and ovarian biopsy</w:t>
      </w:r>
      <w:r>
        <w:rPr>
          <w:lang w:eastAsia="en-US"/>
        </w:rPr>
        <w:t xml:space="preserve"> (primoidal follicle count)</w:t>
      </w:r>
      <w:bookmarkEnd w:id="551"/>
    </w:p>
    <w:tbl>
      <w:tblPr>
        <w:tblStyle w:val="TableGrid12"/>
        <w:tblW w:w="14454" w:type="dxa"/>
        <w:tblLook w:val="04A0" w:firstRow="1" w:lastRow="0" w:firstColumn="1" w:lastColumn="0" w:noHBand="0" w:noVBand="1"/>
        <w:tblCaption w:val="Correlation between AMH and ovarian biopsy (primoidal follicle count)"/>
        <w:tblDescription w:val="Correlation between AMH and ovarian biopsy (primoidal follicle count)"/>
      </w:tblPr>
      <w:tblGrid>
        <w:gridCol w:w="1129"/>
        <w:gridCol w:w="2835"/>
        <w:gridCol w:w="3969"/>
        <w:gridCol w:w="4536"/>
        <w:gridCol w:w="1985"/>
      </w:tblGrid>
      <w:tr w:rsidR="00A81273" w:rsidRPr="00001DCC" w14:paraId="464F37E0" w14:textId="77777777" w:rsidTr="00C22CC2">
        <w:trPr>
          <w:tblHeader/>
        </w:trPr>
        <w:tc>
          <w:tcPr>
            <w:tcW w:w="1129" w:type="dxa"/>
            <w:tcBorders>
              <w:bottom w:val="single" w:sz="4" w:space="0" w:color="auto"/>
            </w:tcBorders>
          </w:tcPr>
          <w:p w14:paraId="55DEA7F7" w14:textId="77777777" w:rsidR="00A81273" w:rsidRPr="004B7632" w:rsidRDefault="00A81273" w:rsidP="004B7632">
            <w:pPr>
              <w:pStyle w:val="Tabletext1"/>
              <w:rPr>
                <w:b/>
                <w:lang w:eastAsia="en-US"/>
              </w:rPr>
            </w:pPr>
            <w:r w:rsidRPr="004B7632">
              <w:rPr>
                <w:b/>
                <w:lang w:eastAsia="en-US"/>
              </w:rPr>
              <w:t>Study</w:t>
            </w:r>
          </w:p>
        </w:tc>
        <w:tc>
          <w:tcPr>
            <w:tcW w:w="2835" w:type="dxa"/>
            <w:tcBorders>
              <w:bottom w:val="single" w:sz="4" w:space="0" w:color="auto"/>
            </w:tcBorders>
          </w:tcPr>
          <w:p w14:paraId="59DEA1BF" w14:textId="77777777" w:rsidR="00A81273" w:rsidRPr="004B7632" w:rsidRDefault="00A81273" w:rsidP="004B7632">
            <w:pPr>
              <w:pStyle w:val="Tabletext1"/>
              <w:rPr>
                <w:b/>
                <w:lang w:eastAsia="en-US"/>
              </w:rPr>
            </w:pPr>
            <w:r w:rsidRPr="004B7632">
              <w:rPr>
                <w:b/>
                <w:lang w:eastAsia="en-US"/>
              </w:rPr>
              <w:t>Comparison</w:t>
            </w:r>
          </w:p>
        </w:tc>
        <w:tc>
          <w:tcPr>
            <w:tcW w:w="3969" w:type="dxa"/>
            <w:tcBorders>
              <w:bottom w:val="single" w:sz="4" w:space="0" w:color="auto"/>
            </w:tcBorders>
          </w:tcPr>
          <w:p w14:paraId="4CEFEF42" w14:textId="77777777" w:rsidR="00A81273" w:rsidRPr="004B7632" w:rsidRDefault="00A81273" w:rsidP="004B7632">
            <w:pPr>
              <w:pStyle w:val="Tabletext1"/>
              <w:rPr>
                <w:b/>
                <w:lang w:eastAsia="en-US"/>
              </w:rPr>
            </w:pPr>
            <w:r w:rsidRPr="004B7632">
              <w:rPr>
                <w:b/>
                <w:lang w:eastAsia="en-US"/>
              </w:rPr>
              <w:t>Population</w:t>
            </w:r>
          </w:p>
        </w:tc>
        <w:tc>
          <w:tcPr>
            <w:tcW w:w="4536" w:type="dxa"/>
            <w:tcBorders>
              <w:bottom w:val="single" w:sz="4" w:space="0" w:color="auto"/>
            </w:tcBorders>
          </w:tcPr>
          <w:p w14:paraId="2BBA8CC5" w14:textId="77777777" w:rsidR="00A81273" w:rsidRPr="004B7632" w:rsidRDefault="00A81273" w:rsidP="004B7632">
            <w:pPr>
              <w:pStyle w:val="Tabletext1"/>
              <w:rPr>
                <w:b/>
                <w:lang w:eastAsia="en-US"/>
              </w:rPr>
            </w:pPr>
            <w:r w:rsidRPr="004B7632">
              <w:rPr>
                <w:b/>
                <w:lang w:eastAsia="en-US"/>
              </w:rPr>
              <w:t>Correlation</w:t>
            </w:r>
          </w:p>
        </w:tc>
        <w:tc>
          <w:tcPr>
            <w:tcW w:w="1985" w:type="dxa"/>
            <w:tcBorders>
              <w:bottom w:val="single" w:sz="4" w:space="0" w:color="auto"/>
            </w:tcBorders>
          </w:tcPr>
          <w:p w14:paraId="2EB73A95" w14:textId="77777777" w:rsidR="00A81273" w:rsidRPr="004B7632" w:rsidRDefault="00A81273" w:rsidP="004B7632">
            <w:pPr>
              <w:pStyle w:val="Tabletext1"/>
              <w:rPr>
                <w:b/>
                <w:lang w:eastAsia="en-US"/>
              </w:rPr>
            </w:pPr>
            <w:r w:rsidRPr="004B7632">
              <w:rPr>
                <w:b/>
                <w:lang w:eastAsia="en-US"/>
              </w:rPr>
              <w:t>Coefficient</w:t>
            </w:r>
          </w:p>
        </w:tc>
      </w:tr>
      <w:tr w:rsidR="00A81273" w:rsidRPr="00001DCC" w14:paraId="5CA0B6C8" w14:textId="77777777" w:rsidTr="0070192D">
        <w:tc>
          <w:tcPr>
            <w:tcW w:w="1129" w:type="dxa"/>
            <w:tcBorders>
              <w:bottom w:val="single" w:sz="4" w:space="0" w:color="auto"/>
              <w:right w:val="nil"/>
            </w:tcBorders>
          </w:tcPr>
          <w:p w14:paraId="681F6CBB" w14:textId="77777777" w:rsidR="00A81273" w:rsidRPr="00A543FE" w:rsidRDefault="00A81273" w:rsidP="004B7632">
            <w:pPr>
              <w:pStyle w:val="Tabletext1"/>
              <w:rPr>
                <w:color w:val="FFFFFF" w:themeColor="background1"/>
                <w:lang w:eastAsia="en-US"/>
              </w:rPr>
            </w:pPr>
            <w:r w:rsidRPr="00A543FE">
              <w:rPr>
                <w:color w:val="FFFFFF" w:themeColor="background1"/>
                <w:lang w:eastAsia="en-US"/>
              </w:rPr>
              <w:lastRenderedPageBreak/>
              <w:t>-</w:t>
            </w:r>
          </w:p>
        </w:tc>
        <w:tc>
          <w:tcPr>
            <w:tcW w:w="2835" w:type="dxa"/>
            <w:tcBorders>
              <w:left w:val="nil"/>
              <w:bottom w:val="single" w:sz="4" w:space="0" w:color="auto"/>
              <w:right w:val="nil"/>
            </w:tcBorders>
          </w:tcPr>
          <w:p w14:paraId="189B3267" w14:textId="77777777" w:rsidR="00A81273" w:rsidRPr="00A543FE" w:rsidRDefault="00A81273" w:rsidP="004B7632">
            <w:pPr>
              <w:pStyle w:val="Tabletext1"/>
              <w:rPr>
                <w:color w:val="FFFFFF" w:themeColor="background1"/>
                <w:lang w:eastAsia="en-US"/>
              </w:rPr>
            </w:pPr>
          </w:p>
        </w:tc>
        <w:tc>
          <w:tcPr>
            <w:tcW w:w="3969" w:type="dxa"/>
            <w:tcBorders>
              <w:left w:val="nil"/>
              <w:bottom w:val="single" w:sz="4" w:space="0" w:color="auto"/>
              <w:right w:val="nil"/>
            </w:tcBorders>
          </w:tcPr>
          <w:p w14:paraId="14E9658C" w14:textId="77777777" w:rsidR="00A81273" w:rsidRPr="00237B58" w:rsidRDefault="00A81273" w:rsidP="004B7632">
            <w:pPr>
              <w:pStyle w:val="Tabletext1"/>
              <w:rPr>
                <w:color w:val="FFFFFF" w:themeColor="background1"/>
                <w:lang w:eastAsia="en-US"/>
              </w:rPr>
            </w:pPr>
            <w:r w:rsidRPr="00237B58">
              <w:rPr>
                <w:i/>
                <w:u w:val="single"/>
                <w:lang w:eastAsia="en-US"/>
              </w:rPr>
              <w:t>Pre-treatment</w:t>
            </w:r>
          </w:p>
        </w:tc>
        <w:tc>
          <w:tcPr>
            <w:tcW w:w="4536" w:type="dxa"/>
            <w:tcBorders>
              <w:left w:val="nil"/>
              <w:bottom w:val="single" w:sz="4" w:space="0" w:color="auto"/>
              <w:right w:val="nil"/>
            </w:tcBorders>
          </w:tcPr>
          <w:p w14:paraId="58E97450" w14:textId="77777777" w:rsidR="00A81273" w:rsidRPr="00001DCC" w:rsidRDefault="00A81273" w:rsidP="004B7632">
            <w:pPr>
              <w:pStyle w:val="Tabletext1"/>
              <w:rPr>
                <w:color w:val="FFFFFF"/>
                <w:lang w:eastAsia="en-US"/>
              </w:rPr>
            </w:pPr>
            <w:r w:rsidRPr="00001DCC">
              <w:rPr>
                <w:color w:val="FFFFFF"/>
                <w:lang w:eastAsia="en-US"/>
              </w:rPr>
              <w:t>-</w:t>
            </w:r>
          </w:p>
        </w:tc>
        <w:tc>
          <w:tcPr>
            <w:tcW w:w="1985" w:type="dxa"/>
            <w:tcBorders>
              <w:left w:val="nil"/>
              <w:bottom w:val="single" w:sz="4" w:space="0" w:color="auto"/>
            </w:tcBorders>
          </w:tcPr>
          <w:p w14:paraId="0F2013B5" w14:textId="77777777" w:rsidR="00A81273" w:rsidRPr="004B7632" w:rsidRDefault="00A81273" w:rsidP="004B7632">
            <w:pPr>
              <w:pStyle w:val="Tabletext1"/>
              <w:rPr>
                <w:b/>
                <w:i/>
                <w:color w:val="FFFFFF"/>
                <w:lang w:eastAsia="en-US"/>
              </w:rPr>
            </w:pPr>
            <w:r w:rsidRPr="004B7632">
              <w:rPr>
                <w:b/>
                <w:lang w:eastAsia="en-US"/>
              </w:rPr>
              <w:t>Pearson’s bivariate correlation</w:t>
            </w:r>
          </w:p>
        </w:tc>
      </w:tr>
      <w:tr w:rsidR="00A81273" w:rsidRPr="00001DCC" w14:paraId="5EB79337" w14:textId="77777777" w:rsidTr="0070192D">
        <w:tc>
          <w:tcPr>
            <w:tcW w:w="1129" w:type="dxa"/>
          </w:tcPr>
          <w:p w14:paraId="1C91010F" w14:textId="77777777" w:rsidR="00A81273" w:rsidRPr="00001DCC" w:rsidRDefault="00A81273" w:rsidP="004B7632">
            <w:pPr>
              <w:pStyle w:val="Tabletext1"/>
              <w:rPr>
                <w:lang w:eastAsia="en-US"/>
              </w:rPr>
            </w:pPr>
            <w:r>
              <w:rPr>
                <w:lang w:eastAsia="en-US"/>
              </w:rPr>
              <w:t>Fabbri et al. (2014)</w:t>
            </w:r>
          </w:p>
        </w:tc>
        <w:tc>
          <w:tcPr>
            <w:tcW w:w="2835" w:type="dxa"/>
          </w:tcPr>
          <w:p w14:paraId="01E24D3B" w14:textId="77777777" w:rsidR="00A81273" w:rsidRPr="00001DCC" w:rsidRDefault="00A81273" w:rsidP="004B7632">
            <w:pPr>
              <w:pStyle w:val="Tabletext1"/>
              <w:rPr>
                <w:lang w:eastAsia="en-US"/>
              </w:rPr>
            </w:pPr>
            <w:r w:rsidRPr="00001DCC">
              <w:rPr>
                <w:lang w:eastAsia="en-US"/>
              </w:rPr>
              <w:t>AMH Gen II ELISA</w:t>
            </w:r>
            <w:r>
              <w:rPr>
                <w:lang w:eastAsia="en-US"/>
              </w:rPr>
              <w:t xml:space="preserve"> versus</w:t>
            </w:r>
          </w:p>
          <w:p w14:paraId="61B98D6C" w14:textId="77777777" w:rsidR="00A81273" w:rsidRPr="00001DCC" w:rsidRDefault="00A81273" w:rsidP="004B7632">
            <w:pPr>
              <w:pStyle w:val="Tabletext1"/>
              <w:rPr>
                <w:lang w:eastAsia="en-US"/>
              </w:rPr>
            </w:pPr>
            <w:r w:rsidRPr="00001DCC">
              <w:rPr>
                <w:lang w:eastAsia="en-US"/>
              </w:rPr>
              <w:t>Primordial follicle count from biopsy</w:t>
            </w:r>
          </w:p>
        </w:tc>
        <w:tc>
          <w:tcPr>
            <w:tcW w:w="3969" w:type="dxa"/>
          </w:tcPr>
          <w:p w14:paraId="267362E5" w14:textId="77777777" w:rsidR="00A81273" w:rsidRPr="00001DCC" w:rsidRDefault="00A81273" w:rsidP="004B7632">
            <w:pPr>
              <w:pStyle w:val="Tabletext1"/>
              <w:rPr>
                <w:lang w:eastAsia="en-US"/>
              </w:rPr>
            </w:pPr>
            <w:r w:rsidRPr="00001DCC">
              <w:rPr>
                <w:lang w:eastAsia="en-US"/>
              </w:rPr>
              <w:t xml:space="preserve">86 women with various non-gynaecological malignancies who underwent </w:t>
            </w:r>
            <w:r>
              <w:rPr>
                <w:lang w:eastAsia="en-US"/>
              </w:rPr>
              <w:t>OTC</w:t>
            </w:r>
          </w:p>
        </w:tc>
        <w:tc>
          <w:tcPr>
            <w:tcW w:w="4536" w:type="dxa"/>
          </w:tcPr>
          <w:p w14:paraId="33A5C2EF" w14:textId="77777777" w:rsidR="00A81273" w:rsidRPr="00001DCC" w:rsidRDefault="00A81273" w:rsidP="004B7632">
            <w:pPr>
              <w:pStyle w:val="Tabletext1"/>
              <w:rPr>
                <w:i/>
                <w:lang w:eastAsia="en-US"/>
              </w:rPr>
            </w:pPr>
            <w:r w:rsidRPr="00001DCC">
              <w:rPr>
                <w:lang w:eastAsia="en-US"/>
              </w:rPr>
              <w:t>Density of primordial follicles positively correlated with AMH levels</w:t>
            </w:r>
          </w:p>
        </w:tc>
        <w:tc>
          <w:tcPr>
            <w:tcW w:w="1985" w:type="dxa"/>
          </w:tcPr>
          <w:p w14:paraId="79341932" w14:textId="370DA3C2" w:rsidR="00A81273" w:rsidRPr="00001DCC" w:rsidRDefault="00A81273" w:rsidP="004B7632">
            <w:pPr>
              <w:pStyle w:val="Tabletext1"/>
              <w:rPr>
                <w:lang w:eastAsia="en-US"/>
              </w:rPr>
            </w:pPr>
            <w:r w:rsidRPr="00EB382C">
              <w:rPr>
                <w:lang w:eastAsia="en-US"/>
              </w:rPr>
              <w:t>r</w:t>
            </w:r>
            <w:r w:rsidR="00EB382C">
              <w:rPr>
                <w:lang w:eastAsia="en-US"/>
              </w:rPr>
              <w:t>=</w:t>
            </w:r>
            <w:r w:rsidRPr="00001DCC">
              <w:rPr>
                <w:lang w:eastAsia="en-US"/>
              </w:rPr>
              <w:t>0.23</w:t>
            </w:r>
            <w:r>
              <w:rPr>
                <w:lang w:eastAsia="en-US"/>
              </w:rPr>
              <w:t xml:space="preserve">, </w:t>
            </w:r>
            <w:r w:rsidRPr="00001DCC">
              <w:rPr>
                <w:lang w:eastAsia="en-US"/>
              </w:rPr>
              <w:t>p=0.03</w:t>
            </w:r>
          </w:p>
        </w:tc>
      </w:tr>
    </w:tbl>
    <w:p w14:paraId="43978F27" w14:textId="77777777" w:rsidR="00A81273" w:rsidRDefault="00A81273" w:rsidP="00A81273">
      <w:pPr>
        <w:pStyle w:val="Tablenotes0"/>
      </w:pPr>
      <w:r>
        <w:t>AMH = anti-Müllerian hormone; ELISA = enzyme-linked immunosorbent assay; OTC = o</w:t>
      </w:r>
      <w:r w:rsidRPr="009A4F4C">
        <w:t>varian tissue cryopreservation</w:t>
      </w:r>
    </w:p>
    <w:p w14:paraId="285BB3C5" w14:textId="77777777" w:rsidR="00A81273" w:rsidRPr="00001DCC" w:rsidRDefault="00A81273" w:rsidP="00A81273">
      <w:pPr>
        <w:pStyle w:val="TableHeading"/>
        <w:rPr>
          <w:lang w:eastAsia="en-US"/>
        </w:rPr>
      </w:pPr>
      <w:bookmarkStart w:id="552" w:name="_Toc502833112"/>
      <w:r>
        <w:t xml:space="preserve">Table </w:t>
      </w:r>
      <w:r w:rsidR="00AC4BE5">
        <w:fldChar w:fldCharType="begin"/>
      </w:r>
      <w:r w:rsidR="00AC4BE5">
        <w:instrText xml:space="preserve"> SEQ Table \* ARABIC </w:instrText>
      </w:r>
      <w:r w:rsidR="00AC4BE5">
        <w:fldChar w:fldCharType="separate"/>
      </w:r>
      <w:r w:rsidR="00AC4BE5">
        <w:rPr>
          <w:noProof/>
        </w:rPr>
        <w:t>94</w:t>
      </w:r>
      <w:r w:rsidR="00AC4BE5">
        <w:rPr>
          <w:noProof/>
        </w:rPr>
        <w:fldChar w:fldCharType="end"/>
      </w:r>
      <w:r>
        <w:tab/>
        <w:t xml:space="preserve">Correlation between </w:t>
      </w:r>
      <w:r w:rsidRPr="00001DCC">
        <w:rPr>
          <w:lang w:eastAsia="en-US"/>
        </w:rPr>
        <w:t xml:space="preserve">AMH and </w:t>
      </w:r>
      <w:r>
        <w:rPr>
          <w:lang w:eastAsia="en-US"/>
        </w:rPr>
        <w:t>FSH levels</w:t>
      </w:r>
      <w:bookmarkEnd w:id="552"/>
    </w:p>
    <w:tbl>
      <w:tblPr>
        <w:tblStyle w:val="TableGrid13"/>
        <w:tblW w:w="14454" w:type="dxa"/>
        <w:tblLook w:val="04A0" w:firstRow="1" w:lastRow="0" w:firstColumn="1" w:lastColumn="0" w:noHBand="0" w:noVBand="1"/>
        <w:tblCaption w:val="Correlation between AMH and FSH levels"/>
        <w:tblDescription w:val="Correlation between AMH and FSH levels"/>
      </w:tblPr>
      <w:tblGrid>
        <w:gridCol w:w="1129"/>
        <w:gridCol w:w="2835"/>
        <w:gridCol w:w="3969"/>
        <w:gridCol w:w="4536"/>
        <w:gridCol w:w="1985"/>
      </w:tblGrid>
      <w:tr w:rsidR="00A81273" w:rsidRPr="00251D59" w14:paraId="1BD9A3DF" w14:textId="77777777" w:rsidTr="00C22CC2">
        <w:trPr>
          <w:tblHeader/>
        </w:trPr>
        <w:tc>
          <w:tcPr>
            <w:tcW w:w="1129" w:type="dxa"/>
            <w:tcBorders>
              <w:bottom w:val="single" w:sz="4" w:space="0" w:color="auto"/>
            </w:tcBorders>
          </w:tcPr>
          <w:p w14:paraId="610C55EB" w14:textId="77777777" w:rsidR="00A81273" w:rsidRPr="004B7632" w:rsidRDefault="00A81273" w:rsidP="004B7632">
            <w:pPr>
              <w:pStyle w:val="Tabletext1"/>
              <w:rPr>
                <w:b/>
                <w:lang w:eastAsia="en-US"/>
              </w:rPr>
            </w:pPr>
            <w:r w:rsidRPr="004B7632">
              <w:rPr>
                <w:b/>
                <w:lang w:eastAsia="en-US"/>
              </w:rPr>
              <w:t>Study</w:t>
            </w:r>
          </w:p>
        </w:tc>
        <w:tc>
          <w:tcPr>
            <w:tcW w:w="2835" w:type="dxa"/>
            <w:tcBorders>
              <w:bottom w:val="single" w:sz="4" w:space="0" w:color="auto"/>
            </w:tcBorders>
          </w:tcPr>
          <w:p w14:paraId="314911E8" w14:textId="77777777" w:rsidR="00A81273" w:rsidRPr="004B7632" w:rsidRDefault="00A81273" w:rsidP="004B7632">
            <w:pPr>
              <w:pStyle w:val="Tabletext1"/>
              <w:rPr>
                <w:b/>
                <w:lang w:eastAsia="en-US"/>
              </w:rPr>
            </w:pPr>
          </w:p>
        </w:tc>
        <w:tc>
          <w:tcPr>
            <w:tcW w:w="3969" w:type="dxa"/>
            <w:tcBorders>
              <w:bottom w:val="single" w:sz="4" w:space="0" w:color="auto"/>
            </w:tcBorders>
          </w:tcPr>
          <w:p w14:paraId="5B40BC95" w14:textId="77777777" w:rsidR="00A81273" w:rsidRPr="004B7632" w:rsidRDefault="00A81273" w:rsidP="004B7632">
            <w:pPr>
              <w:pStyle w:val="Tabletext1"/>
              <w:rPr>
                <w:b/>
                <w:lang w:eastAsia="en-US"/>
              </w:rPr>
            </w:pPr>
            <w:r w:rsidRPr="004B7632">
              <w:rPr>
                <w:b/>
                <w:lang w:eastAsia="en-US"/>
              </w:rPr>
              <w:t>Population</w:t>
            </w:r>
          </w:p>
        </w:tc>
        <w:tc>
          <w:tcPr>
            <w:tcW w:w="4536" w:type="dxa"/>
            <w:tcBorders>
              <w:bottom w:val="single" w:sz="4" w:space="0" w:color="auto"/>
            </w:tcBorders>
          </w:tcPr>
          <w:p w14:paraId="5D8F8F05" w14:textId="77777777" w:rsidR="00A81273" w:rsidRPr="004B7632" w:rsidRDefault="00A81273" w:rsidP="004B7632">
            <w:pPr>
              <w:pStyle w:val="Tabletext1"/>
              <w:rPr>
                <w:b/>
                <w:lang w:eastAsia="en-US"/>
              </w:rPr>
            </w:pPr>
            <w:r w:rsidRPr="004B7632">
              <w:rPr>
                <w:b/>
                <w:lang w:eastAsia="en-US"/>
              </w:rPr>
              <w:t>Correlation</w:t>
            </w:r>
          </w:p>
        </w:tc>
        <w:tc>
          <w:tcPr>
            <w:tcW w:w="1985" w:type="dxa"/>
            <w:tcBorders>
              <w:bottom w:val="single" w:sz="4" w:space="0" w:color="auto"/>
            </w:tcBorders>
          </w:tcPr>
          <w:p w14:paraId="676EAC6C" w14:textId="77777777" w:rsidR="00A81273" w:rsidRPr="004B7632" w:rsidRDefault="00A81273" w:rsidP="004B7632">
            <w:pPr>
              <w:pStyle w:val="Tabletext1"/>
              <w:rPr>
                <w:b/>
                <w:lang w:eastAsia="en-US"/>
              </w:rPr>
            </w:pPr>
            <w:r w:rsidRPr="004B7632">
              <w:rPr>
                <w:b/>
                <w:lang w:eastAsia="en-US"/>
              </w:rPr>
              <w:t>Coefficient</w:t>
            </w:r>
          </w:p>
        </w:tc>
      </w:tr>
      <w:tr w:rsidR="00A81273" w:rsidRPr="00251D59" w14:paraId="6FA6609F" w14:textId="77777777" w:rsidTr="00D77D42">
        <w:tc>
          <w:tcPr>
            <w:tcW w:w="1129" w:type="dxa"/>
            <w:tcBorders>
              <w:bottom w:val="single" w:sz="4" w:space="0" w:color="auto"/>
              <w:right w:val="nil"/>
            </w:tcBorders>
          </w:tcPr>
          <w:p w14:paraId="0770666D" w14:textId="77777777" w:rsidR="00A81273" w:rsidRPr="00EB4396" w:rsidRDefault="00A81273" w:rsidP="004B7632">
            <w:pPr>
              <w:pStyle w:val="Tabletext1"/>
              <w:rPr>
                <w:color w:val="FFFFFF" w:themeColor="background1"/>
                <w:lang w:eastAsia="en-US"/>
              </w:rPr>
            </w:pPr>
            <w:r w:rsidRPr="00EB4396">
              <w:rPr>
                <w:color w:val="FFFFFF" w:themeColor="background1"/>
                <w:lang w:eastAsia="en-US"/>
              </w:rPr>
              <w:t>-</w:t>
            </w:r>
          </w:p>
        </w:tc>
        <w:tc>
          <w:tcPr>
            <w:tcW w:w="2835" w:type="dxa"/>
            <w:tcBorders>
              <w:left w:val="nil"/>
              <w:bottom w:val="single" w:sz="4" w:space="0" w:color="auto"/>
              <w:right w:val="nil"/>
            </w:tcBorders>
          </w:tcPr>
          <w:p w14:paraId="7E1610DA" w14:textId="77777777" w:rsidR="00A81273" w:rsidRPr="00EB4396" w:rsidRDefault="00A81273" w:rsidP="004B7632">
            <w:pPr>
              <w:pStyle w:val="Tabletext1"/>
              <w:rPr>
                <w:color w:val="FFFFFF" w:themeColor="background1"/>
                <w:lang w:eastAsia="en-US"/>
              </w:rPr>
            </w:pPr>
          </w:p>
        </w:tc>
        <w:tc>
          <w:tcPr>
            <w:tcW w:w="3969" w:type="dxa"/>
            <w:tcBorders>
              <w:left w:val="nil"/>
              <w:bottom w:val="single" w:sz="4" w:space="0" w:color="auto"/>
              <w:right w:val="nil"/>
            </w:tcBorders>
          </w:tcPr>
          <w:p w14:paraId="2F91704F" w14:textId="77777777" w:rsidR="00A81273" w:rsidRPr="00237B58" w:rsidRDefault="00A81273" w:rsidP="004B7632">
            <w:pPr>
              <w:pStyle w:val="Tabletext1"/>
              <w:rPr>
                <w:color w:val="FFFFFF" w:themeColor="background1"/>
                <w:lang w:eastAsia="en-US"/>
              </w:rPr>
            </w:pPr>
            <w:r w:rsidRPr="00237B58">
              <w:rPr>
                <w:i/>
                <w:u w:val="single"/>
                <w:lang w:eastAsia="en-US"/>
              </w:rPr>
              <w:t>Pre-treatment</w:t>
            </w:r>
          </w:p>
        </w:tc>
        <w:tc>
          <w:tcPr>
            <w:tcW w:w="4536" w:type="dxa"/>
            <w:tcBorders>
              <w:left w:val="nil"/>
              <w:bottom w:val="single" w:sz="4" w:space="0" w:color="auto"/>
              <w:right w:val="nil"/>
            </w:tcBorders>
          </w:tcPr>
          <w:p w14:paraId="798E5CF0" w14:textId="77777777" w:rsidR="00A81273" w:rsidRPr="00237B58" w:rsidRDefault="00A81273" w:rsidP="004B7632">
            <w:pPr>
              <w:pStyle w:val="Tabletext1"/>
              <w:rPr>
                <w:color w:val="FFFFFF" w:themeColor="background1"/>
                <w:lang w:eastAsia="en-US"/>
              </w:rPr>
            </w:pPr>
            <w:r w:rsidRPr="00237B58">
              <w:rPr>
                <w:color w:val="FFFFFF" w:themeColor="background1"/>
                <w:lang w:eastAsia="en-US"/>
              </w:rPr>
              <w:t>--</w:t>
            </w:r>
          </w:p>
        </w:tc>
        <w:tc>
          <w:tcPr>
            <w:tcW w:w="1985" w:type="dxa"/>
            <w:tcBorders>
              <w:left w:val="nil"/>
              <w:bottom w:val="single" w:sz="4" w:space="0" w:color="auto"/>
            </w:tcBorders>
          </w:tcPr>
          <w:p w14:paraId="65906603" w14:textId="77777777" w:rsidR="00A81273" w:rsidRPr="004B7632" w:rsidRDefault="00A81273" w:rsidP="004B7632">
            <w:pPr>
              <w:pStyle w:val="Tabletext1"/>
              <w:rPr>
                <w:b/>
                <w:color w:val="FFFFFF"/>
                <w:lang w:eastAsia="en-US"/>
              </w:rPr>
            </w:pPr>
            <w:r w:rsidRPr="004B7632">
              <w:rPr>
                <w:b/>
                <w:lang w:eastAsia="en-US"/>
              </w:rPr>
              <w:t>Spearman’s rank correlation</w:t>
            </w:r>
          </w:p>
        </w:tc>
      </w:tr>
      <w:tr w:rsidR="00A81273" w:rsidRPr="00251D59" w14:paraId="4718F0E6" w14:textId="77777777" w:rsidTr="00D77D42">
        <w:tc>
          <w:tcPr>
            <w:tcW w:w="1129" w:type="dxa"/>
          </w:tcPr>
          <w:p w14:paraId="5CD5A44D" w14:textId="77777777" w:rsidR="00A81273" w:rsidRPr="00251D59" w:rsidRDefault="00A81273" w:rsidP="004B7632">
            <w:pPr>
              <w:pStyle w:val="Tabletext1"/>
              <w:rPr>
                <w:lang w:eastAsia="en-US"/>
              </w:rPr>
            </w:pPr>
            <w:r>
              <w:rPr>
                <w:lang w:eastAsia="en-US"/>
              </w:rPr>
              <w:t>Fabbri et al. (2014)</w:t>
            </w:r>
          </w:p>
        </w:tc>
        <w:tc>
          <w:tcPr>
            <w:tcW w:w="2835" w:type="dxa"/>
          </w:tcPr>
          <w:p w14:paraId="0B0D1796" w14:textId="77777777" w:rsidR="00A81273" w:rsidRPr="00251D59" w:rsidRDefault="00A81273" w:rsidP="004B7632">
            <w:pPr>
              <w:pStyle w:val="Tabletext1"/>
              <w:rPr>
                <w:lang w:eastAsia="en-US"/>
              </w:rPr>
            </w:pPr>
            <w:r w:rsidRPr="00251D59">
              <w:rPr>
                <w:lang w:eastAsia="en-US"/>
              </w:rPr>
              <w:t>AMH Gen II ELISA</w:t>
            </w:r>
            <w:r>
              <w:rPr>
                <w:lang w:eastAsia="en-US"/>
              </w:rPr>
              <w:t xml:space="preserve"> versus</w:t>
            </w:r>
          </w:p>
          <w:p w14:paraId="104E8167" w14:textId="77777777" w:rsidR="00A81273" w:rsidRPr="00251D59" w:rsidRDefault="00A81273" w:rsidP="004B7632">
            <w:pPr>
              <w:pStyle w:val="Tabletext1"/>
              <w:rPr>
                <w:lang w:eastAsia="en-US"/>
              </w:rPr>
            </w:pPr>
            <w:r w:rsidRPr="00251D59">
              <w:rPr>
                <w:lang w:eastAsia="en-US"/>
              </w:rPr>
              <w:t>FSH Elecsys assay</w:t>
            </w:r>
          </w:p>
        </w:tc>
        <w:tc>
          <w:tcPr>
            <w:tcW w:w="3969" w:type="dxa"/>
          </w:tcPr>
          <w:p w14:paraId="2EC710D4" w14:textId="77777777" w:rsidR="00A81273" w:rsidRPr="00251D59" w:rsidRDefault="00A81273" w:rsidP="004B7632">
            <w:pPr>
              <w:pStyle w:val="Tabletext1"/>
              <w:rPr>
                <w:lang w:eastAsia="en-US"/>
              </w:rPr>
            </w:pPr>
            <w:r w:rsidRPr="00251D59">
              <w:rPr>
                <w:lang w:eastAsia="en-US"/>
              </w:rPr>
              <w:t xml:space="preserve">86 women with various non-gynaecological malignancies who underwent </w:t>
            </w:r>
            <w:r>
              <w:rPr>
                <w:lang w:eastAsia="en-US"/>
              </w:rPr>
              <w:t>OTC</w:t>
            </w:r>
          </w:p>
        </w:tc>
        <w:tc>
          <w:tcPr>
            <w:tcW w:w="4536" w:type="dxa"/>
          </w:tcPr>
          <w:p w14:paraId="25DD68A3" w14:textId="77777777" w:rsidR="00A81273" w:rsidRPr="00251D59" w:rsidRDefault="00A81273" w:rsidP="004B7632">
            <w:pPr>
              <w:pStyle w:val="Tabletext1"/>
              <w:rPr>
                <w:lang w:eastAsia="en-US"/>
              </w:rPr>
            </w:pPr>
            <w:r w:rsidRPr="00251D59">
              <w:rPr>
                <w:lang w:eastAsia="en-US"/>
              </w:rPr>
              <w:t>Spearman’s test found no significant correlation was found between early follicular phase AMH and FSH levels</w:t>
            </w:r>
          </w:p>
        </w:tc>
        <w:tc>
          <w:tcPr>
            <w:tcW w:w="1985" w:type="dxa"/>
          </w:tcPr>
          <w:p w14:paraId="3A0403F7" w14:textId="77777777" w:rsidR="00A81273" w:rsidRPr="00251D59" w:rsidRDefault="00A81273" w:rsidP="004B7632">
            <w:pPr>
              <w:pStyle w:val="Tabletext1"/>
              <w:rPr>
                <w:lang w:eastAsia="en-US"/>
              </w:rPr>
            </w:pPr>
            <w:r w:rsidRPr="00251D59">
              <w:rPr>
                <w:lang w:eastAsia="en-US"/>
              </w:rPr>
              <w:t>NS</w:t>
            </w:r>
          </w:p>
        </w:tc>
      </w:tr>
      <w:tr w:rsidR="00A81273" w:rsidRPr="00251D59" w14:paraId="2F781219" w14:textId="77777777" w:rsidTr="00D77D42">
        <w:tc>
          <w:tcPr>
            <w:tcW w:w="1129" w:type="dxa"/>
          </w:tcPr>
          <w:p w14:paraId="22DE7D0D" w14:textId="77777777" w:rsidR="00A81273" w:rsidRPr="00251D59" w:rsidRDefault="00A81273" w:rsidP="004B7632">
            <w:pPr>
              <w:pStyle w:val="Tabletext1"/>
              <w:rPr>
                <w:lang w:eastAsia="en-US"/>
              </w:rPr>
            </w:pPr>
            <w:r w:rsidRPr="00251D59">
              <w:rPr>
                <w:lang w:eastAsia="en-US"/>
              </w:rPr>
              <w:t>Lee et al. (201</w:t>
            </w:r>
            <w:r>
              <w:rPr>
                <w:lang w:eastAsia="en-US"/>
              </w:rPr>
              <w:t>1)</w:t>
            </w:r>
          </w:p>
        </w:tc>
        <w:tc>
          <w:tcPr>
            <w:tcW w:w="2835" w:type="dxa"/>
          </w:tcPr>
          <w:p w14:paraId="4C7018DD" w14:textId="77777777" w:rsidR="00A81273" w:rsidRPr="00251D59" w:rsidRDefault="00A81273" w:rsidP="004B7632">
            <w:pPr>
              <w:pStyle w:val="Tabletext1"/>
              <w:rPr>
                <w:lang w:eastAsia="en-US"/>
              </w:rPr>
            </w:pPr>
            <w:r w:rsidRPr="00251D59">
              <w:rPr>
                <w:lang w:eastAsia="en-US"/>
              </w:rPr>
              <w:t>DSL ACTIVE</w:t>
            </w:r>
            <w:r w:rsidRPr="00251D59">
              <w:rPr>
                <w:vertAlign w:val="superscript"/>
                <w:lang w:eastAsia="en-US"/>
              </w:rPr>
              <w:t>®</w:t>
            </w:r>
            <w:r w:rsidRPr="00251D59">
              <w:rPr>
                <w:lang w:eastAsia="en-US"/>
              </w:rPr>
              <w:t xml:space="preserve"> AMH ELISA</w:t>
            </w:r>
            <w:r>
              <w:rPr>
                <w:lang w:eastAsia="en-US"/>
              </w:rPr>
              <w:t xml:space="preserve"> versus</w:t>
            </w:r>
          </w:p>
          <w:p w14:paraId="0376B885" w14:textId="77777777" w:rsidR="00A81273" w:rsidRPr="00251D59" w:rsidRDefault="00A81273" w:rsidP="004B7632">
            <w:pPr>
              <w:pStyle w:val="Tabletext1"/>
              <w:rPr>
                <w:lang w:eastAsia="en-US"/>
              </w:rPr>
            </w:pPr>
            <w:r w:rsidRPr="00251D59">
              <w:rPr>
                <w:lang w:eastAsia="en-US"/>
              </w:rPr>
              <w:t>FSH assay not reported</w:t>
            </w:r>
          </w:p>
        </w:tc>
        <w:tc>
          <w:tcPr>
            <w:tcW w:w="3969" w:type="dxa"/>
          </w:tcPr>
          <w:p w14:paraId="7C917ECF" w14:textId="77777777" w:rsidR="00A81273" w:rsidRPr="00251D59" w:rsidRDefault="00A81273" w:rsidP="004B7632">
            <w:pPr>
              <w:pStyle w:val="Tabletext1"/>
              <w:rPr>
                <w:lang w:eastAsia="en-US"/>
              </w:rPr>
            </w:pPr>
            <w:r w:rsidRPr="00251D59">
              <w:rPr>
                <w:lang w:eastAsia="en-US"/>
              </w:rPr>
              <w:t>41 women with breast cancer before adjuvant treatment</w:t>
            </w:r>
          </w:p>
        </w:tc>
        <w:tc>
          <w:tcPr>
            <w:tcW w:w="4536" w:type="dxa"/>
          </w:tcPr>
          <w:p w14:paraId="74BAC9C0" w14:textId="77777777" w:rsidR="00A81273" w:rsidRPr="00251D59" w:rsidRDefault="00A81273" w:rsidP="004B7632">
            <w:pPr>
              <w:pStyle w:val="Tabletext1"/>
              <w:rPr>
                <w:lang w:eastAsia="en-US"/>
              </w:rPr>
            </w:pPr>
            <w:r w:rsidRPr="00251D59">
              <w:rPr>
                <w:lang w:eastAsia="en-US"/>
              </w:rPr>
              <w:t>The was a negative correlation between early follicular phase serum levels of AMH and FSH</w:t>
            </w:r>
          </w:p>
        </w:tc>
        <w:tc>
          <w:tcPr>
            <w:tcW w:w="1985" w:type="dxa"/>
          </w:tcPr>
          <w:p w14:paraId="3CDAC303" w14:textId="4C5FB387" w:rsidR="00A81273" w:rsidRPr="00251D59" w:rsidRDefault="00EB382C" w:rsidP="004B7632">
            <w:pPr>
              <w:pStyle w:val="Tabletext1"/>
              <w:rPr>
                <w:lang w:eastAsia="en-US"/>
              </w:rPr>
            </w:pPr>
            <w:r>
              <w:rPr>
                <w:lang w:eastAsia="en-US"/>
              </w:rPr>
              <w:t>rho= -</w:t>
            </w:r>
            <w:r w:rsidR="00A81273" w:rsidRPr="00251D59">
              <w:rPr>
                <w:lang w:eastAsia="en-US"/>
              </w:rPr>
              <w:t>0.47</w:t>
            </w:r>
            <w:r w:rsidR="00A81273">
              <w:rPr>
                <w:lang w:eastAsia="en-US"/>
              </w:rPr>
              <w:t xml:space="preserve">, </w:t>
            </w:r>
            <w:r w:rsidR="00A81273" w:rsidRPr="00251D59">
              <w:rPr>
                <w:lang w:eastAsia="en-US"/>
              </w:rPr>
              <w:t>p&lt;0.0001</w:t>
            </w:r>
          </w:p>
        </w:tc>
      </w:tr>
      <w:tr w:rsidR="00A81273" w:rsidRPr="00251D59" w14:paraId="1E4ECE3C" w14:textId="77777777" w:rsidTr="00D77D42">
        <w:tc>
          <w:tcPr>
            <w:tcW w:w="1129" w:type="dxa"/>
            <w:tcBorders>
              <w:bottom w:val="single" w:sz="4" w:space="0" w:color="auto"/>
            </w:tcBorders>
          </w:tcPr>
          <w:p w14:paraId="2C5B11EA" w14:textId="77777777" w:rsidR="00A81273" w:rsidRPr="00251D59" w:rsidRDefault="00A81273" w:rsidP="004B7632">
            <w:pPr>
              <w:pStyle w:val="Tabletext1"/>
              <w:rPr>
                <w:lang w:eastAsia="en-US"/>
              </w:rPr>
            </w:pPr>
            <w:r>
              <w:rPr>
                <w:lang w:eastAsia="en-US"/>
              </w:rPr>
              <w:t>Paradisi et al. (2016)</w:t>
            </w:r>
          </w:p>
        </w:tc>
        <w:tc>
          <w:tcPr>
            <w:tcW w:w="2835" w:type="dxa"/>
            <w:tcBorders>
              <w:bottom w:val="single" w:sz="4" w:space="0" w:color="auto"/>
            </w:tcBorders>
          </w:tcPr>
          <w:p w14:paraId="3CCB06C4" w14:textId="77777777" w:rsidR="00A81273" w:rsidRPr="00251D59" w:rsidRDefault="00A81273" w:rsidP="004B7632">
            <w:pPr>
              <w:pStyle w:val="Tabletext1"/>
              <w:rPr>
                <w:lang w:eastAsia="en-US"/>
              </w:rPr>
            </w:pPr>
            <w:r w:rsidRPr="00251D59">
              <w:rPr>
                <w:lang w:eastAsia="en-US"/>
              </w:rPr>
              <w:t xml:space="preserve">AMH Gen II ELISA </w:t>
            </w:r>
            <w:r>
              <w:rPr>
                <w:lang w:eastAsia="en-US"/>
              </w:rPr>
              <w:t>versus</w:t>
            </w:r>
          </w:p>
          <w:p w14:paraId="53CF4EFD" w14:textId="77777777" w:rsidR="00A81273" w:rsidRPr="00251D59" w:rsidRDefault="00A81273" w:rsidP="004B7632">
            <w:pPr>
              <w:pStyle w:val="Tabletext1"/>
              <w:rPr>
                <w:lang w:eastAsia="en-US"/>
              </w:rPr>
            </w:pPr>
            <w:r w:rsidRPr="00251D59">
              <w:rPr>
                <w:lang w:eastAsia="en-US"/>
              </w:rPr>
              <w:t>FSH Elecsys assay</w:t>
            </w:r>
          </w:p>
        </w:tc>
        <w:tc>
          <w:tcPr>
            <w:tcW w:w="3969" w:type="dxa"/>
            <w:tcBorders>
              <w:bottom w:val="single" w:sz="4" w:space="0" w:color="auto"/>
            </w:tcBorders>
          </w:tcPr>
          <w:p w14:paraId="53162C2E" w14:textId="77777777" w:rsidR="00A81273" w:rsidRPr="00251D59" w:rsidRDefault="00A81273" w:rsidP="004B7632">
            <w:pPr>
              <w:pStyle w:val="Tabletext1"/>
              <w:rPr>
                <w:lang w:eastAsia="en-US"/>
              </w:rPr>
            </w:pPr>
            <w:r w:rsidRPr="00251D59">
              <w:rPr>
                <w:lang w:eastAsia="en-US"/>
              </w:rPr>
              <w:t>191 cancer patients before chemo-radiotherapy and OTC and 43 controls</w:t>
            </w:r>
          </w:p>
        </w:tc>
        <w:tc>
          <w:tcPr>
            <w:tcW w:w="4536" w:type="dxa"/>
            <w:tcBorders>
              <w:bottom w:val="single" w:sz="4" w:space="0" w:color="auto"/>
            </w:tcBorders>
          </w:tcPr>
          <w:p w14:paraId="14A9CC9C" w14:textId="77777777" w:rsidR="00A81273" w:rsidRPr="00251D59" w:rsidRDefault="00A81273" w:rsidP="004B7632">
            <w:pPr>
              <w:pStyle w:val="Tabletext1"/>
              <w:rPr>
                <w:lang w:eastAsia="en-US"/>
              </w:rPr>
            </w:pPr>
            <w:r w:rsidRPr="00251D59">
              <w:rPr>
                <w:lang w:eastAsia="en-US"/>
              </w:rPr>
              <w:t>Spearman’s test found no correlation between serum levels of AMH and FSH throughout the whole menstrual cycle in the entire study population</w:t>
            </w:r>
          </w:p>
        </w:tc>
        <w:tc>
          <w:tcPr>
            <w:tcW w:w="1985" w:type="dxa"/>
            <w:tcBorders>
              <w:bottom w:val="single" w:sz="4" w:space="0" w:color="auto"/>
            </w:tcBorders>
          </w:tcPr>
          <w:p w14:paraId="511B45BA" w14:textId="77777777" w:rsidR="00A81273" w:rsidRPr="00251D59" w:rsidRDefault="00A81273" w:rsidP="004B7632">
            <w:pPr>
              <w:pStyle w:val="Tabletext1"/>
              <w:rPr>
                <w:lang w:eastAsia="en-US"/>
              </w:rPr>
            </w:pPr>
            <w:r w:rsidRPr="00251D59">
              <w:rPr>
                <w:lang w:eastAsia="en-US"/>
              </w:rPr>
              <w:t>NS: p&gt;0.05</w:t>
            </w:r>
          </w:p>
        </w:tc>
      </w:tr>
      <w:tr w:rsidR="00A81273" w:rsidRPr="00237B58" w14:paraId="7FA96460" w14:textId="77777777" w:rsidTr="00D77D42">
        <w:tc>
          <w:tcPr>
            <w:tcW w:w="1129" w:type="dxa"/>
            <w:tcBorders>
              <w:right w:val="nil"/>
            </w:tcBorders>
          </w:tcPr>
          <w:p w14:paraId="504A8938" w14:textId="77777777" w:rsidR="00A81273" w:rsidRPr="00EB4396" w:rsidRDefault="00A81273" w:rsidP="004B7632">
            <w:pPr>
              <w:pStyle w:val="Tabletext1"/>
              <w:rPr>
                <w:i/>
                <w:color w:val="FFFFFF" w:themeColor="background1"/>
                <w:u w:val="single"/>
                <w:lang w:eastAsia="en-US"/>
              </w:rPr>
            </w:pPr>
            <w:r w:rsidRPr="00EB4396">
              <w:rPr>
                <w:i/>
                <w:color w:val="FFFFFF" w:themeColor="background1"/>
                <w:u w:val="single"/>
                <w:lang w:eastAsia="en-US"/>
              </w:rPr>
              <w:t>-</w:t>
            </w:r>
          </w:p>
        </w:tc>
        <w:tc>
          <w:tcPr>
            <w:tcW w:w="2835" w:type="dxa"/>
            <w:tcBorders>
              <w:left w:val="nil"/>
              <w:right w:val="nil"/>
            </w:tcBorders>
          </w:tcPr>
          <w:p w14:paraId="567F16BD" w14:textId="77777777" w:rsidR="00A81273" w:rsidRPr="00EB4396" w:rsidRDefault="00A81273" w:rsidP="004B7632">
            <w:pPr>
              <w:pStyle w:val="Tabletext1"/>
              <w:rPr>
                <w:i/>
                <w:color w:val="FFFFFF" w:themeColor="background1"/>
                <w:u w:val="single"/>
                <w:lang w:eastAsia="en-US"/>
              </w:rPr>
            </w:pPr>
          </w:p>
        </w:tc>
        <w:tc>
          <w:tcPr>
            <w:tcW w:w="3969" w:type="dxa"/>
            <w:tcBorders>
              <w:left w:val="nil"/>
              <w:right w:val="nil"/>
            </w:tcBorders>
          </w:tcPr>
          <w:p w14:paraId="649831FD" w14:textId="4AB8839A" w:rsidR="00A81273" w:rsidRPr="00237B58" w:rsidRDefault="00A81273" w:rsidP="004B7632">
            <w:pPr>
              <w:pStyle w:val="Tabletext1"/>
              <w:rPr>
                <w:i/>
                <w:color w:val="FFFFFF" w:themeColor="background1"/>
                <w:u w:val="single"/>
                <w:lang w:eastAsia="en-US"/>
              </w:rPr>
            </w:pPr>
            <w:r w:rsidRPr="00237B58">
              <w:rPr>
                <w:i/>
                <w:u w:val="single"/>
                <w:lang w:eastAsia="en-US"/>
              </w:rPr>
              <w:t>Post-treatment</w:t>
            </w:r>
          </w:p>
        </w:tc>
        <w:tc>
          <w:tcPr>
            <w:tcW w:w="4536" w:type="dxa"/>
            <w:tcBorders>
              <w:left w:val="nil"/>
              <w:right w:val="nil"/>
            </w:tcBorders>
          </w:tcPr>
          <w:p w14:paraId="3DC2B53D" w14:textId="77777777" w:rsidR="00A81273" w:rsidRPr="00237B58" w:rsidRDefault="00A81273" w:rsidP="004B7632">
            <w:pPr>
              <w:pStyle w:val="Tabletext1"/>
              <w:rPr>
                <w:i/>
                <w:color w:val="FFFFFF" w:themeColor="background1"/>
                <w:u w:val="single"/>
                <w:lang w:eastAsia="en-US"/>
              </w:rPr>
            </w:pPr>
            <w:r w:rsidRPr="00237B58">
              <w:rPr>
                <w:i/>
                <w:color w:val="FFFFFF" w:themeColor="background1"/>
                <w:u w:val="single"/>
                <w:lang w:eastAsia="en-US"/>
              </w:rPr>
              <w:t>-</w:t>
            </w:r>
          </w:p>
        </w:tc>
        <w:tc>
          <w:tcPr>
            <w:tcW w:w="1985" w:type="dxa"/>
            <w:tcBorders>
              <w:left w:val="nil"/>
            </w:tcBorders>
          </w:tcPr>
          <w:p w14:paraId="71AFC870" w14:textId="77777777" w:rsidR="00A81273" w:rsidRPr="00237B58" w:rsidRDefault="00A81273" w:rsidP="004B7632">
            <w:pPr>
              <w:pStyle w:val="Tabletext1"/>
              <w:rPr>
                <w:i/>
                <w:color w:val="FFFFFF" w:themeColor="background1"/>
                <w:u w:val="single"/>
                <w:lang w:eastAsia="en-US"/>
              </w:rPr>
            </w:pPr>
            <w:r w:rsidRPr="00237B58">
              <w:rPr>
                <w:i/>
                <w:color w:val="FFFFFF" w:themeColor="background1"/>
                <w:u w:val="single"/>
                <w:lang w:eastAsia="en-US"/>
              </w:rPr>
              <w:t>-</w:t>
            </w:r>
          </w:p>
        </w:tc>
      </w:tr>
      <w:tr w:rsidR="00A81273" w:rsidRPr="00251D59" w14:paraId="63D940DB" w14:textId="77777777" w:rsidTr="00D77D42">
        <w:tc>
          <w:tcPr>
            <w:tcW w:w="1129" w:type="dxa"/>
            <w:tcBorders>
              <w:bottom w:val="single" w:sz="4" w:space="0" w:color="auto"/>
            </w:tcBorders>
          </w:tcPr>
          <w:p w14:paraId="207CA21A" w14:textId="77777777" w:rsidR="00A81273" w:rsidRPr="00251D59" w:rsidRDefault="00A81273" w:rsidP="004B7632">
            <w:pPr>
              <w:pStyle w:val="Tabletext1"/>
              <w:rPr>
                <w:lang w:eastAsia="en-US"/>
              </w:rPr>
            </w:pPr>
            <w:r w:rsidRPr="00251D59">
              <w:rPr>
                <w:lang w:eastAsia="en-US"/>
              </w:rPr>
              <w:t xml:space="preserve">Kim </w:t>
            </w:r>
            <w:r>
              <w:rPr>
                <w:lang w:eastAsia="en-US"/>
              </w:rPr>
              <w:t>et al. (2016)</w:t>
            </w:r>
          </w:p>
        </w:tc>
        <w:tc>
          <w:tcPr>
            <w:tcW w:w="2835" w:type="dxa"/>
            <w:tcBorders>
              <w:bottom w:val="single" w:sz="4" w:space="0" w:color="auto"/>
            </w:tcBorders>
          </w:tcPr>
          <w:p w14:paraId="68637039" w14:textId="77777777" w:rsidR="00A81273" w:rsidRPr="00251D59" w:rsidRDefault="00A81273" w:rsidP="004B7632">
            <w:pPr>
              <w:pStyle w:val="Tabletext1"/>
              <w:rPr>
                <w:lang w:eastAsia="en-US"/>
              </w:rPr>
            </w:pPr>
            <w:r w:rsidRPr="00251D59">
              <w:rPr>
                <w:lang w:eastAsia="en-US"/>
              </w:rPr>
              <w:t>USCN AMH ELISA</w:t>
            </w:r>
            <w:r>
              <w:rPr>
                <w:lang w:eastAsia="en-US"/>
              </w:rPr>
              <w:t xml:space="preserve"> versus</w:t>
            </w:r>
          </w:p>
          <w:p w14:paraId="49D51E10" w14:textId="77777777" w:rsidR="00A81273" w:rsidRPr="00251D59" w:rsidRDefault="00A81273" w:rsidP="004B7632">
            <w:pPr>
              <w:pStyle w:val="Tabletext1"/>
              <w:rPr>
                <w:lang w:eastAsia="en-US"/>
              </w:rPr>
            </w:pPr>
            <w:r w:rsidRPr="00251D59">
              <w:rPr>
                <w:lang w:eastAsia="en-US"/>
              </w:rPr>
              <w:t>FSH Elecsys assay</w:t>
            </w:r>
          </w:p>
        </w:tc>
        <w:tc>
          <w:tcPr>
            <w:tcW w:w="3969" w:type="dxa"/>
            <w:tcBorders>
              <w:bottom w:val="single" w:sz="4" w:space="0" w:color="auto"/>
            </w:tcBorders>
          </w:tcPr>
          <w:p w14:paraId="0FEF201C" w14:textId="65B8EA94" w:rsidR="00A81273" w:rsidRPr="00251D59" w:rsidRDefault="00A81273" w:rsidP="004B7632">
            <w:pPr>
              <w:pStyle w:val="Tabletext1"/>
              <w:rPr>
                <w:lang w:eastAsia="en-US"/>
              </w:rPr>
            </w:pPr>
            <w:r w:rsidRPr="00251D59">
              <w:rPr>
                <w:lang w:eastAsia="en-US"/>
              </w:rPr>
              <w:t>32 pre</w:t>
            </w:r>
            <w:r w:rsidR="003036C4">
              <w:rPr>
                <w:lang w:eastAsia="en-US"/>
              </w:rPr>
              <w:t>-menopausal</w:t>
            </w:r>
            <w:r w:rsidRPr="00251D59">
              <w:rPr>
                <w:lang w:eastAsia="en-US"/>
              </w:rPr>
              <w:t xml:space="preserve"> women with clinical stage III hormone receptor-positive invasive ductal breast cancer treated by neoadjuvant chemotherapy</w:t>
            </w:r>
          </w:p>
        </w:tc>
        <w:tc>
          <w:tcPr>
            <w:tcW w:w="4536" w:type="dxa"/>
            <w:tcBorders>
              <w:bottom w:val="single" w:sz="4" w:space="0" w:color="auto"/>
            </w:tcBorders>
          </w:tcPr>
          <w:p w14:paraId="63AF92E8" w14:textId="77777777" w:rsidR="00A81273" w:rsidRPr="00251D59" w:rsidRDefault="00A81273" w:rsidP="004B7632">
            <w:pPr>
              <w:pStyle w:val="Tabletext1"/>
              <w:rPr>
                <w:lang w:eastAsia="en-US"/>
              </w:rPr>
            </w:pPr>
            <w:r w:rsidRPr="00251D59">
              <w:rPr>
                <w:lang w:eastAsia="en-US"/>
              </w:rPr>
              <w:t>Spearman’s test found no correlation between serum levels of AMH and FSH</w:t>
            </w:r>
          </w:p>
        </w:tc>
        <w:tc>
          <w:tcPr>
            <w:tcW w:w="1985" w:type="dxa"/>
            <w:tcBorders>
              <w:bottom w:val="single" w:sz="4" w:space="0" w:color="auto"/>
            </w:tcBorders>
          </w:tcPr>
          <w:p w14:paraId="61A3CC16" w14:textId="77777777" w:rsidR="00A81273" w:rsidRPr="00251D59" w:rsidRDefault="00A81273" w:rsidP="004B7632">
            <w:pPr>
              <w:pStyle w:val="Tabletext1"/>
              <w:rPr>
                <w:lang w:eastAsia="en-US"/>
              </w:rPr>
            </w:pPr>
            <w:r w:rsidRPr="00251D59">
              <w:rPr>
                <w:lang w:eastAsia="en-US"/>
              </w:rPr>
              <w:t>NS: p&gt;0.05</w:t>
            </w:r>
          </w:p>
        </w:tc>
      </w:tr>
      <w:tr w:rsidR="00A81273" w:rsidRPr="00237B58" w14:paraId="2122C40A" w14:textId="77777777" w:rsidTr="00D77D42">
        <w:tc>
          <w:tcPr>
            <w:tcW w:w="1129" w:type="dxa"/>
            <w:tcBorders>
              <w:bottom w:val="single" w:sz="4" w:space="0" w:color="auto"/>
              <w:right w:val="nil"/>
            </w:tcBorders>
          </w:tcPr>
          <w:p w14:paraId="2099FBBC" w14:textId="77777777" w:rsidR="00A81273" w:rsidRPr="00EB4396" w:rsidRDefault="00A81273" w:rsidP="004B7632">
            <w:pPr>
              <w:pStyle w:val="Tabletext1"/>
              <w:rPr>
                <w:i/>
                <w:color w:val="FFFFFF" w:themeColor="background1"/>
                <w:u w:val="single"/>
                <w:lang w:eastAsia="en-US"/>
              </w:rPr>
            </w:pPr>
            <w:r w:rsidRPr="00EB4396">
              <w:rPr>
                <w:i/>
                <w:color w:val="FFFFFF" w:themeColor="background1"/>
                <w:u w:val="single"/>
                <w:lang w:eastAsia="en-US"/>
              </w:rPr>
              <w:t>-</w:t>
            </w:r>
          </w:p>
        </w:tc>
        <w:tc>
          <w:tcPr>
            <w:tcW w:w="2835" w:type="dxa"/>
            <w:tcBorders>
              <w:left w:val="nil"/>
              <w:bottom w:val="single" w:sz="4" w:space="0" w:color="auto"/>
              <w:right w:val="nil"/>
            </w:tcBorders>
          </w:tcPr>
          <w:p w14:paraId="4E5B1D88" w14:textId="77777777" w:rsidR="00A81273" w:rsidRPr="00EB4396" w:rsidRDefault="00A81273" w:rsidP="004B7632">
            <w:pPr>
              <w:pStyle w:val="Tabletext1"/>
              <w:rPr>
                <w:i/>
                <w:color w:val="FFFFFF" w:themeColor="background1"/>
                <w:u w:val="single"/>
                <w:lang w:eastAsia="en-US"/>
              </w:rPr>
            </w:pPr>
          </w:p>
        </w:tc>
        <w:tc>
          <w:tcPr>
            <w:tcW w:w="3969" w:type="dxa"/>
            <w:tcBorders>
              <w:left w:val="nil"/>
              <w:bottom w:val="single" w:sz="4" w:space="0" w:color="auto"/>
              <w:right w:val="nil"/>
            </w:tcBorders>
          </w:tcPr>
          <w:p w14:paraId="1888DA21" w14:textId="77777777" w:rsidR="00A81273" w:rsidRPr="00237B58" w:rsidRDefault="00A81273" w:rsidP="004B7632">
            <w:pPr>
              <w:pStyle w:val="Tabletext1"/>
              <w:rPr>
                <w:i/>
                <w:color w:val="FFFFFF" w:themeColor="background1"/>
                <w:u w:val="single"/>
                <w:lang w:eastAsia="en-US"/>
              </w:rPr>
            </w:pPr>
            <w:r w:rsidRPr="00237B58">
              <w:rPr>
                <w:i/>
                <w:u w:val="single"/>
                <w:lang w:eastAsia="en-US"/>
              </w:rPr>
              <w:t>Post-childhood cancer</w:t>
            </w:r>
          </w:p>
        </w:tc>
        <w:tc>
          <w:tcPr>
            <w:tcW w:w="4536" w:type="dxa"/>
            <w:tcBorders>
              <w:left w:val="nil"/>
              <w:bottom w:val="single" w:sz="4" w:space="0" w:color="auto"/>
              <w:right w:val="nil"/>
            </w:tcBorders>
          </w:tcPr>
          <w:p w14:paraId="5524D0CB" w14:textId="77777777" w:rsidR="00A81273" w:rsidRPr="00237B58" w:rsidRDefault="00A81273" w:rsidP="004B7632">
            <w:pPr>
              <w:pStyle w:val="Tabletext1"/>
              <w:rPr>
                <w:i/>
                <w:color w:val="FFFFFF" w:themeColor="background1"/>
                <w:u w:val="single"/>
                <w:lang w:eastAsia="en-US"/>
              </w:rPr>
            </w:pPr>
            <w:r w:rsidRPr="00237B58">
              <w:rPr>
                <w:i/>
                <w:color w:val="FFFFFF" w:themeColor="background1"/>
                <w:u w:val="single"/>
                <w:lang w:eastAsia="en-US"/>
              </w:rPr>
              <w:t>-</w:t>
            </w:r>
          </w:p>
        </w:tc>
        <w:tc>
          <w:tcPr>
            <w:tcW w:w="1985" w:type="dxa"/>
            <w:tcBorders>
              <w:left w:val="nil"/>
              <w:bottom w:val="single" w:sz="4" w:space="0" w:color="auto"/>
            </w:tcBorders>
          </w:tcPr>
          <w:p w14:paraId="006AED6B" w14:textId="77777777" w:rsidR="00A81273" w:rsidRPr="00237B58" w:rsidRDefault="00A81273" w:rsidP="004B7632">
            <w:pPr>
              <w:pStyle w:val="Tabletext1"/>
              <w:rPr>
                <w:i/>
                <w:color w:val="FFFFFF" w:themeColor="background1"/>
                <w:u w:val="single"/>
                <w:lang w:eastAsia="en-US"/>
              </w:rPr>
            </w:pPr>
            <w:r w:rsidRPr="00237B58">
              <w:rPr>
                <w:i/>
                <w:color w:val="FFFFFF" w:themeColor="background1"/>
                <w:u w:val="single"/>
                <w:lang w:eastAsia="en-US"/>
              </w:rPr>
              <w:t>-</w:t>
            </w:r>
          </w:p>
        </w:tc>
      </w:tr>
      <w:tr w:rsidR="00A81273" w:rsidRPr="00251D59" w14:paraId="69FDCDEC" w14:textId="77777777" w:rsidTr="00D77D42">
        <w:tc>
          <w:tcPr>
            <w:tcW w:w="1129" w:type="dxa"/>
            <w:tcBorders>
              <w:bottom w:val="single" w:sz="4" w:space="0" w:color="auto"/>
            </w:tcBorders>
          </w:tcPr>
          <w:p w14:paraId="4DC786E1" w14:textId="77777777" w:rsidR="00A81273" w:rsidRPr="00251D59" w:rsidRDefault="00A81273" w:rsidP="004B7632">
            <w:pPr>
              <w:pStyle w:val="Tabletext1"/>
              <w:rPr>
                <w:lang w:eastAsia="en-US"/>
              </w:rPr>
            </w:pPr>
            <w:r>
              <w:rPr>
                <w:lang w:eastAsia="en-US"/>
              </w:rPr>
              <w:t>van Beek et al. (2007)</w:t>
            </w:r>
          </w:p>
        </w:tc>
        <w:tc>
          <w:tcPr>
            <w:tcW w:w="2835" w:type="dxa"/>
            <w:tcBorders>
              <w:bottom w:val="single" w:sz="4" w:space="0" w:color="auto"/>
            </w:tcBorders>
          </w:tcPr>
          <w:p w14:paraId="7A8E4382" w14:textId="77777777" w:rsidR="00A81273" w:rsidRPr="00251D59" w:rsidRDefault="00A81273" w:rsidP="004B7632">
            <w:pPr>
              <w:pStyle w:val="Tabletext1"/>
              <w:rPr>
                <w:lang w:eastAsia="en-US"/>
              </w:rPr>
            </w:pPr>
            <w:r w:rsidRPr="00251D59">
              <w:rPr>
                <w:lang w:eastAsia="en-US"/>
              </w:rPr>
              <w:t>DSL ACTIVE</w:t>
            </w:r>
            <w:r w:rsidRPr="00251D59">
              <w:rPr>
                <w:vertAlign w:val="superscript"/>
                <w:lang w:eastAsia="en-US"/>
              </w:rPr>
              <w:t>®</w:t>
            </w:r>
            <w:r w:rsidRPr="00251D59">
              <w:rPr>
                <w:lang w:eastAsia="en-US"/>
              </w:rPr>
              <w:t xml:space="preserve"> AMH ELISA</w:t>
            </w:r>
            <w:r>
              <w:rPr>
                <w:lang w:eastAsia="en-US"/>
              </w:rPr>
              <w:t xml:space="preserve"> versus</w:t>
            </w:r>
          </w:p>
          <w:p w14:paraId="3EC0CB9C" w14:textId="77777777" w:rsidR="00A81273" w:rsidRPr="00251D59" w:rsidRDefault="00A81273" w:rsidP="004B7632">
            <w:pPr>
              <w:pStyle w:val="Tabletext1"/>
              <w:rPr>
                <w:lang w:eastAsia="en-US"/>
              </w:rPr>
            </w:pPr>
            <w:r w:rsidRPr="00251D59">
              <w:rPr>
                <w:lang w:eastAsia="en-US"/>
              </w:rPr>
              <w:t>Immulite 2000 FSH immunoassay</w:t>
            </w:r>
          </w:p>
        </w:tc>
        <w:tc>
          <w:tcPr>
            <w:tcW w:w="3969" w:type="dxa"/>
            <w:tcBorders>
              <w:bottom w:val="single" w:sz="4" w:space="0" w:color="auto"/>
            </w:tcBorders>
          </w:tcPr>
          <w:p w14:paraId="05500368" w14:textId="77777777" w:rsidR="00A81273" w:rsidRPr="00251D59" w:rsidRDefault="00A81273" w:rsidP="004B7632">
            <w:pPr>
              <w:pStyle w:val="Tabletext1"/>
              <w:rPr>
                <w:lang w:eastAsia="en-US"/>
              </w:rPr>
            </w:pPr>
            <w:r w:rsidRPr="00251D59">
              <w:rPr>
                <w:lang w:eastAsia="en-US"/>
              </w:rPr>
              <w:t>32 women treated with chemotherapy for Hodgkin's lymphoma during childhood</w:t>
            </w:r>
          </w:p>
        </w:tc>
        <w:tc>
          <w:tcPr>
            <w:tcW w:w="4536" w:type="dxa"/>
            <w:tcBorders>
              <w:bottom w:val="single" w:sz="4" w:space="0" w:color="auto"/>
            </w:tcBorders>
          </w:tcPr>
          <w:p w14:paraId="699F5730" w14:textId="77777777" w:rsidR="00A81273" w:rsidRPr="00251D59" w:rsidRDefault="00A81273" w:rsidP="004B7632">
            <w:pPr>
              <w:pStyle w:val="Tabletext1"/>
              <w:rPr>
                <w:lang w:eastAsia="en-US"/>
              </w:rPr>
            </w:pPr>
            <w:r w:rsidRPr="00251D59">
              <w:rPr>
                <w:lang w:eastAsia="en-US"/>
              </w:rPr>
              <w:t>The was a correlation between early follicular phase serum levels of AMH and FSH</w:t>
            </w:r>
          </w:p>
        </w:tc>
        <w:tc>
          <w:tcPr>
            <w:tcW w:w="1985" w:type="dxa"/>
            <w:tcBorders>
              <w:bottom w:val="single" w:sz="4" w:space="0" w:color="auto"/>
            </w:tcBorders>
          </w:tcPr>
          <w:p w14:paraId="20E0C54D" w14:textId="0DC54FD1" w:rsidR="00A81273" w:rsidRPr="00251D59" w:rsidRDefault="00EB382C" w:rsidP="004B7632">
            <w:pPr>
              <w:pStyle w:val="Tabletext1"/>
              <w:rPr>
                <w:lang w:eastAsia="en-US"/>
              </w:rPr>
            </w:pPr>
            <w:r>
              <w:rPr>
                <w:lang w:eastAsia="en-US"/>
              </w:rPr>
              <w:t>rho= -</w:t>
            </w:r>
            <w:r w:rsidR="00A81273" w:rsidRPr="00251D59">
              <w:rPr>
                <w:lang w:eastAsia="en-US"/>
              </w:rPr>
              <w:t>0.52</w:t>
            </w:r>
            <w:r w:rsidR="00A81273">
              <w:rPr>
                <w:lang w:eastAsia="en-US"/>
              </w:rPr>
              <w:t xml:space="preserve">, </w:t>
            </w:r>
            <w:r w:rsidR="00A81273" w:rsidRPr="00251D59">
              <w:rPr>
                <w:lang w:eastAsia="en-US"/>
              </w:rPr>
              <w:t>p&lt;0.01</w:t>
            </w:r>
          </w:p>
        </w:tc>
      </w:tr>
      <w:tr w:rsidR="00A81273" w:rsidRPr="00251D59" w14:paraId="45876065" w14:textId="77777777" w:rsidTr="00D77D42">
        <w:tc>
          <w:tcPr>
            <w:tcW w:w="1129" w:type="dxa"/>
            <w:tcBorders>
              <w:bottom w:val="single" w:sz="4" w:space="0" w:color="auto"/>
              <w:right w:val="nil"/>
            </w:tcBorders>
          </w:tcPr>
          <w:p w14:paraId="48D1C45B" w14:textId="77777777" w:rsidR="00A81273" w:rsidRPr="00EB4396" w:rsidRDefault="00A81273" w:rsidP="004B7632">
            <w:pPr>
              <w:pStyle w:val="Tabletext1"/>
              <w:rPr>
                <w:color w:val="FFFFFF" w:themeColor="background1"/>
                <w:lang w:eastAsia="en-US"/>
              </w:rPr>
            </w:pPr>
            <w:r w:rsidRPr="00EB4396">
              <w:rPr>
                <w:color w:val="FFFFFF" w:themeColor="background1"/>
                <w:lang w:eastAsia="en-US"/>
              </w:rPr>
              <w:t>-</w:t>
            </w:r>
          </w:p>
        </w:tc>
        <w:tc>
          <w:tcPr>
            <w:tcW w:w="2835" w:type="dxa"/>
            <w:tcBorders>
              <w:left w:val="nil"/>
              <w:bottom w:val="single" w:sz="4" w:space="0" w:color="auto"/>
              <w:right w:val="nil"/>
            </w:tcBorders>
          </w:tcPr>
          <w:p w14:paraId="3266A6EF" w14:textId="77777777" w:rsidR="00A81273" w:rsidRPr="00EB4396" w:rsidRDefault="00A81273" w:rsidP="004B7632">
            <w:pPr>
              <w:pStyle w:val="Tabletext1"/>
              <w:rPr>
                <w:color w:val="FFFFFF" w:themeColor="background1"/>
                <w:lang w:eastAsia="en-US"/>
              </w:rPr>
            </w:pPr>
          </w:p>
        </w:tc>
        <w:tc>
          <w:tcPr>
            <w:tcW w:w="3969" w:type="dxa"/>
            <w:tcBorders>
              <w:left w:val="nil"/>
              <w:bottom w:val="single" w:sz="4" w:space="0" w:color="auto"/>
              <w:right w:val="nil"/>
            </w:tcBorders>
          </w:tcPr>
          <w:p w14:paraId="271EEA6E" w14:textId="77777777" w:rsidR="00A81273" w:rsidRPr="00237B58" w:rsidRDefault="00A81273" w:rsidP="004B7632">
            <w:pPr>
              <w:pStyle w:val="Tabletext1"/>
              <w:rPr>
                <w:color w:val="FFFFFF" w:themeColor="background1"/>
                <w:lang w:eastAsia="en-US"/>
              </w:rPr>
            </w:pPr>
            <w:r w:rsidRPr="00237B58">
              <w:rPr>
                <w:i/>
                <w:u w:val="single"/>
                <w:lang w:eastAsia="en-US"/>
              </w:rPr>
              <w:t>Post-treatment</w:t>
            </w:r>
          </w:p>
        </w:tc>
        <w:tc>
          <w:tcPr>
            <w:tcW w:w="4536" w:type="dxa"/>
            <w:tcBorders>
              <w:left w:val="nil"/>
              <w:bottom w:val="single" w:sz="4" w:space="0" w:color="auto"/>
              <w:right w:val="nil"/>
            </w:tcBorders>
          </w:tcPr>
          <w:p w14:paraId="68143C00" w14:textId="77777777" w:rsidR="00A81273" w:rsidRPr="00237B58" w:rsidRDefault="00A81273" w:rsidP="004B7632">
            <w:pPr>
              <w:pStyle w:val="Tabletext1"/>
              <w:rPr>
                <w:color w:val="FFFFFF" w:themeColor="background1"/>
                <w:lang w:eastAsia="en-US"/>
              </w:rPr>
            </w:pPr>
            <w:r w:rsidRPr="00237B58">
              <w:rPr>
                <w:color w:val="FFFFFF" w:themeColor="background1"/>
                <w:lang w:eastAsia="en-US"/>
              </w:rPr>
              <w:t>-</w:t>
            </w:r>
          </w:p>
        </w:tc>
        <w:tc>
          <w:tcPr>
            <w:tcW w:w="1985" w:type="dxa"/>
            <w:tcBorders>
              <w:left w:val="nil"/>
              <w:bottom w:val="single" w:sz="4" w:space="0" w:color="auto"/>
            </w:tcBorders>
          </w:tcPr>
          <w:p w14:paraId="6B4EB51F" w14:textId="77777777" w:rsidR="00A81273" w:rsidRPr="004B7632" w:rsidRDefault="00A81273" w:rsidP="004B7632">
            <w:pPr>
              <w:pStyle w:val="Tabletext1"/>
              <w:rPr>
                <w:b/>
                <w:i/>
                <w:color w:val="FFFFFF"/>
                <w:lang w:eastAsia="en-US"/>
              </w:rPr>
            </w:pPr>
            <w:r w:rsidRPr="004B7632">
              <w:rPr>
                <w:b/>
                <w:lang w:eastAsia="en-US"/>
              </w:rPr>
              <w:t>Pearson’s bivariate correlation</w:t>
            </w:r>
          </w:p>
        </w:tc>
      </w:tr>
      <w:tr w:rsidR="00A81273" w:rsidRPr="00251D59" w14:paraId="3069CD5E" w14:textId="77777777" w:rsidTr="00D77D42">
        <w:tc>
          <w:tcPr>
            <w:tcW w:w="1129" w:type="dxa"/>
          </w:tcPr>
          <w:p w14:paraId="7589DF86" w14:textId="77777777" w:rsidR="00A81273" w:rsidRPr="00251D59" w:rsidRDefault="00A81273" w:rsidP="004B7632">
            <w:pPr>
              <w:pStyle w:val="Tabletext1"/>
              <w:rPr>
                <w:lang w:eastAsia="en-US"/>
              </w:rPr>
            </w:pPr>
            <w:r>
              <w:rPr>
                <w:lang w:eastAsia="en-US"/>
              </w:rPr>
              <w:t>Decanter et al. (2014)</w:t>
            </w:r>
          </w:p>
        </w:tc>
        <w:tc>
          <w:tcPr>
            <w:tcW w:w="2835" w:type="dxa"/>
          </w:tcPr>
          <w:p w14:paraId="455119E8" w14:textId="77777777" w:rsidR="00A81273" w:rsidRPr="00251D59" w:rsidRDefault="00A81273" w:rsidP="004B7632">
            <w:pPr>
              <w:pStyle w:val="Tabletext1"/>
              <w:rPr>
                <w:lang w:eastAsia="en-US"/>
              </w:rPr>
            </w:pPr>
            <w:r w:rsidRPr="00251D59">
              <w:rPr>
                <w:lang w:eastAsia="en-US"/>
              </w:rPr>
              <w:t>Pico-AMH ELISA</w:t>
            </w:r>
            <w:r>
              <w:rPr>
                <w:lang w:eastAsia="en-US"/>
              </w:rPr>
              <w:t xml:space="preserve"> versus</w:t>
            </w:r>
          </w:p>
          <w:p w14:paraId="535BA76E" w14:textId="77777777" w:rsidR="00A81273" w:rsidRPr="00251D59" w:rsidRDefault="00A81273" w:rsidP="004B7632">
            <w:pPr>
              <w:pStyle w:val="Tabletext1"/>
              <w:rPr>
                <w:lang w:eastAsia="en-US"/>
              </w:rPr>
            </w:pPr>
            <w:r w:rsidRPr="00251D59">
              <w:rPr>
                <w:lang w:eastAsia="en-US"/>
              </w:rPr>
              <w:t>FSH test not reported</w:t>
            </w:r>
          </w:p>
        </w:tc>
        <w:tc>
          <w:tcPr>
            <w:tcW w:w="3969" w:type="dxa"/>
          </w:tcPr>
          <w:p w14:paraId="7E33121B" w14:textId="33CCC2E8" w:rsidR="00A81273" w:rsidRPr="00251D59" w:rsidRDefault="00A81273" w:rsidP="004B7632">
            <w:pPr>
              <w:pStyle w:val="Tabletext1"/>
              <w:rPr>
                <w:lang w:eastAsia="en-US"/>
              </w:rPr>
            </w:pPr>
            <w:r w:rsidRPr="00251D59">
              <w:rPr>
                <w:lang w:eastAsia="en-US"/>
              </w:rPr>
              <w:t>58 samples drawn at least 3 months after the end of chemotherapy in 30 women with either breast cancer (n=13) or h</w:t>
            </w:r>
            <w:r w:rsidR="00415491">
              <w:rPr>
                <w:lang w:eastAsia="en-US"/>
              </w:rPr>
              <w:t>a</w:t>
            </w:r>
            <w:r w:rsidRPr="00251D59">
              <w:rPr>
                <w:lang w:eastAsia="en-US"/>
              </w:rPr>
              <w:t>ematologic</w:t>
            </w:r>
            <w:r w:rsidR="00415491">
              <w:rPr>
                <w:lang w:eastAsia="en-US"/>
              </w:rPr>
              <w:t>al</w:t>
            </w:r>
            <w:r w:rsidRPr="00251D59">
              <w:rPr>
                <w:lang w:eastAsia="en-US"/>
              </w:rPr>
              <w:t xml:space="preserve"> malignancies (n=17)</w:t>
            </w:r>
          </w:p>
        </w:tc>
        <w:tc>
          <w:tcPr>
            <w:tcW w:w="4536" w:type="dxa"/>
          </w:tcPr>
          <w:p w14:paraId="7728D559" w14:textId="77777777" w:rsidR="007518CF" w:rsidRDefault="00A81273" w:rsidP="004B7632">
            <w:pPr>
              <w:pStyle w:val="Tabletext1"/>
              <w:rPr>
                <w:lang w:eastAsia="en-US"/>
              </w:rPr>
            </w:pPr>
            <w:r w:rsidRPr="00251D59">
              <w:rPr>
                <w:lang w:eastAsia="en-US"/>
              </w:rPr>
              <w:t>No (Pearson’s) correlation was found between the absolute values of AMH (when detectable) and FSH serum levels</w:t>
            </w:r>
          </w:p>
          <w:p w14:paraId="2EF413A6" w14:textId="426D537E" w:rsidR="00A81273" w:rsidRPr="00251D59" w:rsidRDefault="00A81273" w:rsidP="004B7632">
            <w:pPr>
              <w:pStyle w:val="Tabletext1"/>
              <w:rPr>
                <w:lang w:eastAsia="en-US"/>
              </w:rPr>
            </w:pPr>
            <w:r w:rsidRPr="00251D59">
              <w:rPr>
                <w:lang w:eastAsia="en-US"/>
              </w:rPr>
              <w:t>There was a significant and independent association between detectable/not detectable AMH and serum FSH level</w:t>
            </w:r>
          </w:p>
        </w:tc>
        <w:tc>
          <w:tcPr>
            <w:tcW w:w="1985" w:type="dxa"/>
          </w:tcPr>
          <w:p w14:paraId="64A2A650" w14:textId="77777777" w:rsidR="00A81273" w:rsidRPr="00251D59" w:rsidRDefault="00A81273" w:rsidP="004B7632">
            <w:pPr>
              <w:pStyle w:val="Tabletext1"/>
              <w:rPr>
                <w:lang w:eastAsia="en-US"/>
              </w:rPr>
            </w:pPr>
            <w:r w:rsidRPr="00251D59">
              <w:rPr>
                <w:lang w:eastAsia="en-US"/>
              </w:rPr>
              <w:t>AMH serum levels</w:t>
            </w:r>
          </w:p>
          <w:p w14:paraId="4ED33130" w14:textId="77777777" w:rsidR="00A81273" w:rsidRPr="00251D59" w:rsidRDefault="00A81273" w:rsidP="004B7632">
            <w:pPr>
              <w:pStyle w:val="Tabletext1"/>
              <w:rPr>
                <w:lang w:eastAsia="en-US"/>
              </w:rPr>
            </w:pPr>
            <w:r w:rsidRPr="00251D59">
              <w:rPr>
                <w:lang w:eastAsia="en-US"/>
              </w:rPr>
              <w:t>NS: p&gt;0.05</w:t>
            </w:r>
          </w:p>
          <w:p w14:paraId="1712EE62" w14:textId="77777777" w:rsidR="00A81273" w:rsidRPr="00251D59" w:rsidRDefault="00A81273" w:rsidP="004B7632">
            <w:pPr>
              <w:pStyle w:val="Tabletext1"/>
              <w:rPr>
                <w:lang w:eastAsia="en-US"/>
              </w:rPr>
            </w:pPr>
            <w:r w:rsidRPr="00251D59">
              <w:rPr>
                <w:lang w:eastAsia="en-US"/>
              </w:rPr>
              <w:t>Detectable AMH</w:t>
            </w:r>
          </w:p>
          <w:p w14:paraId="4C4FE750" w14:textId="6EE729BB" w:rsidR="00A81273" w:rsidRPr="00251D59" w:rsidRDefault="00EB382C" w:rsidP="004B7632">
            <w:pPr>
              <w:pStyle w:val="Tabletext1"/>
              <w:rPr>
                <w:lang w:eastAsia="en-US"/>
              </w:rPr>
            </w:pPr>
            <w:r>
              <w:rPr>
                <w:lang w:eastAsia="en-US"/>
              </w:rPr>
              <w:t>r= -</w:t>
            </w:r>
            <w:r w:rsidR="00A81273" w:rsidRPr="00251D59">
              <w:rPr>
                <w:lang w:eastAsia="en-US"/>
              </w:rPr>
              <w:t>0.546</w:t>
            </w:r>
            <w:r w:rsidR="00A81273">
              <w:rPr>
                <w:lang w:eastAsia="en-US"/>
              </w:rPr>
              <w:t xml:space="preserve">, </w:t>
            </w:r>
            <w:r w:rsidR="00A81273" w:rsidRPr="00251D59">
              <w:rPr>
                <w:lang w:eastAsia="en-US"/>
              </w:rPr>
              <w:t>p&lt;0.001</w:t>
            </w:r>
          </w:p>
        </w:tc>
      </w:tr>
      <w:tr w:rsidR="00A81273" w:rsidRPr="00251D59" w14:paraId="4451CE98" w14:textId="77777777" w:rsidTr="00D77D42">
        <w:tc>
          <w:tcPr>
            <w:tcW w:w="1129" w:type="dxa"/>
            <w:tcBorders>
              <w:bottom w:val="single" w:sz="4" w:space="0" w:color="auto"/>
            </w:tcBorders>
          </w:tcPr>
          <w:p w14:paraId="65F858CD" w14:textId="77777777" w:rsidR="00A81273" w:rsidRPr="00251D59" w:rsidRDefault="00A81273" w:rsidP="004B7632">
            <w:pPr>
              <w:pStyle w:val="Tabletext1"/>
              <w:rPr>
                <w:lang w:eastAsia="en-US"/>
              </w:rPr>
            </w:pPr>
            <w:r>
              <w:rPr>
                <w:lang w:eastAsia="en-US"/>
              </w:rPr>
              <w:lastRenderedPageBreak/>
              <w:t>Decanter et al. (2014)</w:t>
            </w:r>
          </w:p>
        </w:tc>
        <w:tc>
          <w:tcPr>
            <w:tcW w:w="2835" w:type="dxa"/>
            <w:tcBorders>
              <w:bottom w:val="single" w:sz="4" w:space="0" w:color="auto"/>
            </w:tcBorders>
          </w:tcPr>
          <w:p w14:paraId="03739F85" w14:textId="77777777" w:rsidR="00A81273" w:rsidRPr="00251D59" w:rsidRDefault="00A81273" w:rsidP="004B7632">
            <w:pPr>
              <w:pStyle w:val="Tabletext1"/>
              <w:rPr>
                <w:lang w:eastAsia="en-US"/>
              </w:rPr>
            </w:pPr>
            <w:r w:rsidRPr="00251D59">
              <w:rPr>
                <w:lang w:eastAsia="en-US"/>
              </w:rPr>
              <w:t>EIA AMH/MIS assay</w:t>
            </w:r>
            <w:r>
              <w:rPr>
                <w:lang w:eastAsia="en-US"/>
              </w:rPr>
              <w:t xml:space="preserve"> versus</w:t>
            </w:r>
          </w:p>
          <w:p w14:paraId="05BB6C24" w14:textId="77777777" w:rsidR="00A81273" w:rsidRPr="00251D59" w:rsidRDefault="00A81273" w:rsidP="004B7632">
            <w:pPr>
              <w:pStyle w:val="Tabletext1"/>
              <w:rPr>
                <w:lang w:eastAsia="en-US"/>
              </w:rPr>
            </w:pPr>
            <w:r w:rsidRPr="00251D59">
              <w:rPr>
                <w:lang w:eastAsia="en-US"/>
              </w:rPr>
              <w:t>FSH test not reported</w:t>
            </w:r>
          </w:p>
        </w:tc>
        <w:tc>
          <w:tcPr>
            <w:tcW w:w="3969" w:type="dxa"/>
            <w:tcBorders>
              <w:bottom w:val="single" w:sz="4" w:space="0" w:color="auto"/>
            </w:tcBorders>
          </w:tcPr>
          <w:p w14:paraId="023044C0" w14:textId="77777777" w:rsidR="00A81273" w:rsidRPr="00251D59" w:rsidRDefault="00A81273" w:rsidP="004B7632">
            <w:pPr>
              <w:pStyle w:val="Tabletext1"/>
              <w:rPr>
                <w:lang w:eastAsia="en-US"/>
              </w:rPr>
            </w:pPr>
            <w:r w:rsidRPr="00251D59">
              <w:rPr>
                <w:lang w:eastAsia="en-US"/>
              </w:rPr>
              <w:t>58 samples drawn at least 3 months after the end of chemotherapy in 30 women with either breast cancer (n=13) or h</w:t>
            </w:r>
            <w:r>
              <w:rPr>
                <w:lang w:eastAsia="en-US"/>
              </w:rPr>
              <w:t>a</w:t>
            </w:r>
            <w:r w:rsidRPr="00251D59">
              <w:rPr>
                <w:lang w:eastAsia="en-US"/>
              </w:rPr>
              <w:t>ematological malignancies (n=17)</w:t>
            </w:r>
          </w:p>
        </w:tc>
        <w:tc>
          <w:tcPr>
            <w:tcW w:w="4536" w:type="dxa"/>
            <w:tcBorders>
              <w:bottom w:val="single" w:sz="4" w:space="0" w:color="auto"/>
            </w:tcBorders>
          </w:tcPr>
          <w:p w14:paraId="10CA188C" w14:textId="77777777" w:rsidR="00A81273" w:rsidRPr="00251D59" w:rsidRDefault="00A81273" w:rsidP="004B7632">
            <w:pPr>
              <w:pStyle w:val="Tabletext1"/>
              <w:rPr>
                <w:lang w:eastAsia="en-US"/>
              </w:rPr>
            </w:pPr>
            <w:r w:rsidRPr="00251D59">
              <w:rPr>
                <w:lang w:eastAsia="en-US"/>
              </w:rPr>
              <w:t>Pearson’s correlation test found FSH was not significantly associated to a detectable AMH level</w:t>
            </w:r>
          </w:p>
        </w:tc>
        <w:tc>
          <w:tcPr>
            <w:tcW w:w="1985" w:type="dxa"/>
            <w:tcBorders>
              <w:bottom w:val="single" w:sz="4" w:space="0" w:color="auto"/>
            </w:tcBorders>
          </w:tcPr>
          <w:p w14:paraId="341C7F71" w14:textId="77777777" w:rsidR="00A81273" w:rsidRPr="00251D59" w:rsidRDefault="00A81273" w:rsidP="004B7632">
            <w:pPr>
              <w:pStyle w:val="Tabletext1"/>
              <w:rPr>
                <w:lang w:eastAsia="en-US"/>
              </w:rPr>
            </w:pPr>
            <w:r w:rsidRPr="00251D59">
              <w:rPr>
                <w:lang w:eastAsia="en-US"/>
              </w:rPr>
              <w:t>NS: p&gt;0.05</w:t>
            </w:r>
          </w:p>
        </w:tc>
      </w:tr>
      <w:tr w:rsidR="00A81273" w:rsidRPr="00237B58" w14:paraId="16853F03" w14:textId="77777777" w:rsidTr="00D77D42">
        <w:tc>
          <w:tcPr>
            <w:tcW w:w="1129" w:type="dxa"/>
            <w:tcBorders>
              <w:right w:val="nil"/>
            </w:tcBorders>
          </w:tcPr>
          <w:p w14:paraId="116F6E12" w14:textId="77777777" w:rsidR="00A81273" w:rsidRPr="00EB4396" w:rsidRDefault="00A81273" w:rsidP="004B7632">
            <w:pPr>
              <w:pStyle w:val="Tabletext1"/>
              <w:rPr>
                <w:i/>
                <w:color w:val="FFFFFF" w:themeColor="background1"/>
                <w:u w:val="single"/>
                <w:lang w:eastAsia="en-US"/>
              </w:rPr>
            </w:pPr>
            <w:r w:rsidRPr="00EB4396">
              <w:rPr>
                <w:i/>
                <w:color w:val="FFFFFF" w:themeColor="background1"/>
                <w:u w:val="single"/>
                <w:lang w:eastAsia="en-US"/>
              </w:rPr>
              <w:t>-</w:t>
            </w:r>
          </w:p>
        </w:tc>
        <w:tc>
          <w:tcPr>
            <w:tcW w:w="2835" w:type="dxa"/>
            <w:tcBorders>
              <w:left w:val="nil"/>
              <w:right w:val="nil"/>
            </w:tcBorders>
          </w:tcPr>
          <w:p w14:paraId="7ADE5BA3" w14:textId="77777777" w:rsidR="00A81273" w:rsidRPr="00EB4396" w:rsidRDefault="00A81273" w:rsidP="004B7632">
            <w:pPr>
              <w:pStyle w:val="Tabletext1"/>
              <w:rPr>
                <w:i/>
                <w:color w:val="FFFFFF" w:themeColor="background1"/>
                <w:u w:val="single"/>
                <w:lang w:eastAsia="en-US"/>
              </w:rPr>
            </w:pPr>
          </w:p>
        </w:tc>
        <w:tc>
          <w:tcPr>
            <w:tcW w:w="3969" w:type="dxa"/>
            <w:tcBorders>
              <w:left w:val="nil"/>
              <w:right w:val="nil"/>
            </w:tcBorders>
          </w:tcPr>
          <w:p w14:paraId="3F6E77C6" w14:textId="77777777" w:rsidR="00A81273" w:rsidRPr="00237B58" w:rsidRDefault="00A81273" w:rsidP="004B7632">
            <w:pPr>
              <w:pStyle w:val="Tabletext1"/>
              <w:rPr>
                <w:i/>
                <w:color w:val="FFFFFF" w:themeColor="background1"/>
                <w:u w:val="single"/>
                <w:lang w:eastAsia="en-US"/>
              </w:rPr>
            </w:pPr>
            <w:r w:rsidRPr="00237B58">
              <w:rPr>
                <w:i/>
                <w:u w:val="single"/>
                <w:lang w:eastAsia="en-US"/>
              </w:rPr>
              <w:t>Pre- and post-treatment</w:t>
            </w:r>
          </w:p>
        </w:tc>
        <w:tc>
          <w:tcPr>
            <w:tcW w:w="4536" w:type="dxa"/>
            <w:tcBorders>
              <w:left w:val="nil"/>
              <w:right w:val="nil"/>
            </w:tcBorders>
          </w:tcPr>
          <w:p w14:paraId="0BF5AEA4" w14:textId="77777777" w:rsidR="00A81273" w:rsidRPr="00237B58" w:rsidRDefault="00A81273" w:rsidP="004B7632">
            <w:pPr>
              <w:pStyle w:val="Tabletext1"/>
              <w:rPr>
                <w:i/>
                <w:color w:val="FFFFFF" w:themeColor="background1"/>
                <w:u w:val="single"/>
                <w:lang w:eastAsia="en-US"/>
              </w:rPr>
            </w:pPr>
            <w:r w:rsidRPr="00237B58">
              <w:rPr>
                <w:i/>
                <w:color w:val="FFFFFF" w:themeColor="background1"/>
                <w:u w:val="single"/>
                <w:lang w:eastAsia="en-US"/>
              </w:rPr>
              <w:t>-</w:t>
            </w:r>
          </w:p>
        </w:tc>
        <w:tc>
          <w:tcPr>
            <w:tcW w:w="1985" w:type="dxa"/>
            <w:tcBorders>
              <w:left w:val="nil"/>
            </w:tcBorders>
          </w:tcPr>
          <w:p w14:paraId="6B397688" w14:textId="77777777" w:rsidR="00A81273" w:rsidRPr="00237B58" w:rsidRDefault="00A81273" w:rsidP="004B7632">
            <w:pPr>
              <w:pStyle w:val="Tabletext1"/>
              <w:rPr>
                <w:i/>
                <w:color w:val="FFFFFF" w:themeColor="background1"/>
                <w:u w:val="single"/>
                <w:lang w:eastAsia="en-US"/>
              </w:rPr>
            </w:pPr>
            <w:r w:rsidRPr="00237B58">
              <w:rPr>
                <w:i/>
                <w:color w:val="FFFFFF" w:themeColor="background1"/>
                <w:u w:val="single"/>
                <w:lang w:eastAsia="en-US"/>
              </w:rPr>
              <w:t>-</w:t>
            </w:r>
          </w:p>
        </w:tc>
      </w:tr>
      <w:tr w:rsidR="00A81273" w:rsidRPr="00251D59" w14:paraId="2FA99C11" w14:textId="77777777" w:rsidTr="00D77D42">
        <w:tc>
          <w:tcPr>
            <w:tcW w:w="1129" w:type="dxa"/>
          </w:tcPr>
          <w:p w14:paraId="10CF1675" w14:textId="77777777" w:rsidR="00A81273" w:rsidRPr="00251D59" w:rsidRDefault="00A81273" w:rsidP="004B7632">
            <w:pPr>
              <w:pStyle w:val="Tabletext1"/>
              <w:rPr>
                <w:lang w:eastAsia="en-US"/>
              </w:rPr>
            </w:pPr>
            <w:r>
              <w:rPr>
                <w:lang w:eastAsia="en-US"/>
              </w:rPr>
              <w:t>Lutchman Singh et al. (2007)</w:t>
            </w:r>
          </w:p>
        </w:tc>
        <w:tc>
          <w:tcPr>
            <w:tcW w:w="2835" w:type="dxa"/>
          </w:tcPr>
          <w:p w14:paraId="739D3B1A" w14:textId="77777777" w:rsidR="00A81273" w:rsidRPr="00251D59" w:rsidRDefault="00A81273" w:rsidP="004B7632">
            <w:pPr>
              <w:pStyle w:val="Tabletext1"/>
              <w:rPr>
                <w:lang w:eastAsia="en-US"/>
              </w:rPr>
            </w:pPr>
            <w:r w:rsidRPr="00251D59">
              <w:rPr>
                <w:lang w:eastAsia="en-US"/>
              </w:rPr>
              <w:t>EIA AMH/MIS assay</w:t>
            </w:r>
            <w:r>
              <w:rPr>
                <w:lang w:eastAsia="en-US"/>
              </w:rPr>
              <w:t xml:space="preserve"> versus</w:t>
            </w:r>
          </w:p>
          <w:p w14:paraId="71F141EA" w14:textId="77777777" w:rsidR="00A81273" w:rsidRPr="00251D59" w:rsidRDefault="00A81273" w:rsidP="004B7632">
            <w:pPr>
              <w:pStyle w:val="Tabletext1"/>
              <w:rPr>
                <w:lang w:eastAsia="en-US"/>
              </w:rPr>
            </w:pPr>
            <w:r w:rsidRPr="00251D59">
              <w:rPr>
                <w:lang w:eastAsia="en-US"/>
              </w:rPr>
              <w:t>DPC Immuno-radiometric FSH assay</w:t>
            </w:r>
          </w:p>
        </w:tc>
        <w:tc>
          <w:tcPr>
            <w:tcW w:w="3969" w:type="dxa"/>
          </w:tcPr>
          <w:p w14:paraId="4F7A9662" w14:textId="77777777" w:rsidR="00A81273" w:rsidRPr="00251D59" w:rsidRDefault="00A81273" w:rsidP="004B7632">
            <w:pPr>
              <w:pStyle w:val="Tabletext1"/>
              <w:rPr>
                <w:lang w:eastAsia="en-US"/>
              </w:rPr>
            </w:pPr>
            <w:r w:rsidRPr="00251D59">
              <w:rPr>
                <w:lang w:eastAsia="en-US"/>
              </w:rPr>
              <w:t>22 young women with breast cancer pre- and post-treatment and 24 controls</w:t>
            </w:r>
          </w:p>
        </w:tc>
        <w:tc>
          <w:tcPr>
            <w:tcW w:w="4536" w:type="dxa"/>
          </w:tcPr>
          <w:p w14:paraId="2CE8087E" w14:textId="77777777" w:rsidR="00A81273" w:rsidRPr="00251D59" w:rsidRDefault="00A81273" w:rsidP="004B7632">
            <w:pPr>
              <w:pStyle w:val="Tabletext1"/>
              <w:rPr>
                <w:lang w:eastAsia="en-US"/>
              </w:rPr>
            </w:pPr>
            <w:r w:rsidRPr="00251D59">
              <w:rPr>
                <w:lang w:eastAsia="en-US"/>
              </w:rPr>
              <w:t>Pearson’s correlation test showed no correlation between early follicular phase serum levels of AMH and FSH</w:t>
            </w:r>
          </w:p>
        </w:tc>
        <w:tc>
          <w:tcPr>
            <w:tcW w:w="1985" w:type="dxa"/>
          </w:tcPr>
          <w:p w14:paraId="5C9A89E9" w14:textId="77777777" w:rsidR="00A81273" w:rsidRPr="00251D59" w:rsidRDefault="00A81273" w:rsidP="004B7632">
            <w:pPr>
              <w:pStyle w:val="Tabletext1"/>
              <w:rPr>
                <w:lang w:eastAsia="en-US"/>
              </w:rPr>
            </w:pPr>
            <w:r w:rsidRPr="00251D59">
              <w:rPr>
                <w:lang w:eastAsia="en-US"/>
              </w:rPr>
              <w:t>NS: p&gt;0.05</w:t>
            </w:r>
          </w:p>
        </w:tc>
      </w:tr>
    </w:tbl>
    <w:p w14:paraId="18D50BA6" w14:textId="7CE15457" w:rsidR="00A81273" w:rsidRDefault="00A81273" w:rsidP="00A81273">
      <w:pPr>
        <w:pStyle w:val="Tablenotes0"/>
      </w:pPr>
      <w:r>
        <w:t>AFC = antral follicle count; EIA = enzyme Immunoassay; ELISA = enzyme-linked immunosorbent assay; FSH = follicle-stimulating hormone;</w:t>
      </w:r>
      <w:r w:rsidRPr="00F434FC">
        <w:t xml:space="preserve"> </w:t>
      </w:r>
      <w:r>
        <w:t>MIS = Mü</w:t>
      </w:r>
      <w:r w:rsidR="005070FC">
        <w:t>llerian-inhibiting</w:t>
      </w:r>
      <w:r>
        <w:t xml:space="preserve"> substance; NS = not significant; OTC = o</w:t>
      </w:r>
      <w:r w:rsidRPr="009A4F4C">
        <w:t>varian tissue cryopreservation</w:t>
      </w:r>
      <w:r>
        <w:t>;</w:t>
      </w:r>
    </w:p>
    <w:p w14:paraId="402CA01E" w14:textId="1D0F4773" w:rsidR="00A81273" w:rsidRPr="00A543FE" w:rsidRDefault="00A81273" w:rsidP="00A81273">
      <w:pPr>
        <w:pStyle w:val="TableHeading"/>
      </w:pPr>
      <w:bookmarkStart w:id="553" w:name="_Toc502833113"/>
      <w:r w:rsidRPr="00A543FE">
        <w:t xml:space="preserve">Table </w:t>
      </w:r>
      <w:r w:rsidR="00AC4BE5">
        <w:fldChar w:fldCharType="begin"/>
      </w:r>
      <w:r w:rsidR="00AC4BE5">
        <w:instrText xml:space="preserve"> SEQ Table \* ARABIC </w:instrText>
      </w:r>
      <w:r w:rsidR="00AC4BE5">
        <w:fldChar w:fldCharType="separate"/>
      </w:r>
      <w:r w:rsidR="00AC4BE5">
        <w:rPr>
          <w:noProof/>
        </w:rPr>
        <w:t>95</w:t>
      </w:r>
      <w:r w:rsidR="00AC4BE5">
        <w:rPr>
          <w:noProof/>
        </w:rPr>
        <w:fldChar w:fldCharType="end"/>
      </w:r>
      <w:r w:rsidRPr="00A543FE">
        <w:tab/>
      </w:r>
      <w:r>
        <w:t xml:space="preserve">Correlation between </w:t>
      </w:r>
      <w:r w:rsidR="00C22CC2">
        <w:t>AMH and E2</w:t>
      </w:r>
      <w:r>
        <w:t xml:space="preserve"> levels</w:t>
      </w:r>
      <w:bookmarkEnd w:id="553"/>
    </w:p>
    <w:tbl>
      <w:tblPr>
        <w:tblStyle w:val="TableGrid14"/>
        <w:tblW w:w="14454" w:type="dxa"/>
        <w:tblLook w:val="04A0" w:firstRow="1" w:lastRow="0" w:firstColumn="1" w:lastColumn="0" w:noHBand="0" w:noVBand="1"/>
        <w:tblCaption w:val="Correlation between AMH and Oestradiol II levels"/>
        <w:tblDescription w:val="Correlation between AMH and Oestradiol II levels"/>
      </w:tblPr>
      <w:tblGrid>
        <w:gridCol w:w="1146"/>
        <w:gridCol w:w="2818"/>
        <w:gridCol w:w="3969"/>
        <w:gridCol w:w="4536"/>
        <w:gridCol w:w="1985"/>
      </w:tblGrid>
      <w:tr w:rsidR="00A81273" w:rsidRPr="00237B58" w14:paraId="5DC57945" w14:textId="77777777" w:rsidTr="00C22CC2">
        <w:trPr>
          <w:tblHeader/>
        </w:trPr>
        <w:tc>
          <w:tcPr>
            <w:tcW w:w="1146" w:type="dxa"/>
            <w:tcBorders>
              <w:bottom w:val="single" w:sz="4" w:space="0" w:color="auto"/>
            </w:tcBorders>
          </w:tcPr>
          <w:p w14:paraId="0B077D50" w14:textId="77777777" w:rsidR="00A81273" w:rsidRPr="004B7632" w:rsidRDefault="00A81273" w:rsidP="004B7632">
            <w:pPr>
              <w:pStyle w:val="Tabletext1"/>
              <w:rPr>
                <w:b/>
                <w:lang w:eastAsia="en-US"/>
              </w:rPr>
            </w:pPr>
            <w:r w:rsidRPr="004B7632">
              <w:rPr>
                <w:b/>
                <w:lang w:eastAsia="en-US"/>
              </w:rPr>
              <w:t>Study</w:t>
            </w:r>
          </w:p>
        </w:tc>
        <w:tc>
          <w:tcPr>
            <w:tcW w:w="2818" w:type="dxa"/>
            <w:tcBorders>
              <w:bottom w:val="single" w:sz="4" w:space="0" w:color="auto"/>
            </w:tcBorders>
          </w:tcPr>
          <w:p w14:paraId="395F1472" w14:textId="77777777" w:rsidR="00A81273" w:rsidRPr="004B7632" w:rsidRDefault="00A81273" w:rsidP="004B7632">
            <w:pPr>
              <w:pStyle w:val="Tabletext1"/>
              <w:rPr>
                <w:b/>
                <w:lang w:eastAsia="en-US"/>
              </w:rPr>
            </w:pPr>
          </w:p>
        </w:tc>
        <w:tc>
          <w:tcPr>
            <w:tcW w:w="3969" w:type="dxa"/>
            <w:tcBorders>
              <w:bottom w:val="single" w:sz="4" w:space="0" w:color="auto"/>
            </w:tcBorders>
          </w:tcPr>
          <w:p w14:paraId="0FA01D9A" w14:textId="77777777" w:rsidR="00A81273" w:rsidRPr="004B7632" w:rsidRDefault="00A81273" w:rsidP="004B7632">
            <w:pPr>
              <w:pStyle w:val="Tabletext1"/>
              <w:rPr>
                <w:b/>
                <w:lang w:eastAsia="en-US"/>
              </w:rPr>
            </w:pPr>
            <w:r w:rsidRPr="004B7632">
              <w:rPr>
                <w:b/>
                <w:lang w:eastAsia="en-US"/>
              </w:rPr>
              <w:t>Population</w:t>
            </w:r>
          </w:p>
        </w:tc>
        <w:tc>
          <w:tcPr>
            <w:tcW w:w="4536" w:type="dxa"/>
            <w:tcBorders>
              <w:bottom w:val="single" w:sz="4" w:space="0" w:color="auto"/>
            </w:tcBorders>
          </w:tcPr>
          <w:p w14:paraId="0C9C5BAA" w14:textId="77777777" w:rsidR="00A81273" w:rsidRPr="004B7632" w:rsidRDefault="00A81273" w:rsidP="004B7632">
            <w:pPr>
              <w:pStyle w:val="Tabletext1"/>
              <w:rPr>
                <w:b/>
                <w:lang w:eastAsia="en-US"/>
              </w:rPr>
            </w:pPr>
            <w:r w:rsidRPr="004B7632">
              <w:rPr>
                <w:b/>
                <w:lang w:eastAsia="en-US"/>
              </w:rPr>
              <w:t>Correlation</w:t>
            </w:r>
          </w:p>
        </w:tc>
        <w:tc>
          <w:tcPr>
            <w:tcW w:w="1985" w:type="dxa"/>
            <w:tcBorders>
              <w:bottom w:val="single" w:sz="4" w:space="0" w:color="auto"/>
            </w:tcBorders>
          </w:tcPr>
          <w:p w14:paraId="65753D81" w14:textId="77777777" w:rsidR="00A81273" w:rsidRPr="004B7632" w:rsidRDefault="00A81273" w:rsidP="004B7632">
            <w:pPr>
              <w:pStyle w:val="Tabletext1"/>
              <w:rPr>
                <w:b/>
                <w:lang w:eastAsia="en-US"/>
              </w:rPr>
            </w:pPr>
            <w:r w:rsidRPr="004B7632">
              <w:rPr>
                <w:b/>
                <w:lang w:eastAsia="en-US"/>
              </w:rPr>
              <w:t>Coefficient</w:t>
            </w:r>
          </w:p>
        </w:tc>
      </w:tr>
      <w:tr w:rsidR="00A81273" w:rsidRPr="00237B58" w14:paraId="137B6E3A" w14:textId="77777777" w:rsidTr="00D77D42">
        <w:tc>
          <w:tcPr>
            <w:tcW w:w="1146" w:type="dxa"/>
            <w:tcBorders>
              <w:bottom w:val="single" w:sz="4" w:space="0" w:color="auto"/>
              <w:right w:val="nil"/>
            </w:tcBorders>
          </w:tcPr>
          <w:p w14:paraId="7BCA2C1F" w14:textId="77777777" w:rsidR="00A81273" w:rsidRPr="00237B58" w:rsidRDefault="00A81273" w:rsidP="004B7632">
            <w:pPr>
              <w:pStyle w:val="Tabletext1"/>
              <w:rPr>
                <w:lang w:eastAsia="en-US"/>
              </w:rPr>
            </w:pPr>
          </w:p>
        </w:tc>
        <w:tc>
          <w:tcPr>
            <w:tcW w:w="2818" w:type="dxa"/>
            <w:tcBorders>
              <w:bottom w:val="single" w:sz="4" w:space="0" w:color="auto"/>
              <w:right w:val="nil"/>
            </w:tcBorders>
          </w:tcPr>
          <w:p w14:paraId="160B9C39" w14:textId="77777777" w:rsidR="00A81273" w:rsidRPr="00237B58" w:rsidRDefault="00A81273" w:rsidP="004B7632">
            <w:pPr>
              <w:pStyle w:val="Tabletext1"/>
              <w:rPr>
                <w:color w:val="FFFFFF" w:themeColor="background1"/>
                <w:lang w:eastAsia="en-US"/>
              </w:rPr>
            </w:pPr>
          </w:p>
        </w:tc>
        <w:tc>
          <w:tcPr>
            <w:tcW w:w="3969" w:type="dxa"/>
            <w:tcBorders>
              <w:left w:val="nil"/>
              <w:bottom w:val="single" w:sz="4" w:space="0" w:color="auto"/>
              <w:right w:val="nil"/>
            </w:tcBorders>
          </w:tcPr>
          <w:p w14:paraId="5674ED07" w14:textId="77777777" w:rsidR="00A81273" w:rsidRPr="00237B58" w:rsidRDefault="00A81273" w:rsidP="004B7632">
            <w:pPr>
              <w:pStyle w:val="Tabletext1"/>
              <w:rPr>
                <w:color w:val="FFFFFF" w:themeColor="background1"/>
                <w:lang w:eastAsia="en-US"/>
              </w:rPr>
            </w:pPr>
            <w:r w:rsidRPr="00237B58">
              <w:rPr>
                <w:i/>
                <w:u w:val="single"/>
                <w:lang w:eastAsia="en-US"/>
              </w:rPr>
              <w:t>Pre-treatment</w:t>
            </w:r>
          </w:p>
        </w:tc>
        <w:tc>
          <w:tcPr>
            <w:tcW w:w="4536" w:type="dxa"/>
            <w:tcBorders>
              <w:left w:val="nil"/>
              <w:bottom w:val="single" w:sz="4" w:space="0" w:color="auto"/>
              <w:right w:val="nil"/>
            </w:tcBorders>
          </w:tcPr>
          <w:p w14:paraId="5EB619D5" w14:textId="77777777" w:rsidR="00A81273" w:rsidRPr="004B7632" w:rsidRDefault="00A81273" w:rsidP="004B7632">
            <w:pPr>
              <w:pStyle w:val="Tabletext1"/>
              <w:rPr>
                <w:b/>
                <w:color w:val="FFFFFF"/>
                <w:lang w:eastAsia="en-US"/>
              </w:rPr>
            </w:pPr>
            <w:r w:rsidRPr="004B7632">
              <w:rPr>
                <w:b/>
                <w:color w:val="FFFFFF"/>
                <w:lang w:eastAsia="en-US"/>
              </w:rPr>
              <w:t>-</w:t>
            </w:r>
          </w:p>
        </w:tc>
        <w:tc>
          <w:tcPr>
            <w:tcW w:w="1985" w:type="dxa"/>
            <w:tcBorders>
              <w:left w:val="nil"/>
              <w:bottom w:val="single" w:sz="4" w:space="0" w:color="auto"/>
            </w:tcBorders>
          </w:tcPr>
          <w:p w14:paraId="0B09D6A0" w14:textId="77777777" w:rsidR="00A81273" w:rsidRPr="004B7632" w:rsidRDefault="00A81273" w:rsidP="004B7632">
            <w:pPr>
              <w:pStyle w:val="Tabletext1"/>
              <w:rPr>
                <w:b/>
                <w:color w:val="FFFFFF"/>
                <w:lang w:eastAsia="en-US"/>
              </w:rPr>
            </w:pPr>
            <w:r w:rsidRPr="004B7632">
              <w:rPr>
                <w:b/>
                <w:lang w:eastAsia="en-US"/>
              </w:rPr>
              <w:t>Spearman’s rank correlation</w:t>
            </w:r>
          </w:p>
        </w:tc>
      </w:tr>
      <w:tr w:rsidR="00A81273" w:rsidRPr="00237B58" w14:paraId="34CE776B" w14:textId="77777777" w:rsidTr="00D77D42">
        <w:tc>
          <w:tcPr>
            <w:tcW w:w="1146" w:type="dxa"/>
          </w:tcPr>
          <w:p w14:paraId="01406018" w14:textId="77777777" w:rsidR="00A81273" w:rsidRPr="00237B58" w:rsidRDefault="00A81273" w:rsidP="004B7632">
            <w:pPr>
              <w:pStyle w:val="Tabletext1"/>
              <w:rPr>
                <w:lang w:eastAsia="en-US"/>
              </w:rPr>
            </w:pPr>
            <w:r w:rsidRPr="00237B58">
              <w:rPr>
                <w:lang w:eastAsia="en-US"/>
              </w:rPr>
              <w:t>Fabbri et al. (2014)</w:t>
            </w:r>
          </w:p>
        </w:tc>
        <w:tc>
          <w:tcPr>
            <w:tcW w:w="2818" w:type="dxa"/>
          </w:tcPr>
          <w:p w14:paraId="1DB334F7" w14:textId="77777777" w:rsidR="00A81273" w:rsidRPr="00237B58" w:rsidRDefault="00A81273" w:rsidP="004B7632">
            <w:pPr>
              <w:pStyle w:val="Tabletext1"/>
              <w:rPr>
                <w:lang w:eastAsia="en-US"/>
              </w:rPr>
            </w:pPr>
            <w:r w:rsidRPr="00237B58">
              <w:rPr>
                <w:lang w:eastAsia="en-US"/>
              </w:rPr>
              <w:t>AMH Gen II ELISA</w:t>
            </w:r>
            <w:r>
              <w:rPr>
                <w:lang w:eastAsia="en-US"/>
              </w:rPr>
              <w:t xml:space="preserve"> versus</w:t>
            </w:r>
          </w:p>
          <w:p w14:paraId="7F039CB4" w14:textId="77777777" w:rsidR="00A81273" w:rsidRPr="00237B58" w:rsidRDefault="00A81273" w:rsidP="004B7632">
            <w:pPr>
              <w:pStyle w:val="Tabletext1"/>
              <w:rPr>
                <w:lang w:eastAsia="en-US"/>
              </w:rPr>
            </w:pPr>
            <w:r w:rsidRPr="00237B58">
              <w:rPr>
                <w:lang w:eastAsia="en-US"/>
              </w:rPr>
              <w:t>E2 Elecsys assay</w:t>
            </w:r>
          </w:p>
        </w:tc>
        <w:tc>
          <w:tcPr>
            <w:tcW w:w="3969" w:type="dxa"/>
          </w:tcPr>
          <w:p w14:paraId="489F9AD7" w14:textId="77777777" w:rsidR="00A81273" w:rsidRPr="00237B58" w:rsidRDefault="00A81273" w:rsidP="004B7632">
            <w:pPr>
              <w:pStyle w:val="Tabletext1"/>
              <w:rPr>
                <w:lang w:eastAsia="en-US"/>
              </w:rPr>
            </w:pPr>
            <w:r w:rsidRPr="00237B58">
              <w:rPr>
                <w:lang w:eastAsia="en-US"/>
              </w:rPr>
              <w:t xml:space="preserve">86 women with various non-gynaecological malignancies who underwent </w:t>
            </w:r>
            <w:r>
              <w:rPr>
                <w:lang w:eastAsia="en-US"/>
              </w:rPr>
              <w:t>OTC</w:t>
            </w:r>
          </w:p>
        </w:tc>
        <w:tc>
          <w:tcPr>
            <w:tcW w:w="4536" w:type="dxa"/>
          </w:tcPr>
          <w:p w14:paraId="2E040C7D" w14:textId="4FDD43E9" w:rsidR="00A81273" w:rsidRPr="00237B58" w:rsidRDefault="00A81273" w:rsidP="004B7632">
            <w:pPr>
              <w:pStyle w:val="Tabletext1"/>
              <w:rPr>
                <w:i/>
                <w:lang w:eastAsia="en-US"/>
              </w:rPr>
            </w:pPr>
            <w:r w:rsidRPr="00237B58">
              <w:rPr>
                <w:lang w:eastAsia="en-US"/>
              </w:rPr>
              <w:t xml:space="preserve">AMH levels were inversely correlated to </w:t>
            </w:r>
            <w:r w:rsidR="009D0F25">
              <w:rPr>
                <w:lang w:eastAsia="en-US"/>
              </w:rPr>
              <w:t>E2</w:t>
            </w:r>
            <w:r w:rsidRPr="00237B58">
              <w:rPr>
                <w:lang w:eastAsia="en-US"/>
              </w:rPr>
              <w:t xml:space="preserve"> levels in the early follicular phase.</w:t>
            </w:r>
          </w:p>
        </w:tc>
        <w:tc>
          <w:tcPr>
            <w:tcW w:w="1985" w:type="dxa"/>
          </w:tcPr>
          <w:p w14:paraId="6C5FDDD7" w14:textId="3ECD66A8" w:rsidR="00A81273" w:rsidRPr="00237B58" w:rsidRDefault="00A81273" w:rsidP="004B7632">
            <w:pPr>
              <w:pStyle w:val="Tabletext1"/>
              <w:rPr>
                <w:lang w:eastAsia="en-US"/>
              </w:rPr>
            </w:pPr>
            <w:r w:rsidRPr="00237B58">
              <w:rPr>
                <w:lang w:eastAsia="en-US"/>
              </w:rPr>
              <w:t>rho</w:t>
            </w:r>
            <w:r w:rsidR="00EB382C">
              <w:rPr>
                <w:lang w:eastAsia="en-US"/>
              </w:rPr>
              <w:t>= -</w:t>
            </w:r>
            <w:r w:rsidRPr="00237B58">
              <w:rPr>
                <w:lang w:eastAsia="en-US"/>
              </w:rPr>
              <w:t>0.64</w:t>
            </w:r>
            <w:r>
              <w:rPr>
                <w:lang w:eastAsia="en-US"/>
              </w:rPr>
              <w:t xml:space="preserve">, </w:t>
            </w:r>
            <w:r w:rsidRPr="00237B58">
              <w:rPr>
                <w:lang w:eastAsia="en-US"/>
              </w:rPr>
              <w:t>p=0.007</w:t>
            </w:r>
          </w:p>
        </w:tc>
      </w:tr>
      <w:tr w:rsidR="00A81273" w:rsidRPr="00237B58" w14:paraId="0B896EEF" w14:textId="77777777" w:rsidTr="00D77D42">
        <w:tc>
          <w:tcPr>
            <w:tcW w:w="1146" w:type="dxa"/>
            <w:tcBorders>
              <w:bottom w:val="single" w:sz="4" w:space="0" w:color="auto"/>
            </w:tcBorders>
          </w:tcPr>
          <w:p w14:paraId="6FC81684" w14:textId="77777777" w:rsidR="00A81273" w:rsidRPr="00237B58" w:rsidRDefault="00A81273" w:rsidP="004B7632">
            <w:pPr>
              <w:pStyle w:val="Tabletext1"/>
              <w:rPr>
                <w:lang w:eastAsia="en-US"/>
              </w:rPr>
            </w:pPr>
            <w:r w:rsidRPr="00237B58">
              <w:rPr>
                <w:lang w:eastAsia="en-US"/>
              </w:rPr>
              <w:t>Paradisi et al. (2016)</w:t>
            </w:r>
          </w:p>
        </w:tc>
        <w:tc>
          <w:tcPr>
            <w:tcW w:w="2818" w:type="dxa"/>
            <w:tcBorders>
              <w:bottom w:val="single" w:sz="4" w:space="0" w:color="auto"/>
            </w:tcBorders>
          </w:tcPr>
          <w:p w14:paraId="6A14AD34" w14:textId="77777777" w:rsidR="00A81273" w:rsidRPr="00237B58" w:rsidRDefault="00A81273" w:rsidP="004B7632">
            <w:pPr>
              <w:pStyle w:val="Tabletext1"/>
              <w:rPr>
                <w:lang w:eastAsia="en-US"/>
              </w:rPr>
            </w:pPr>
            <w:r w:rsidRPr="00237B58">
              <w:rPr>
                <w:lang w:eastAsia="en-US"/>
              </w:rPr>
              <w:t>AMH Gen II ELISA kit</w:t>
            </w:r>
            <w:r>
              <w:rPr>
                <w:lang w:eastAsia="en-US"/>
              </w:rPr>
              <w:t xml:space="preserve"> versus</w:t>
            </w:r>
          </w:p>
          <w:p w14:paraId="3645896B" w14:textId="77777777" w:rsidR="00A81273" w:rsidRPr="00237B58" w:rsidRDefault="00A81273" w:rsidP="004B7632">
            <w:pPr>
              <w:pStyle w:val="Tabletext1"/>
              <w:rPr>
                <w:lang w:eastAsia="en-US"/>
              </w:rPr>
            </w:pPr>
            <w:r w:rsidRPr="00237B58">
              <w:rPr>
                <w:lang w:eastAsia="en-US"/>
              </w:rPr>
              <w:t>E2 Elecsys assay</w:t>
            </w:r>
          </w:p>
        </w:tc>
        <w:tc>
          <w:tcPr>
            <w:tcW w:w="3969" w:type="dxa"/>
            <w:tcBorders>
              <w:bottom w:val="single" w:sz="4" w:space="0" w:color="auto"/>
            </w:tcBorders>
          </w:tcPr>
          <w:p w14:paraId="24B5AC6F" w14:textId="77777777" w:rsidR="00A81273" w:rsidRPr="00237B58" w:rsidRDefault="00A81273" w:rsidP="004B7632">
            <w:pPr>
              <w:pStyle w:val="Tabletext1"/>
              <w:rPr>
                <w:lang w:eastAsia="en-US"/>
              </w:rPr>
            </w:pPr>
            <w:r w:rsidRPr="00237B58">
              <w:rPr>
                <w:lang w:eastAsia="en-US"/>
              </w:rPr>
              <w:t>191 cancer patients before chemo-radiotherapy and OTC and 43 controls</w:t>
            </w:r>
          </w:p>
        </w:tc>
        <w:tc>
          <w:tcPr>
            <w:tcW w:w="4536" w:type="dxa"/>
            <w:tcBorders>
              <w:bottom w:val="single" w:sz="4" w:space="0" w:color="auto"/>
            </w:tcBorders>
          </w:tcPr>
          <w:p w14:paraId="68A4DAA4" w14:textId="404024B2" w:rsidR="00A81273" w:rsidRPr="00237B58" w:rsidRDefault="00A81273" w:rsidP="004B7632">
            <w:pPr>
              <w:pStyle w:val="Tabletext1"/>
              <w:rPr>
                <w:lang w:eastAsia="en-US"/>
              </w:rPr>
            </w:pPr>
            <w:r w:rsidRPr="00237B58">
              <w:rPr>
                <w:lang w:eastAsia="en-US"/>
              </w:rPr>
              <w:t xml:space="preserve">There was a weak correlation between serum levels of AMH and </w:t>
            </w:r>
            <w:r w:rsidR="009D0F25">
              <w:rPr>
                <w:lang w:eastAsia="en-US"/>
              </w:rPr>
              <w:t>E2</w:t>
            </w:r>
            <w:r w:rsidRPr="00237B58">
              <w:rPr>
                <w:lang w:eastAsia="en-US"/>
              </w:rPr>
              <w:t xml:space="preserve"> throughout the whole menstrual cycle in the entire study population</w:t>
            </w:r>
            <w:r w:rsidR="00E830B2">
              <w:rPr>
                <w:lang w:eastAsia="en-US"/>
              </w:rPr>
              <w:t>.</w:t>
            </w:r>
          </w:p>
        </w:tc>
        <w:tc>
          <w:tcPr>
            <w:tcW w:w="1985" w:type="dxa"/>
            <w:tcBorders>
              <w:bottom w:val="single" w:sz="4" w:space="0" w:color="auto"/>
            </w:tcBorders>
          </w:tcPr>
          <w:p w14:paraId="1764A7E3" w14:textId="28113C3B" w:rsidR="00A81273" w:rsidRPr="00237B58" w:rsidRDefault="00A81273" w:rsidP="004B7632">
            <w:pPr>
              <w:pStyle w:val="Tabletext1"/>
              <w:rPr>
                <w:lang w:eastAsia="en-US"/>
              </w:rPr>
            </w:pPr>
            <w:r w:rsidRPr="00237B58">
              <w:rPr>
                <w:lang w:eastAsia="en-US"/>
              </w:rPr>
              <w:t>rho</w:t>
            </w:r>
            <w:r w:rsidR="00EB382C">
              <w:rPr>
                <w:lang w:eastAsia="en-US"/>
              </w:rPr>
              <w:t>=</w:t>
            </w:r>
            <w:r w:rsidRPr="00237B58">
              <w:rPr>
                <w:lang w:eastAsia="en-US"/>
              </w:rPr>
              <w:t>0.15</w:t>
            </w:r>
            <w:r>
              <w:rPr>
                <w:lang w:eastAsia="en-US"/>
              </w:rPr>
              <w:t xml:space="preserve">, </w:t>
            </w:r>
            <w:r w:rsidRPr="00237B58">
              <w:rPr>
                <w:lang w:eastAsia="en-US"/>
              </w:rPr>
              <w:t>p=0.044</w:t>
            </w:r>
          </w:p>
        </w:tc>
      </w:tr>
      <w:tr w:rsidR="00A81273" w:rsidRPr="00237B58" w14:paraId="4CCE9A7E" w14:textId="77777777" w:rsidTr="00D77D42">
        <w:tc>
          <w:tcPr>
            <w:tcW w:w="1146" w:type="dxa"/>
            <w:tcBorders>
              <w:bottom w:val="single" w:sz="4" w:space="0" w:color="auto"/>
              <w:right w:val="nil"/>
            </w:tcBorders>
          </w:tcPr>
          <w:p w14:paraId="32717488" w14:textId="77777777" w:rsidR="00A81273" w:rsidRPr="00237B58" w:rsidRDefault="00A81273" w:rsidP="004B7632">
            <w:pPr>
              <w:pStyle w:val="Tabletext1"/>
              <w:rPr>
                <w:i/>
                <w:color w:val="FFFFFF" w:themeColor="background1"/>
                <w:u w:val="single"/>
                <w:lang w:eastAsia="en-US"/>
              </w:rPr>
            </w:pPr>
            <w:r w:rsidRPr="002A4F9A">
              <w:rPr>
                <w:i/>
                <w:color w:val="FFFFFF" w:themeColor="background1"/>
                <w:u w:val="single"/>
                <w:lang w:eastAsia="en-US"/>
              </w:rPr>
              <w:t>-</w:t>
            </w:r>
          </w:p>
        </w:tc>
        <w:tc>
          <w:tcPr>
            <w:tcW w:w="2818" w:type="dxa"/>
            <w:tcBorders>
              <w:left w:val="nil"/>
              <w:bottom w:val="single" w:sz="4" w:space="0" w:color="auto"/>
              <w:right w:val="nil"/>
            </w:tcBorders>
          </w:tcPr>
          <w:p w14:paraId="4590579A" w14:textId="77777777" w:rsidR="00A81273" w:rsidRPr="002A4F9A" w:rsidRDefault="00A81273" w:rsidP="004B7632">
            <w:pPr>
              <w:pStyle w:val="Tabletext1"/>
              <w:rPr>
                <w:i/>
                <w:color w:val="FFFFFF" w:themeColor="background1"/>
                <w:u w:val="single"/>
                <w:lang w:eastAsia="en-US"/>
              </w:rPr>
            </w:pPr>
          </w:p>
        </w:tc>
        <w:tc>
          <w:tcPr>
            <w:tcW w:w="3969" w:type="dxa"/>
            <w:tcBorders>
              <w:left w:val="nil"/>
              <w:bottom w:val="single" w:sz="4" w:space="0" w:color="auto"/>
              <w:right w:val="nil"/>
            </w:tcBorders>
          </w:tcPr>
          <w:p w14:paraId="4D7D92C0" w14:textId="77777777" w:rsidR="00A81273" w:rsidRPr="00237B58" w:rsidRDefault="00A81273" w:rsidP="004B7632">
            <w:pPr>
              <w:pStyle w:val="Tabletext1"/>
              <w:rPr>
                <w:i/>
                <w:color w:val="FFFFFF" w:themeColor="background1"/>
                <w:u w:val="single"/>
                <w:lang w:eastAsia="en-US"/>
              </w:rPr>
            </w:pPr>
            <w:r w:rsidRPr="00237B58">
              <w:rPr>
                <w:i/>
                <w:u w:val="single"/>
                <w:lang w:eastAsia="en-US"/>
              </w:rPr>
              <w:t>Post-treatment</w:t>
            </w:r>
          </w:p>
        </w:tc>
        <w:tc>
          <w:tcPr>
            <w:tcW w:w="4536" w:type="dxa"/>
            <w:tcBorders>
              <w:left w:val="nil"/>
              <w:bottom w:val="single" w:sz="4" w:space="0" w:color="auto"/>
              <w:right w:val="nil"/>
            </w:tcBorders>
          </w:tcPr>
          <w:p w14:paraId="6573A77D" w14:textId="77777777" w:rsidR="00A81273" w:rsidRPr="00237B58" w:rsidRDefault="00A81273" w:rsidP="004B7632">
            <w:pPr>
              <w:pStyle w:val="Tabletext1"/>
              <w:rPr>
                <w:i/>
                <w:color w:val="FFFFFF" w:themeColor="background1"/>
                <w:u w:val="single"/>
                <w:lang w:eastAsia="en-US"/>
              </w:rPr>
            </w:pPr>
            <w:r w:rsidRPr="00237B58">
              <w:rPr>
                <w:i/>
                <w:color w:val="FFFFFF" w:themeColor="background1"/>
                <w:u w:val="single"/>
                <w:lang w:eastAsia="en-US"/>
              </w:rPr>
              <w:t>-</w:t>
            </w:r>
          </w:p>
        </w:tc>
        <w:tc>
          <w:tcPr>
            <w:tcW w:w="1985" w:type="dxa"/>
            <w:tcBorders>
              <w:left w:val="nil"/>
              <w:bottom w:val="single" w:sz="4" w:space="0" w:color="auto"/>
            </w:tcBorders>
          </w:tcPr>
          <w:p w14:paraId="20ED5B27" w14:textId="77777777" w:rsidR="00A81273" w:rsidRPr="00237B58" w:rsidRDefault="00A81273" w:rsidP="004B7632">
            <w:pPr>
              <w:pStyle w:val="Tabletext1"/>
              <w:rPr>
                <w:i/>
                <w:color w:val="FFFFFF" w:themeColor="background1"/>
                <w:u w:val="single"/>
                <w:lang w:eastAsia="en-US"/>
              </w:rPr>
            </w:pPr>
            <w:r w:rsidRPr="00237B58">
              <w:rPr>
                <w:i/>
                <w:color w:val="FFFFFF" w:themeColor="background1"/>
                <w:u w:val="single"/>
                <w:lang w:eastAsia="en-US"/>
              </w:rPr>
              <w:t>-</w:t>
            </w:r>
          </w:p>
        </w:tc>
      </w:tr>
      <w:tr w:rsidR="00A81273" w:rsidRPr="00237B58" w14:paraId="11FC6E19" w14:textId="77777777" w:rsidTr="00D77D42">
        <w:tc>
          <w:tcPr>
            <w:tcW w:w="1146" w:type="dxa"/>
            <w:tcBorders>
              <w:bottom w:val="single" w:sz="4" w:space="0" w:color="auto"/>
            </w:tcBorders>
          </w:tcPr>
          <w:p w14:paraId="2D09BDE0" w14:textId="77777777" w:rsidR="00A81273" w:rsidRPr="00237B58" w:rsidRDefault="00A81273" w:rsidP="004B7632">
            <w:pPr>
              <w:pStyle w:val="Tabletext1"/>
              <w:rPr>
                <w:lang w:eastAsia="en-US"/>
              </w:rPr>
            </w:pPr>
            <w:r w:rsidRPr="00237B58">
              <w:rPr>
                <w:lang w:eastAsia="en-US"/>
              </w:rPr>
              <w:t>Kim et al. (2016)</w:t>
            </w:r>
          </w:p>
        </w:tc>
        <w:tc>
          <w:tcPr>
            <w:tcW w:w="2818" w:type="dxa"/>
            <w:tcBorders>
              <w:bottom w:val="single" w:sz="4" w:space="0" w:color="auto"/>
            </w:tcBorders>
          </w:tcPr>
          <w:p w14:paraId="69C5F5A4" w14:textId="77777777" w:rsidR="00A81273" w:rsidRPr="00237B58" w:rsidRDefault="00A81273" w:rsidP="004B7632">
            <w:pPr>
              <w:pStyle w:val="Tabletext1"/>
              <w:rPr>
                <w:lang w:eastAsia="en-US"/>
              </w:rPr>
            </w:pPr>
            <w:r w:rsidRPr="00237B58">
              <w:rPr>
                <w:lang w:eastAsia="en-US"/>
              </w:rPr>
              <w:t>USCN AMH ELISA</w:t>
            </w:r>
            <w:r>
              <w:rPr>
                <w:lang w:eastAsia="en-US"/>
              </w:rPr>
              <w:t xml:space="preserve"> versus</w:t>
            </w:r>
          </w:p>
          <w:p w14:paraId="6A6D886A" w14:textId="77777777" w:rsidR="00A81273" w:rsidRPr="00237B58" w:rsidRDefault="00A81273" w:rsidP="004B7632">
            <w:pPr>
              <w:pStyle w:val="Tabletext1"/>
              <w:rPr>
                <w:lang w:eastAsia="en-US"/>
              </w:rPr>
            </w:pPr>
            <w:r w:rsidRPr="00237B58">
              <w:rPr>
                <w:lang w:eastAsia="en-US"/>
              </w:rPr>
              <w:t>E2 Elecsys assay</w:t>
            </w:r>
          </w:p>
        </w:tc>
        <w:tc>
          <w:tcPr>
            <w:tcW w:w="3969" w:type="dxa"/>
            <w:tcBorders>
              <w:bottom w:val="single" w:sz="4" w:space="0" w:color="auto"/>
            </w:tcBorders>
          </w:tcPr>
          <w:p w14:paraId="071743AC" w14:textId="42ADBC0D" w:rsidR="00A81273" w:rsidRPr="00237B58" w:rsidRDefault="00A81273" w:rsidP="004B7632">
            <w:pPr>
              <w:pStyle w:val="Tabletext1"/>
              <w:rPr>
                <w:lang w:eastAsia="en-US"/>
              </w:rPr>
            </w:pPr>
            <w:r w:rsidRPr="00237B58">
              <w:rPr>
                <w:lang w:eastAsia="en-US"/>
              </w:rPr>
              <w:t>32 pre</w:t>
            </w:r>
            <w:r w:rsidR="003036C4">
              <w:rPr>
                <w:lang w:eastAsia="en-US"/>
              </w:rPr>
              <w:t>-menopausal</w:t>
            </w:r>
            <w:r w:rsidRPr="00237B58">
              <w:rPr>
                <w:lang w:eastAsia="en-US"/>
              </w:rPr>
              <w:t xml:space="preserve"> women with clinical stage III hormone receptor-positive invasive ductal breast cancer treated by neoadjuvant chemotherapy</w:t>
            </w:r>
          </w:p>
        </w:tc>
        <w:tc>
          <w:tcPr>
            <w:tcW w:w="4536" w:type="dxa"/>
            <w:tcBorders>
              <w:bottom w:val="single" w:sz="4" w:space="0" w:color="auto"/>
            </w:tcBorders>
          </w:tcPr>
          <w:p w14:paraId="228BC5F3" w14:textId="39508E49" w:rsidR="00A81273" w:rsidRPr="00237B58" w:rsidRDefault="00A81273" w:rsidP="004B7632">
            <w:pPr>
              <w:pStyle w:val="Tabletext1"/>
              <w:rPr>
                <w:lang w:eastAsia="en-US"/>
              </w:rPr>
            </w:pPr>
            <w:r w:rsidRPr="00237B58">
              <w:rPr>
                <w:lang w:eastAsia="en-US"/>
              </w:rPr>
              <w:t xml:space="preserve">The was a correlation between serum levels of AMH and </w:t>
            </w:r>
            <w:r w:rsidR="00E830B2">
              <w:rPr>
                <w:lang w:eastAsia="en-US"/>
              </w:rPr>
              <w:t>E</w:t>
            </w:r>
            <w:r w:rsidR="009D0F25">
              <w:rPr>
                <w:lang w:eastAsia="en-US"/>
              </w:rPr>
              <w:t>2</w:t>
            </w:r>
            <w:r w:rsidR="00E830B2">
              <w:rPr>
                <w:lang w:eastAsia="en-US"/>
              </w:rPr>
              <w:t>.</w:t>
            </w:r>
          </w:p>
        </w:tc>
        <w:tc>
          <w:tcPr>
            <w:tcW w:w="1985" w:type="dxa"/>
            <w:tcBorders>
              <w:bottom w:val="single" w:sz="4" w:space="0" w:color="auto"/>
            </w:tcBorders>
          </w:tcPr>
          <w:p w14:paraId="6735B20C" w14:textId="79F88C00" w:rsidR="00A81273" w:rsidRPr="00237B58" w:rsidRDefault="00A81273" w:rsidP="004B7632">
            <w:pPr>
              <w:pStyle w:val="Tabletext1"/>
              <w:rPr>
                <w:lang w:eastAsia="en-US"/>
              </w:rPr>
            </w:pPr>
            <w:r w:rsidRPr="00237B58">
              <w:rPr>
                <w:lang w:eastAsia="en-US"/>
              </w:rPr>
              <w:t>rho</w:t>
            </w:r>
            <w:r w:rsidR="00EB382C">
              <w:rPr>
                <w:lang w:eastAsia="en-US"/>
              </w:rPr>
              <w:t>=</w:t>
            </w:r>
            <w:r w:rsidRPr="00237B58">
              <w:rPr>
                <w:lang w:eastAsia="en-US"/>
              </w:rPr>
              <w:t>0.441</w:t>
            </w:r>
            <w:r>
              <w:rPr>
                <w:lang w:eastAsia="en-US"/>
              </w:rPr>
              <w:t xml:space="preserve">, </w:t>
            </w:r>
            <w:r w:rsidRPr="00237B58">
              <w:rPr>
                <w:lang w:eastAsia="en-US"/>
              </w:rPr>
              <w:t>p&lt;0.05</w:t>
            </w:r>
          </w:p>
        </w:tc>
      </w:tr>
      <w:tr w:rsidR="00A81273" w:rsidRPr="00237B58" w14:paraId="00C0149F" w14:textId="77777777" w:rsidTr="00D77D42">
        <w:tc>
          <w:tcPr>
            <w:tcW w:w="1146" w:type="dxa"/>
            <w:tcBorders>
              <w:bottom w:val="single" w:sz="4" w:space="0" w:color="auto"/>
              <w:right w:val="nil"/>
            </w:tcBorders>
          </w:tcPr>
          <w:p w14:paraId="1C18729A" w14:textId="77777777" w:rsidR="00A81273" w:rsidRPr="00237B58" w:rsidRDefault="00A81273" w:rsidP="004B7632">
            <w:pPr>
              <w:pStyle w:val="Tabletext1"/>
              <w:rPr>
                <w:color w:val="FFFFFF" w:themeColor="background1"/>
                <w:lang w:eastAsia="en-US"/>
              </w:rPr>
            </w:pPr>
            <w:r w:rsidRPr="002A4F9A">
              <w:rPr>
                <w:color w:val="FFFFFF" w:themeColor="background1"/>
                <w:lang w:eastAsia="en-US"/>
              </w:rPr>
              <w:t>-</w:t>
            </w:r>
          </w:p>
        </w:tc>
        <w:tc>
          <w:tcPr>
            <w:tcW w:w="2818" w:type="dxa"/>
            <w:tcBorders>
              <w:left w:val="nil"/>
              <w:bottom w:val="single" w:sz="4" w:space="0" w:color="auto"/>
              <w:right w:val="nil"/>
            </w:tcBorders>
          </w:tcPr>
          <w:p w14:paraId="70F1364A" w14:textId="77777777" w:rsidR="00A81273" w:rsidRPr="002A4F9A" w:rsidRDefault="00A81273" w:rsidP="004B7632">
            <w:pPr>
              <w:pStyle w:val="Tabletext1"/>
              <w:rPr>
                <w:color w:val="FFFFFF" w:themeColor="background1"/>
                <w:lang w:eastAsia="en-US"/>
              </w:rPr>
            </w:pPr>
          </w:p>
        </w:tc>
        <w:tc>
          <w:tcPr>
            <w:tcW w:w="3969" w:type="dxa"/>
            <w:tcBorders>
              <w:left w:val="nil"/>
              <w:bottom w:val="single" w:sz="4" w:space="0" w:color="auto"/>
              <w:right w:val="nil"/>
            </w:tcBorders>
          </w:tcPr>
          <w:p w14:paraId="70BCA57F" w14:textId="77777777" w:rsidR="00A81273" w:rsidRPr="00237B58" w:rsidRDefault="00A81273" w:rsidP="004B7632">
            <w:pPr>
              <w:pStyle w:val="Tabletext1"/>
              <w:rPr>
                <w:color w:val="FFFFFF" w:themeColor="background1"/>
                <w:lang w:eastAsia="en-US"/>
              </w:rPr>
            </w:pPr>
            <w:r w:rsidRPr="00237B58">
              <w:rPr>
                <w:i/>
                <w:u w:val="single"/>
                <w:lang w:eastAsia="en-US"/>
              </w:rPr>
              <w:t>Pre</w:t>
            </w:r>
            <w:r>
              <w:rPr>
                <w:i/>
                <w:u w:val="single"/>
                <w:lang w:eastAsia="en-US"/>
              </w:rPr>
              <w:t>-</w:t>
            </w:r>
            <w:r w:rsidRPr="00237B58">
              <w:rPr>
                <w:i/>
                <w:u w:val="single"/>
                <w:lang w:eastAsia="en-US"/>
              </w:rPr>
              <w:t xml:space="preserve"> and post</w:t>
            </w:r>
            <w:r>
              <w:rPr>
                <w:i/>
                <w:u w:val="single"/>
                <w:lang w:eastAsia="en-US"/>
              </w:rPr>
              <w:t>-treatment</w:t>
            </w:r>
          </w:p>
        </w:tc>
        <w:tc>
          <w:tcPr>
            <w:tcW w:w="4536" w:type="dxa"/>
            <w:tcBorders>
              <w:left w:val="nil"/>
              <w:bottom w:val="single" w:sz="4" w:space="0" w:color="auto"/>
              <w:right w:val="nil"/>
            </w:tcBorders>
          </w:tcPr>
          <w:p w14:paraId="1025F9A4" w14:textId="77777777" w:rsidR="00A81273" w:rsidRPr="00237B58" w:rsidRDefault="00A81273" w:rsidP="004B7632">
            <w:pPr>
              <w:pStyle w:val="Tabletext1"/>
              <w:rPr>
                <w:color w:val="FFFFFF"/>
                <w:lang w:eastAsia="en-US"/>
              </w:rPr>
            </w:pPr>
            <w:r w:rsidRPr="00237B58">
              <w:rPr>
                <w:color w:val="FFFFFF"/>
                <w:lang w:eastAsia="en-US"/>
              </w:rPr>
              <w:t>-</w:t>
            </w:r>
          </w:p>
        </w:tc>
        <w:tc>
          <w:tcPr>
            <w:tcW w:w="1985" w:type="dxa"/>
            <w:tcBorders>
              <w:left w:val="nil"/>
              <w:bottom w:val="single" w:sz="4" w:space="0" w:color="auto"/>
            </w:tcBorders>
          </w:tcPr>
          <w:p w14:paraId="1BE6CFD6" w14:textId="77777777" w:rsidR="00A81273" w:rsidRPr="004B7632" w:rsidRDefault="00A81273" w:rsidP="004B7632">
            <w:pPr>
              <w:pStyle w:val="Tabletext1"/>
              <w:rPr>
                <w:b/>
                <w:i/>
                <w:color w:val="FFFFFF"/>
                <w:lang w:eastAsia="en-US"/>
              </w:rPr>
            </w:pPr>
            <w:r w:rsidRPr="004B7632">
              <w:rPr>
                <w:b/>
                <w:lang w:eastAsia="en-US"/>
              </w:rPr>
              <w:t>Pearson’s bivariate correlation</w:t>
            </w:r>
          </w:p>
        </w:tc>
      </w:tr>
      <w:tr w:rsidR="00A81273" w:rsidRPr="00237B58" w14:paraId="3FE4F534" w14:textId="77777777" w:rsidTr="00D77D42">
        <w:tc>
          <w:tcPr>
            <w:tcW w:w="1146" w:type="dxa"/>
          </w:tcPr>
          <w:p w14:paraId="63E3BD00" w14:textId="77777777" w:rsidR="00A81273" w:rsidRPr="00237B58" w:rsidRDefault="00A81273" w:rsidP="004B7632">
            <w:pPr>
              <w:pStyle w:val="Tabletext1"/>
              <w:rPr>
                <w:lang w:eastAsia="en-US"/>
              </w:rPr>
            </w:pPr>
            <w:r w:rsidRPr="00237B58">
              <w:rPr>
                <w:lang w:eastAsia="en-US"/>
              </w:rPr>
              <w:t>Lutchman Singh et al. (2007)</w:t>
            </w:r>
          </w:p>
        </w:tc>
        <w:tc>
          <w:tcPr>
            <w:tcW w:w="2818" w:type="dxa"/>
          </w:tcPr>
          <w:p w14:paraId="32D68D68" w14:textId="77777777" w:rsidR="00A81273" w:rsidRPr="00237B58" w:rsidRDefault="00A81273" w:rsidP="004B7632">
            <w:pPr>
              <w:pStyle w:val="Tabletext1"/>
              <w:rPr>
                <w:lang w:eastAsia="en-US"/>
              </w:rPr>
            </w:pPr>
            <w:r w:rsidRPr="00237B58">
              <w:rPr>
                <w:lang w:eastAsia="en-US"/>
              </w:rPr>
              <w:t>EIA AMH/MIS assay</w:t>
            </w:r>
            <w:r>
              <w:rPr>
                <w:lang w:eastAsia="en-US"/>
              </w:rPr>
              <w:t xml:space="preserve"> versus</w:t>
            </w:r>
          </w:p>
          <w:p w14:paraId="6BFB9D01" w14:textId="77777777" w:rsidR="00A81273" w:rsidRPr="00237B58" w:rsidRDefault="00A81273" w:rsidP="004B7632">
            <w:pPr>
              <w:pStyle w:val="Tabletext1"/>
              <w:rPr>
                <w:lang w:eastAsia="en-US"/>
              </w:rPr>
            </w:pPr>
            <w:r w:rsidRPr="00237B58">
              <w:rPr>
                <w:lang w:eastAsia="en-US"/>
              </w:rPr>
              <w:t>IBL E2 ELISA</w:t>
            </w:r>
          </w:p>
        </w:tc>
        <w:tc>
          <w:tcPr>
            <w:tcW w:w="3969" w:type="dxa"/>
          </w:tcPr>
          <w:p w14:paraId="2EC3217B" w14:textId="77777777" w:rsidR="00A81273" w:rsidRPr="00237B58" w:rsidRDefault="00A81273" w:rsidP="004B7632">
            <w:pPr>
              <w:pStyle w:val="Tabletext1"/>
              <w:rPr>
                <w:lang w:eastAsia="en-US"/>
              </w:rPr>
            </w:pPr>
            <w:r w:rsidRPr="00237B58">
              <w:rPr>
                <w:lang w:eastAsia="en-US"/>
              </w:rPr>
              <w:t>22 young women with breast cancer pre- and post-treatment and 24 controls</w:t>
            </w:r>
          </w:p>
        </w:tc>
        <w:tc>
          <w:tcPr>
            <w:tcW w:w="4536" w:type="dxa"/>
          </w:tcPr>
          <w:p w14:paraId="0EE837BD" w14:textId="626F57AB" w:rsidR="00A81273" w:rsidRPr="00237B58" w:rsidRDefault="00A81273" w:rsidP="004B7632">
            <w:pPr>
              <w:pStyle w:val="Tabletext1"/>
              <w:rPr>
                <w:lang w:eastAsia="en-US"/>
              </w:rPr>
            </w:pPr>
            <w:r w:rsidRPr="00237B58">
              <w:rPr>
                <w:lang w:eastAsia="en-US"/>
              </w:rPr>
              <w:t xml:space="preserve">Pearson’s correlation test showed no correlation between early follicular phase serum levels of AMH and </w:t>
            </w:r>
            <w:r w:rsidR="009D0F25">
              <w:rPr>
                <w:lang w:eastAsia="en-US"/>
              </w:rPr>
              <w:t>E2</w:t>
            </w:r>
            <w:r w:rsidR="00E830B2">
              <w:rPr>
                <w:lang w:eastAsia="en-US"/>
              </w:rPr>
              <w:t>.</w:t>
            </w:r>
          </w:p>
        </w:tc>
        <w:tc>
          <w:tcPr>
            <w:tcW w:w="1985" w:type="dxa"/>
          </w:tcPr>
          <w:p w14:paraId="7DAF0F25" w14:textId="77777777" w:rsidR="00A81273" w:rsidRPr="00237B58" w:rsidRDefault="00A81273" w:rsidP="004B7632">
            <w:pPr>
              <w:pStyle w:val="Tabletext1"/>
              <w:rPr>
                <w:lang w:eastAsia="en-US"/>
              </w:rPr>
            </w:pPr>
            <w:r w:rsidRPr="00237B58">
              <w:rPr>
                <w:lang w:eastAsia="en-US"/>
              </w:rPr>
              <w:t>NS: p&gt;0.05</w:t>
            </w:r>
          </w:p>
        </w:tc>
      </w:tr>
    </w:tbl>
    <w:p w14:paraId="4D9FA1FC" w14:textId="622B8F4C" w:rsidR="00A81273" w:rsidRDefault="00A81273" w:rsidP="00A81273">
      <w:pPr>
        <w:pStyle w:val="Tablenotes0"/>
      </w:pPr>
      <w:r>
        <w:t>AMH = anti-Mülle</w:t>
      </w:r>
      <w:r w:rsidR="00C22CC2">
        <w:t xml:space="preserve">rian hormone; E2 = </w:t>
      </w:r>
      <w:r w:rsidR="00A70795">
        <w:t>estradiol</w:t>
      </w:r>
      <w:r>
        <w:t>; EIA = enzyme Immunoassay; ELISA = enzyme-linked immunosorbent assay; MIS = Mü</w:t>
      </w:r>
      <w:r w:rsidR="005070FC">
        <w:t>llerian-inhibiting</w:t>
      </w:r>
      <w:r>
        <w:t xml:space="preserve"> substance; NS = not significant; OTC = o</w:t>
      </w:r>
      <w:r w:rsidRPr="009A4F4C">
        <w:t>varian tissue cryopreservation</w:t>
      </w:r>
    </w:p>
    <w:p w14:paraId="00160F13" w14:textId="2CB85AAB" w:rsidR="00A81273" w:rsidRPr="00A543FE" w:rsidRDefault="00A81273" w:rsidP="00A81273">
      <w:pPr>
        <w:pStyle w:val="TableHeading"/>
        <w:rPr>
          <w:lang w:eastAsia="en-US"/>
        </w:rPr>
      </w:pPr>
      <w:bookmarkStart w:id="554" w:name="_Toc502833114"/>
      <w:r>
        <w:lastRenderedPageBreak/>
        <w:t xml:space="preserve">Table </w:t>
      </w:r>
      <w:r w:rsidR="00AC4BE5">
        <w:fldChar w:fldCharType="begin"/>
      </w:r>
      <w:r w:rsidR="00AC4BE5">
        <w:instrText xml:space="preserve"> SEQ Table \* ARABIC </w:instrText>
      </w:r>
      <w:r w:rsidR="00AC4BE5">
        <w:fldChar w:fldCharType="separate"/>
      </w:r>
      <w:r w:rsidR="00AC4BE5">
        <w:rPr>
          <w:noProof/>
        </w:rPr>
        <w:t>96</w:t>
      </w:r>
      <w:r w:rsidR="00AC4BE5">
        <w:rPr>
          <w:noProof/>
        </w:rPr>
        <w:fldChar w:fldCharType="end"/>
      </w:r>
      <w:r>
        <w:tab/>
        <w:t xml:space="preserve">Correlation between </w:t>
      </w:r>
      <w:r w:rsidRPr="00A543FE">
        <w:rPr>
          <w:lang w:eastAsia="en-US"/>
        </w:rPr>
        <w:t xml:space="preserve">AMH and </w:t>
      </w:r>
      <w:r w:rsidR="003C2616">
        <w:rPr>
          <w:lang w:eastAsia="en-US"/>
        </w:rPr>
        <w:t>inhibin B</w:t>
      </w:r>
      <w:r>
        <w:rPr>
          <w:lang w:eastAsia="en-US"/>
        </w:rPr>
        <w:t xml:space="preserve"> levels</w:t>
      </w:r>
      <w:bookmarkEnd w:id="554"/>
    </w:p>
    <w:tbl>
      <w:tblPr>
        <w:tblStyle w:val="TableGrid15"/>
        <w:tblW w:w="14312" w:type="dxa"/>
        <w:tblLayout w:type="fixed"/>
        <w:tblLook w:val="04A0" w:firstRow="1" w:lastRow="0" w:firstColumn="1" w:lastColumn="0" w:noHBand="0" w:noVBand="1"/>
        <w:tblCaption w:val="Correlation between AMH and Inhibin B levels"/>
        <w:tblDescription w:val="Correlation between AMH and Inhibin B levels"/>
      </w:tblPr>
      <w:tblGrid>
        <w:gridCol w:w="1129"/>
        <w:gridCol w:w="2835"/>
        <w:gridCol w:w="3969"/>
        <w:gridCol w:w="4536"/>
        <w:gridCol w:w="1843"/>
      </w:tblGrid>
      <w:tr w:rsidR="00A81273" w:rsidRPr="00A543FE" w14:paraId="7BDEB991" w14:textId="77777777" w:rsidTr="004B7632">
        <w:trPr>
          <w:tblHeader/>
        </w:trPr>
        <w:tc>
          <w:tcPr>
            <w:tcW w:w="1129" w:type="dxa"/>
            <w:tcBorders>
              <w:bottom w:val="single" w:sz="4" w:space="0" w:color="auto"/>
            </w:tcBorders>
          </w:tcPr>
          <w:p w14:paraId="694D0D2A" w14:textId="77777777" w:rsidR="00A81273" w:rsidRPr="004B7632" w:rsidRDefault="00A81273" w:rsidP="004B7632">
            <w:pPr>
              <w:pStyle w:val="Tabletext1"/>
              <w:rPr>
                <w:b/>
                <w:lang w:eastAsia="en-US"/>
              </w:rPr>
            </w:pPr>
            <w:r w:rsidRPr="004B7632">
              <w:rPr>
                <w:b/>
                <w:lang w:eastAsia="en-US"/>
              </w:rPr>
              <w:t>Study, tests</w:t>
            </w:r>
          </w:p>
        </w:tc>
        <w:tc>
          <w:tcPr>
            <w:tcW w:w="2835" w:type="dxa"/>
            <w:tcBorders>
              <w:bottom w:val="single" w:sz="4" w:space="0" w:color="auto"/>
            </w:tcBorders>
          </w:tcPr>
          <w:p w14:paraId="4BFEE61D" w14:textId="77777777" w:rsidR="00A81273" w:rsidRPr="004B7632" w:rsidRDefault="00A81273" w:rsidP="004B7632">
            <w:pPr>
              <w:pStyle w:val="Tabletext1"/>
              <w:rPr>
                <w:b/>
                <w:lang w:eastAsia="en-US"/>
              </w:rPr>
            </w:pPr>
          </w:p>
        </w:tc>
        <w:tc>
          <w:tcPr>
            <w:tcW w:w="3969" w:type="dxa"/>
            <w:tcBorders>
              <w:bottom w:val="single" w:sz="4" w:space="0" w:color="auto"/>
            </w:tcBorders>
          </w:tcPr>
          <w:p w14:paraId="0CCED68E" w14:textId="77777777" w:rsidR="00A81273" w:rsidRPr="004B7632" w:rsidRDefault="00A81273" w:rsidP="004B7632">
            <w:pPr>
              <w:pStyle w:val="Tabletext1"/>
              <w:rPr>
                <w:b/>
                <w:lang w:eastAsia="en-US"/>
              </w:rPr>
            </w:pPr>
            <w:r w:rsidRPr="004B7632">
              <w:rPr>
                <w:b/>
                <w:lang w:eastAsia="en-US"/>
              </w:rPr>
              <w:t>Population</w:t>
            </w:r>
          </w:p>
        </w:tc>
        <w:tc>
          <w:tcPr>
            <w:tcW w:w="4536" w:type="dxa"/>
            <w:tcBorders>
              <w:bottom w:val="single" w:sz="4" w:space="0" w:color="auto"/>
            </w:tcBorders>
          </w:tcPr>
          <w:p w14:paraId="7609CE43" w14:textId="77777777" w:rsidR="00A81273" w:rsidRPr="004B7632" w:rsidRDefault="00A81273" w:rsidP="004B7632">
            <w:pPr>
              <w:pStyle w:val="Tabletext1"/>
              <w:rPr>
                <w:b/>
                <w:lang w:eastAsia="en-US"/>
              </w:rPr>
            </w:pPr>
            <w:r w:rsidRPr="004B7632">
              <w:rPr>
                <w:b/>
                <w:lang w:eastAsia="en-US"/>
              </w:rPr>
              <w:t>Correlation</w:t>
            </w:r>
          </w:p>
        </w:tc>
        <w:tc>
          <w:tcPr>
            <w:tcW w:w="1843" w:type="dxa"/>
            <w:tcBorders>
              <w:bottom w:val="single" w:sz="4" w:space="0" w:color="auto"/>
            </w:tcBorders>
          </w:tcPr>
          <w:p w14:paraId="713AE7E2" w14:textId="77777777" w:rsidR="00A81273" w:rsidRPr="004B7632" w:rsidRDefault="00A81273" w:rsidP="004B7632">
            <w:pPr>
              <w:pStyle w:val="Tabletext1"/>
              <w:rPr>
                <w:b/>
                <w:lang w:eastAsia="en-US"/>
              </w:rPr>
            </w:pPr>
            <w:r w:rsidRPr="004B7632">
              <w:rPr>
                <w:b/>
                <w:lang w:eastAsia="en-US"/>
              </w:rPr>
              <w:t>Coefficient</w:t>
            </w:r>
          </w:p>
        </w:tc>
      </w:tr>
      <w:tr w:rsidR="00A81273" w:rsidRPr="00A543FE" w14:paraId="5DAB8AB3" w14:textId="77777777" w:rsidTr="004B7632">
        <w:tc>
          <w:tcPr>
            <w:tcW w:w="1129" w:type="dxa"/>
            <w:tcBorders>
              <w:right w:val="nil"/>
            </w:tcBorders>
          </w:tcPr>
          <w:p w14:paraId="2A81E23E" w14:textId="77777777" w:rsidR="00A81273" w:rsidRPr="00A543FE" w:rsidRDefault="00A81273" w:rsidP="004B7632">
            <w:pPr>
              <w:pStyle w:val="Tabletext1"/>
              <w:rPr>
                <w:color w:val="FFFFFF" w:themeColor="background1"/>
                <w:lang w:eastAsia="en-US"/>
              </w:rPr>
            </w:pPr>
            <w:r w:rsidRPr="002A4F9A">
              <w:rPr>
                <w:color w:val="FFFFFF" w:themeColor="background1"/>
                <w:lang w:eastAsia="en-US"/>
              </w:rPr>
              <w:t>-</w:t>
            </w:r>
          </w:p>
        </w:tc>
        <w:tc>
          <w:tcPr>
            <w:tcW w:w="2835" w:type="dxa"/>
            <w:tcBorders>
              <w:left w:val="nil"/>
              <w:right w:val="nil"/>
            </w:tcBorders>
          </w:tcPr>
          <w:p w14:paraId="53D13405" w14:textId="77777777" w:rsidR="00A81273" w:rsidRPr="002A4F9A" w:rsidRDefault="00A81273" w:rsidP="004B7632">
            <w:pPr>
              <w:pStyle w:val="Tabletext1"/>
              <w:rPr>
                <w:color w:val="FFFFFF" w:themeColor="background1"/>
                <w:lang w:eastAsia="en-US"/>
              </w:rPr>
            </w:pPr>
            <w:r w:rsidRPr="002A4F9A">
              <w:rPr>
                <w:color w:val="FFFFFF" w:themeColor="background1"/>
                <w:lang w:eastAsia="en-US"/>
              </w:rPr>
              <w:t>-</w:t>
            </w:r>
          </w:p>
        </w:tc>
        <w:tc>
          <w:tcPr>
            <w:tcW w:w="3969" w:type="dxa"/>
            <w:tcBorders>
              <w:left w:val="nil"/>
              <w:right w:val="nil"/>
            </w:tcBorders>
          </w:tcPr>
          <w:p w14:paraId="1BC5994E" w14:textId="77777777" w:rsidR="00A81273" w:rsidRPr="00A543FE" w:rsidRDefault="00A81273" w:rsidP="004B7632">
            <w:pPr>
              <w:pStyle w:val="Tabletext1"/>
              <w:rPr>
                <w:i/>
                <w:u w:val="single"/>
                <w:lang w:eastAsia="en-US"/>
              </w:rPr>
            </w:pPr>
            <w:r w:rsidRPr="00A543FE">
              <w:rPr>
                <w:i/>
                <w:u w:val="single"/>
                <w:lang w:eastAsia="en-US"/>
              </w:rPr>
              <w:t>Pre</w:t>
            </w:r>
            <w:r>
              <w:rPr>
                <w:i/>
                <w:u w:val="single"/>
                <w:lang w:eastAsia="en-US"/>
              </w:rPr>
              <w:t>-treatment</w:t>
            </w:r>
          </w:p>
        </w:tc>
        <w:tc>
          <w:tcPr>
            <w:tcW w:w="4536" w:type="dxa"/>
            <w:tcBorders>
              <w:left w:val="nil"/>
              <w:right w:val="nil"/>
            </w:tcBorders>
          </w:tcPr>
          <w:p w14:paraId="069717FC" w14:textId="77777777" w:rsidR="00A81273" w:rsidRPr="00A543FE" w:rsidRDefault="00A81273" w:rsidP="004B7632">
            <w:pPr>
              <w:pStyle w:val="Tabletext1"/>
              <w:rPr>
                <w:color w:val="FFFFFF"/>
                <w:lang w:eastAsia="en-US"/>
              </w:rPr>
            </w:pPr>
            <w:r w:rsidRPr="00A543FE">
              <w:rPr>
                <w:color w:val="FFFFFF"/>
                <w:lang w:eastAsia="en-US"/>
              </w:rPr>
              <w:t>-</w:t>
            </w:r>
          </w:p>
        </w:tc>
        <w:tc>
          <w:tcPr>
            <w:tcW w:w="1843" w:type="dxa"/>
            <w:tcBorders>
              <w:left w:val="nil"/>
            </w:tcBorders>
          </w:tcPr>
          <w:p w14:paraId="6D7FDF6F" w14:textId="77777777" w:rsidR="00A81273" w:rsidRPr="004B7632" w:rsidRDefault="00A81273" w:rsidP="004B7632">
            <w:pPr>
              <w:pStyle w:val="Tabletext1"/>
              <w:rPr>
                <w:b/>
                <w:color w:val="FFFFFF"/>
                <w:lang w:eastAsia="en-US"/>
              </w:rPr>
            </w:pPr>
            <w:r w:rsidRPr="004B7632">
              <w:rPr>
                <w:b/>
                <w:lang w:eastAsia="en-US"/>
              </w:rPr>
              <w:t>Spearman’s rank correlation</w:t>
            </w:r>
          </w:p>
        </w:tc>
      </w:tr>
      <w:tr w:rsidR="00A81273" w:rsidRPr="00A543FE" w14:paraId="66C25829" w14:textId="77777777" w:rsidTr="004B7632">
        <w:tc>
          <w:tcPr>
            <w:tcW w:w="1129" w:type="dxa"/>
          </w:tcPr>
          <w:p w14:paraId="18F4EC17" w14:textId="77777777" w:rsidR="00A81273" w:rsidRPr="00A543FE" w:rsidRDefault="00A81273" w:rsidP="004B7632">
            <w:pPr>
              <w:pStyle w:val="Tabletext1"/>
              <w:rPr>
                <w:lang w:eastAsia="en-US"/>
              </w:rPr>
            </w:pPr>
            <w:r w:rsidRPr="00A543FE">
              <w:rPr>
                <w:lang w:eastAsia="en-US"/>
              </w:rPr>
              <w:t>Lee et al. (2011)</w:t>
            </w:r>
          </w:p>
        </w:tc>
        <w:tc>
          <w:tcPr>
            <w:tcW w:w="2835" w:type="dxa"/>
          </w:tcPr>
          <w:p w14:paraId="0711F9E3" w14:textId="77777777" w:rsidR="00A81273" w:rsidRPr="00A543FE" w:rsidRDefault="00A81273" w:rsidP="004B7632">
            <w:pPr>
              <w:pStyle w:val="Tabletext1"/>
              <w:rPr>
                <w:lang w:eastAsia="en-US"/>
              </w:rPr>
            </w:pPr>
            <w:r w:rsidRPr="00A543FE">
              <w:rPr>
                <w:lang w:eastAsia="en-US"/>
              </w:rPr>
              <w:t>DSL ACTIVE</w:t>
            </w:r>
            <w:r w:rsidRPr="00A543FE">
              <w:rPr>
                <w:vertAlign w:val="superscript"/>
                <w:lang w:eastAsia="en-US"/>
              </w:rPr>
              <w:t>®</w:t>
            </w:r>
            <w:r w:rsidRPr="00A543FE">
              <w:rPr>
                <w:lang w:eastAsia="en-US"/>
              </w:rPr>
              <w:t xml:space="preserve"> AMH ELISA</w:t>
            </w:r>
            <w:r>
              <w:rPr>
                <w:lang w:eastAsia="en-US"/>
              </w:rPr>
              <w:t xml:space="preserve"> versus</w:t>
            </w:r>
          </w:p>
          <w:p w14:paraId="57AC3089" w14:textId="77777777" w:rsidR="00A81273" w:rsidRPr="00A543FE" w:rsidRDefault="00A81273" w:rsidP="004B7632">
            <w:pPr>
              <w:pStyle w:val="Tabletext1"/>
              <w:rPr>
                <w:lang w:eastAsia="en-US"/>
              </w:rPr>
            </w:pPr>
            <w:r w:rsidRPr="00A543FE">
              <w:rPr>
                <w:lang w:eastAsia="en-US"/>
              </w:rPr>
              <w:t>Inhibin B assay not reported</w:t>
            </w:r>
          </w:p>
        </w:tc>
        <w:tc>
          <w:tcPr>
            <w:tcW w:w="3969" w:type="dxa"/>
          </w:tcPr>
          <w:p w14:paraId="03CEE505" w14:textId="77777777" w:rsidR="00A81273" w:rsidRPr="00A543FE" w:rsidRDefault="00A81273" w:rsidP="004B7632">
            <w:pPr>
              <w:pStyle w:val="Tabletext1"/>
              <w:rPr>
                <w:lang w:eastAsia="en-US"/>
              </w:rPr>
            </w:pPr>
            <w:r w:rsidRPr="00A543FE">
              <w:rPr>
                <w:lang w:eastAsia="en-US"/>
              </w:rPr>
              <w:t>41 women with breast cancer before adjuvant treatment</w:t>
            </w:r>
          </w:p>
        </w:tc>
        <w:tc>
          <w:tcPr>
            <w:tcW w:w="4536" w:type="dxa"/>
          </w:tcPr>
          <w:p w14:paraId="33349DD9" w14:textId="77777777" w:rsidR="00A81273" w:rsidRPr="00A543FE" w:rsidRDefault="00A81273" w:rsidP="004B7632">
            <w:pPr>
              <w:pStyle w:val="Tabletext1"/>
              <w:rPr>
                <w:lang w:eastAsia="en-US"/>
              </w:rPr>
            </w:pPr>
            <w:r w:rsidRPr="00A543FE">
              <w:rPr>
                <w:lang w:eastAsia="en-US"/>
              </w:rPr>
              <w:t>The was a correlation between early follicular phase serum levels of AMH and inhibin B</w:t>
            </w:r>
          </w:p>
        </w:tc>
        <w:tc>
          <w:tcPr>
            <w:tcW w:w="1843" w:type="dxa"/>
          </w:tcPr>
          <w:p w14:paraId="04986E0B" w14:textId="37D51035" w:rsidR="00A81273" w:rsidRPr="00A543FE" w:rsidRDefault="00A81273" w:rsidP="004B7632">
            <w:pPr>
              <w:pStyle w:val="Tabletext1"/>
              <w:rPr>
                <w:lang w:eastAsia="en-US"/>
              </w:rPr>
            </w:pPr>
            <w:r w:rsidRPr="00A543FE">
              <w:rPr>
                <w:lang w:eastAsia="en-US"/>
              </w:rPr>
              <w:t>rho</w:t>
            </w:r>
            <w:r w:rsidR="00EB382C">
              <w:rPr>
                <w:lang w:eastAsia="en-US"/>
              </w:rPr>
              <w:t>=</w:t>
            </w:r>
            <w:r w:rsidRPr="00A543FE">
              <w:rPr>
                <w:lang w:eastAsia="en-US"/>
              </w:rPr>
              <w:t>0.417</w:t>
            </w:r>
            <w:r>
              <w:rPr>
                <w:lang w:eastAsia="en-US"/>
              </w:rPr>
              <w:t xml:space="preserve">, </w:t>
            </w:r>
            <w:r w:rsidRPr="00A543FE">
              <w:rPr>
                <w:lang w:eastAsia="en-US"/>
              </w:rPr>
              <w:t>p&lt;0.005</w:t>
            </w:r>
          </w:p>
        </w:tc>
      </w:tr>
      <w:tr w:rsidR="00A81273" w:rsidRPr="00A543FE" w14:paraId="5F016469" w14:textId="77777777" w:rsidTr="004B7632">
        <w:tc>
          <w:tcPr>
            <w:tcW w:w="1129" w:type="dxa"/>
            <w:tcBorders>
              <w:bottom w:val="single" w:sz="4" w:space="0" w:color="auto"/>
            </w:tcBorders>
          </w:tcPr>
          <w:p w14:paraId="48BD17A0" w14:textId="77777777" w:rsidR="00A81273" w:rsidRPr="00A543FE" w:rsidRDefault="00A81273" w:rsidP="004B7632">
            <w:pPr>
              <w:pStyle w:val="Tabletext1"/>
              <w:rPr>
                <w:lang w:eastAsia="en-US"/>
              </w:rPr>
            </w:pPr>
            <w:r w:rsidRPr="00A543FE">
              <w:rPr>
                <w:lang w:eastAsia="en-US"/>
              </w:rPr>
              <w:t>Paradisi et al. (2016)</w:t>
            </w:r>
          </w:p>
        </w:tc>
        <w:tc>
          <w:tcPr>
            <w:tcW w:w="2835" w:type="dxa"/>
            <w:tcBorders>
              <w:bottom w:val="single" w:sz="4" w:space="0" w:color="auto"/>
            </w:tcBorders>
          </w:tcPr>
          <w:p w14:paraId="19404333" w14:textId="77777777" w:rsidR="00A81273" w:rsidRPr="00A543FE" w:rsidRDefault="00A81273" w:rsidP="004B7632">
            <w:pPr>
              <w:pStyle w:val="Tabletext1"/>
              <w:rPr>
                <w:lang w:eastAsia="en-US"/>
              </w:rPr>
            </w:pPr>
            <w:r w:rsidRPr="00A543FE">
              <w:rPr>
                <w:lang w:eastAsia="en-US"/>
              </w:rPr>
              <w:t>AMH Gen II ELISA</w:t>
            </w:r>
            <w:r>
              <w:rPr>
                <w:lang w:eastAsia="en-US"/>
              </w:rPr>
              <w:t xml:space="preserve"> versus</w:t>
            </w:r>
          </w:p>
          <w:p w14:paraId="515EA87C" w14:textId="77777777" w:rsidR="00A81273" w:rsidRPr="00A543FE" w:rsidRDefault="00A81273" w:rsidP="004B7632">
            <w:pPr>
              <w:pStyle w:val="Tabletext1"/>
              <w:rPr>
                <w:lang w:eastAsia="en-US"/>
              </w:rPr>
            </w:pPr>
            <w:r w:rsidRPr="00A543FE">
              <w:rPr>
                <w:lang w:eastAsia="en-US"/>
              </w:rPr>
              <w:t>Inhibin B Gen II ELISA</w:t>
            </w:r>
          </w:p>
        </w:tc>
        <w:tc>
          <w:tcPr>
            <w:tcW w:w="3969" w:type="dxa"/>
            <w:tcBorders>
              <w:bottom w:val="single" w:sz="4" w:space="0" w:color="auto"/>
            </w:tcBorders>
          </w:tcPr>
          <w:p w14:paraId="3772764A" w14:textId="77777777" w:rsidR="00A81273" w:rsidRPr="00A543FE" w:rsidRDefault="00A81273" w:rsidP="004B7632">
            <w:pPr>
              <w:pStyle w:val="Tabletext1"/>
              <w:rPr>
                <w:lang w:eastAsia="en-US"/>
              </w:rPr>
            </w:pPr>
            <w:r w:rsidRPr="00A543FE">
              <w:rPr>
                <w:lang w:eastAsia="en-US"/>
              </w:rPr>
              <w:t>191 cancer patients before chemo-radiotherapy and OTC and 43 controls</w:t>
            </w:r>
          </w:p>
        </w:tc>
        <w:tc>
          <w:tcPr>
            <w:tcW w:w="4536" w:type="dxa"/>
            <w:tcBorders>
              <w:bottom w:val="single" w:sz="4" w:space="0" w:color="auto"/>
            </w:tcBorders>
          </w:tcPr>
          <w:p w14:paraId="3D30B52C" w14:textId="77777777" w:rsidR="00A81273" w:rsidRPr="00A543FE" w:rsidRDefault="00A81273" w:rsidP="004B7632">
            <w:pPr>
              <w:pStyle w:val="Tabletext1"/>
              <w:rPr>
                <w:lang w:eastAsia="en-US"/>
              </w:rPr>
            </w:pPr>
            <w:r w:rsidRPr="00A543FE">
              <w:rPr>
                <w:lang w:eastAsia="en-US"/>
              </w:rPr>
              <w:t>There was a correlation between serum levels of AMH and inhibin B throughout the whole menstrual cycle in the entire study population</w:t>
            </w:r>
          </w:p>
        </w:tc>
        <w:tc>
          <w:tcPr>
            <w:tcW w:w="1843" w:type="dxa"/>
            <w:tcBorders>
              <w:bottom w:val="single" w:sz="4" w:space="0" w:color="auto"/>
            </w:tcBorders>
          </w:tcPr>
          <w:p w14:paraId="10A32CFB" w14:textId="19B48696" w:rsidR="00A81273" w:rsidRPr="00A543FE" w:rsidRDefault="00A81273" w:rsidP="004B7632">
            <w:pPr>
              <w:pStyle w:val="Tabletext1"/>
              <w:rPr>
                <w:lang w:eastAsia="en-US"/>
              </w:rPr>
            </w:pPr>
            <w:r w:rsidRPr="00A543FE">
              <w:rPr>
                <w:lang w:eastAsia="en-US"/>
              </w:rPr>
              <w:t>rho</w:t>
            </w:r>
            <w:r w:rsidR="00EB382C">
              <w:rPr>
                <w:lang w:eastAsia="en-US"/>
              </w:rPr>
              <w:t>=</w:t>
            </w:r>
            <w:r w:rsidRPr="00A543FE">
              <w:rPr>
                <w:lang w:eastAsia="en-US"/>
              </w:rPr>
              <w:t>0.22</w:t>
            </w:r>
            <w:r>
              <w:rPr>
                <w:lang w:eastAsia="en-US"/>
              </w:rPr>
              <w:t xml:space="preserve">, </w:t>
            </w:r>
            <w:r w:rsidRPr="00A543FE">
              <w:rPr>
                <w:lang w:eastAsia="en-US"/>
              </w:rPr>
              <w:t>p=0.003</w:t>
            </w:r>
          </w:p>
        </w:tc>
      </w:tr>
      <w:tr w:rsidR="00A81273" w:rsidRPr="002A4F9A" w14:paraId="58022F9A" w14:textId="77777777" w:rsidTr="004B7632">
        <w:tc>
          <w:tcPr>
            <w:tcW w:w="1129" w:type="dxa"/>
            <w:tcBorders>
              <w:right w:val="nil"/>
            </w:tcBorders>
          </w:tcPr>
          <w:p w14:paraId="5375F812" w14:textId="77777777" w:rsidR="00A81273" w:rsidRPr="00A543FE" w:rsidRDefault="00A81273" w:rsidP="004B7632">
            <w:pPr>
              <w:pStyle w:val="Tabletext1"/>
              <w:rPr>
                <w:color w:val="FFFFFF" w:themeColor="background1"/>
                <w:lang w:eastAsia="en-US"/>
              </w:rPr>
            </w:pPr>
            <w:r w:rsidRPr="002A4F9A">
              <w:rPr>
                <w:color w:val="FFFFFF" w:themeColor="background1"/>
                <w:lang w:eastAsia="en-US"/>
              </w:rPr>
              <w:t>-</w:t>
            </w:r>
          </w:p>
        </w:tc>
        <w:tc>
          <w:tcPr>
            <w:tcW w:w="2835" w:type="dxa"/>
            <w:tcBorders>
              <w:left w:val="nil"/>
              <w:right w:val="nil"/>
            </w:tcBorders>
          </w:tcPr>
          <w:p w14:paraId="6FBAA1E7" w14:textId="77777777" w:rsidR="00A81273" w:rsidRPr="002A4F9A" w:rsidRDefault="00A81273" w:rsidP="004B7632">
            <w:pPr>
              <w:pStyle w:val="Tabletext1"/>
              <w:rPr>
                <w:color w:val="FFFFFF" w:themeColor="background1"/>
                <w:lang w:eastAsia="en-US"/>
              </w:rPr>
            </w:pPr>
            <w:r w:rsidRPr="002A4F9A">
              <w:rPr>
                <w:color w:val="FFFFFF" w:themeColor="background1"/>
                <w:lang w:eastAsia="en-US"/>
              </w:rPr>
              <w:t>-</w:t>
            </w:r>
          </w:p>
        </w:tc>
        <w:tc>
          <w:tcPr>
            <w:tcW w:w="3969" w:type="dxa"/>
            <w:tcBorders>
              <w:left w:val="nil"/>
              <w:right w:val="nil"/>
            </w:tcBorders>
          </w:tcPr>
          <w:p w14:paraId="65E2132D" w14:textId="77777777" w:rsidR="00A81273" w:rsidRPr="00A543FE" w:rsidRDefault="00A81273" w:rsidP="004B7632">
            <w:pPr>
              <w:pStyle w:val="Tabletext1"/>
              <w:rPr>
                <w:i/>
                <w:u w:val="single"/>
                <w:lang w:eastAsia="en-US"/>
              </w:rPr>
            </w:pPr>
            <w:r w:rsidRPr="002A4F9A">
              <w:rPr>
                <w:i/>
                <w:u w:val="single"/>
                <w:lang w:eastAsia="en-US"/>
              </w:rPr>
              <w:t>P</w:t>
            </w:r>
            <w:r w:rsidRPr="00A543FE">
              <w:rPr>
                <w:i/>
                <w:u w:val="single"/>
                <w:lang w:eastAsia="en-US"/>
              </w:rPr>
              <w:t>ost</w:t>
            </w:r>
            <w:r w:rsidRPr="002A4F9A">
              <w:rPr>
                <w:i/>
                <w:u w:val="single"/>
                <w:lang w:eastAsia="en-US"/>
              </w:rPr>
              <w:t>-treatment</w:t>
            </w:r>
          </w:p>
        </w:tc>
        <w:tc>
          <w:tcPr>
            <w:tcW w:w="4536" w:type="dxa"/>
            <w:tcBorders>
              <w:left w:val="nil"/>
              <w:right w:val="nil"/>
            </w:tcBorders>
          </w:tcPr>
          <w:p w14:paraId="2D0693B8" w14:textId="77777777" w:rsidR="00A81273" w:rsidRPr="00A543FE" w:rsidRDefault="00A81273" w:rsidP="004B7632">
            <w:pPr>
              <w:pStyle w:val="Tabletext1"/>
              <w:rPr>
                <w:color w:val="FFFFFF" w:themeColor="background1"/>
                <w:lang w:eastAsia="en-US"/>
              </w:rPr>
            </w:pPr>
            <w:r w:rsidRPr="002A4F9A">
              <w:rPr>
                <w:color w:val="FFFFFF" w:themeColor="background1"/>
                <w:lang w:eastAsia="en-US"/>
              </w:rPr>
              <w:t>-</w:t>
            </w:r>
          </w:p>
        </w:tc>
        <w:tc>
          <w:tcPr>
            <w:tcW w:w="1843" w:type="dxa"/>
            <w:tcBorders>
              <w:left w:val="nil"/>
            </w:tcBorders>
          </w:tcPr>
          <w:p w14:paraId="705DC2AC" w14:textId="77777777" w:rsidR="00A81273" w:rsidRPr="00A543FE" w:rsidRDefault="00A81273" w:rsidP="004B7632">
            <w:pPr>
              <w:pStyle w:val="Tabletext1"/>
              <w:rPr>
                <w:color w:val="FFFFFF" w:themeColor="background1"/>
                <w:lang w:eastAsia="en-US"/>
              </w:rPr>
            </w:pPr>
            <w:r w:rsidRPr="002A4F9A">
              <w:rPr>
                <w:color w:val="FFFFFF" w:themeColor="background1"/>
                <w:lang w:eastAsia="en-US"/>
              </w:rPr>
              <w:t>-</w:t>
            </w:r>
          </w:p>
        </w:tc>
      </w:tr>
      <w:tr w:rsidR="00A81273" w:rsidRPr="00A543FE" w14:paraId="6D376966" w14:textId="77777777" w:rsidTr="004B7632">
        <w:tc>
          <w:tcPr>
            <w:tcW w:w="1129" w:type="dxa"/>
            <w:tcBorders>
              <w:bottom w:val="single" w:sz="4" w:space="0" w:color="auto"/>
            </w:tcBorders>
          </w:tcPr>
          <w:p w14:paraId="66E90F2B" w14:textId="77777777" w:rsidR="00A81273" w:rsidRPr="00A543FE" w:rsidRDefault="00A81273" w:rsidP="004B7632">
            <w:pPr>
              <w:pStyle w:val="Tabletext1"/>
              <w:rPr>
                <w:lang w:eastAsia="en-US"/>
              </w:rPr>
            </w:pPr>
            <w:r w:rsidRPr="00A543FE">
              <w:rPr>
                <w:lang w:eastAsia="en-US"/>
              </w:rPr>
              <w:t>Kim et al. (2016)</w:t>
            </w:r>
          </w:p>
        </w:tc>
        <w:tc>
          <w:tcPr>
            <w:tcW w:w="2835" w:type="dxa"/>
            <w:tcBorders>
              <w:bottom w:val="single" w:sz="4" w:space="0" w:color="auto"/>
            </w:tcBorders>
          </w:tcPr>
          <w:p w14:paraId="15F7D7DD" w14:textId="77777777" w:rsidR="00A81273" w:rsidRPr="00A543FE" w:rsidRDefault="00A81273" w:rsidP="004B7632">
            <w:pPr>
              <w:pStyle w:val="Tabletext1"/>
              <w:rPr>
                <w:lang w:eastAsia="en-US"/>
              </w:rPr>
            </w:pPr>
            <w:r w:rsidRPr="00A543FE">
              <w:rPr>
                <w:lang w:eastAsia="en-US"/>
              </w:rPr>
              <w:t>USCN AMH ELISA</w:t>
            </w:r>
            <w:r>
              <w:rPr>
                <w:lang w:eastAsia="en-US"/>
              </w:rPr>
              <w:t xml:space="preserve"> versus</w:t>
            </w:r>
          </w:p>
          <w:p w14:paraId="6020FAB2" w14:textId="77777777" w:rsidR="00A81273" w:rsidRPr="00A543FE" w:rsidRDefault="00A81273" w:rsidP="004B7632">
            <w:pPr>
              <w:pStyle w:val="Tabletext1"/>
              <w:rPr>
                <w:lang w:eastAsia="en-US"/>
              </w:rPr>
            </w:pPr>
            <w:r w:rsidRPr="00A543FE">
              <w:rPr>
                <w:lang w:eastAsia="en-US"/>
              </w:rPr>
              <w:t>BlueGene inhibin B ELISA</w:t>
            </w:r>
          </w:p>
        </w:tc>
        <w:tc>
          <w:tcPr>
            <w:tcW w:w="3969" w:type="dxa"/>
            <w:tcBorders>
              <w:bottom w:val="single" w:sz="4" w:space="0" w:color="auto"/>
            </w:tcBorders>
          </w:tcPr>
          <w:p w14:paraId="6C3E6E74" w14:textId="7CA380A8" w:rsidR="00A81273" w:rsidRPr="00A543FE" w:rsidRDefault="00A81273" w:rsidP="004B7632">
            <w:pPr>
              <w:pStyle w:val="Tabletext1"/>
              <w:rPr>
                <w:lang w:eastAsia="en-US"/>
              </w:rPr>
            </w:pPr>
            <w:r w:rsidRPr="00A543FE">
              <w:rPr>
                <w:lang w:eastAsia="en-US"/>
              </w:rPr>
              <w:t>32 pre</w:t>
            </w:r>
            <w:r w:rsidR="003036C4">
              <w:rPr>
                <w:lang w:eastAsia="en-US"/>
              </w:rPr>
              <w:t>-menopausal</w:t>
            </w:r>
            <w:r w:rsidRPr="00A543FE">
              <w:rPr>
                <w:lang w:eastAsia="en-US"/>
              </w:rPr>
              <w:t xml:space="preserve"> women with clinical stage III hormone receptor-positive invasive ductal breast cancer treated by neoad</w:t>
            </w:r>
            <w:r>
              <w:rPr>
                <w:lang w:eastAsia="en-US"/>
              </w:rPr>
              <w:t>juvant chemotherapy</w:t>
            </w:r>
          </w:p>
        </w:tc>
        <w:tc>
          <w:tcPr>
            <w:tcW w:w="4536" w:type="dxa"/>
            <w:tcBorders>
              <w:bottom w:val="single" w:sz="4" w:space="0" w:color="auto"/>
            </w:tcBorders>
          </w:tcPr>
          <w:p w14:paraId="322058A5" w14:textId="77777777" w:rsidR="00A81273" w:rsidRPr="00A543FE" w:rsidRDefault="00A81273" w:rsidP="004B7632">
            <w:pPr>
              <w:pStyle w:val="Tabletext1"/>
              <w:rPr>
                <w:lang w:eastAsia="en-US"/>
              </w:rPr>
            </w:pPr>
            <w:r w:rsidRPr="00A543FE">
              <w:rPr>
                <w:lang w:eastAsia="en-US"/>
              </w:rPr>
              <w:t>The was a correlation between serum levels of AMH and inhibin B</w:t>
            </w:r>
          </w:p>
        </w:tc>
        <w:tc>
          <w:tcPr>
            <w:tcW w:w="1843" w:type="dxa"/>
            <w:tcBorders>
              <w:bottom w:val="single" w:sz="4" w:space="0" w:color="auto"/>
            </w:tcBorders>
          </w:tcPr>
          <w:p w14:paraId="1DF57933" w14:textId="1F020E64" w:rsidR="00A81273" w:rsidRPr="00A543FE" w:rsidRDefault="00A81273" w:rsidP="004B7632">
            <w:pPr>
              <w:pStyle w:val="Tabletext1"/>
              <w:rPr>
                <w:lang w:eastAsia="en-US"/>
              </w:rPr>
            </w:pPr>
            <w:r w:rsidRPr="00A543FE">
              <w:rPr>
                <w:lang w:eastAsia="en-US"/>
              </w:rPr>
              <w:t>rho</w:t>
            </w:r>
            <w:r w:rsidR="00EB382C">
              <w:rPr>
                <w:lang w:eastAsia="en-US"/>
              </w:rPr>
              <w:t>=</w:t>
            </w:r>
            <w:r w:rsidRPr="00A543FE">
              <w:rPr>
                <w:lang w:eastAsia="en-US"/>
              </w:rPr>
              <w:t>0.515</w:t>
            </w:r>
            <w:r>
              <w:rPr>
                <w:lang w:eastAsia="en-US"/>
              </w:rPr>
              <w:t xml:space="preserve">, </w:t>
            </w:r>
            <w:r w:rsidRPr="00A543FE">
              <w:rPr>
                <w:lang w:eastAsia="en-US"/>
              </w:rPr>
              <w:t>p&lt;0.05</w:t>
            </w:r>
          </w:p>
        </w:tc>
      </w:tr>
      <w:tr w:rsidR="00A81273" w:rsidRPr="002A4F9A" w14:paraId="0F19ABB1" w14:textId="77777777" w:rsidTr="004B7632">
        <w:tc>
          <w:tcPr>
            <w:tcW w:w="1129" w:type="dxa"/>
            <w:tcBorders>
              <w:right w:val="nil"/>
            </w:tcBorders>
          </w:tcPr>
          <w:p w14:paraId="01D36006" w14:textId="77777777" w:rsidR="00A81273" w:rsidRPr="00A543FE" w:rsidRDefault="00A81273" w:rsidP="004B7632">
            <w:pPr>
              <w:pStyle w:val="Tabletext1"/>
              <w:rPr>
                <w:i/>
                <w:color w:val="FFFFFF" w:themeColor="background1"/>
                <w:u w:val="single"/>
                <w:lang w:eastAsia="en-US"/>
              </w:rPr>
            </w:pPr>
            <w:r w:rsidRPr="002A4F9A">
              <w:rPr>
                <w:i/>
                <w:color w:val="FFFFFF" w:themeColor="background1"/>
                <w:u w:val="single"/>
                <w:lang w:eastAsia="en-US"/>
              </w:rPr>
              <w:t>-</w:t>
            </w:r>
          </w:p>
        </w:tc>
        <w:tc>
          <w:tcPr>
            <w:tcW w:w="2835" w:type="dxa"/>
            <w:tcBorders>
              <w:left w:val="nil"/>
              <w:right w:val="nil"/>
            </w:tcBorders>
          </w:tcPr>
          <w:p w14:paraId="2517844C" w14:textId="77777777" w:rsidR="00A81273" w:rsidRPr="002A4F9A" w:rsidRDefault="00A81273" w:rsidP="004B7632">
            <w:pPr>
              <w:pStyle w:val="Tabletext1"/>
              <w:rPr>
                <w:i/>
                <w:color w:val="FFFFFF" w:themeColor="background1"/>
                <w:u w:val="single"/>
                <w:lang w:eastAsia="en-US"/>
              </w:rPr>
            </w:pPr>
            <w:r w:rsidRPr="002A4F9A">
              <w:rPr>
                <w:i/>
                <w:color w:val="FFFFFF" w:themeColor="background1"/>
                <w:u w:val="single"/>
                <w:lang w:eastAsia="en-US"/>
              </w:rPr>
              <w:t>-</w:t>
            </w:r>
          </w:p>
        </w:tc>
        <w:tc>
          <w:tcPr>
            <w:tcW w:w="3969" w:type="dxa"/>
            <w:tcBorders>
              <w:left w:val="nil"/>
              <w:right w:val="nil"/>
            </w:tcBorders>
          </w:tcPr>
          <w:p w14:paraId="123B2158" w14:textId="77777777" w:rsidR="00A81273" w:rsidRPr="00A543FE" w:rsidRDefault="00A81273" w:rsidP="004B7632">
            <w:pPr>
              <w:pStyle w:val="Tabletext1"/>
              <w:rPr>
                <w:i/>
                <w:u w:val="single"/>
                <w:lang w:eastAsia="en-US"/>
              </w:rPr>
            </w:pPr>
            <w:r w:rsidRPr="002A4F9A">
              <w:rPr>
                <w:i/>
                <w:u w:val="single"/>
                <w:lang w:eastAsia="en-US"/>
              </w:rPr>
              <w:t>Post-</w:t>
            </w:r>
            <w:r w:rsidRPr="00A543FE">
              <w:rPr>
                <w:i/>
                <w:u w:val="single"/>
                <w:lang w:eastAsia="en-US"/>
              </w:rPr>
              <w:t>childhood</w:t>
            </w:r>
            <w:r w:rsidRPr="002A4F9A">
              <w:rPr>
                <w:i/>
                <w:u w:val="single"/>
                <w:lang w:eastAsia="en-US"/>
              </w:rPr>
              <w:t xml:space="preserve"> cancer</w:t>
            </w:r>
          </w:p>
        </w:tc>
        <w:tc>
          <w:tcPr>
            <w:tcW w:w="4536" w:type="dxa"/>
            <w:tcBorders>
              <w:left w:val="nil"/>
              <w:right w:val="nil"/>
            </w:tcBorders>
          </w:tcPr>
          <w:p w14:paraId="017AED43" w14:textId="77777777" w:rsidR="00A81273" w:rsidRPr="00A543FE" w:rsidRDefault="00A81273" w:rsidP="004B7632">
            <w:pPr>
              <w:pStyle w:val="Tabletext1"/>
              <w:rPr>
                <w:i/>
                <w:color w:val="FFFFFF" w:themeColor="background1"/>
                <w:u w:val="single"/>
                <w:lang w:eastAsia="en-US"/>
              </w:rPr>
            </w:pPr>
            <w:r w:rsidRPr="002A4F9A">
              <w:rPr>
                <w:i/>
                <w:color w:val="FFFFFF" w:themeColor="background1"/>
                <w:u w:val="single"/>
                <w:lang w:eastAsia="en-US"/>
              </w:rPr>
              <w:t>-</w:t>
            </w:r>
          </w:p>
        </w:tc>
        <w:tc>
          <w:tcPr>
            <w:tcW w:w="1843" w:type="dxa"/>
            <w:tcBorders>
              <w:left w:val="nil"/>
            </w:tcBorders>
          </w:tcPr>
          <w:p w14:paraId="63ECD0F8" w14:textId="77777777" w:rsidR="00A81273" w:rsidRPr="00A543FE" w:rsidRDefault="00A81273" w:rsidP="004B7632">
            <w:pPr>
              <w:pStyle w:val="Tabletext1"/>
              <w:rPr>
                <w:i/>
                <w:color w:val="FFFFFF" w:themeColor="background1"/>
                <w:u w:val="single"/>
                <w:lang w:eastAsia="en-US"/>
              </w:rPr>
            </w:pPr>
            <w:r w:rsidRPr="002A4F9A">
              <w:rPr>
                <w:i/>
                <w:color w:val="FFFFFF" w:themeColor="background1"/>
                <w:u w:val="single"/>
                <w:lang w:eastAsia="en-US"/>
              </w:rPr>
              <w:t>-</w:t>
            </w:r>
          </w:p>
        </w:tc>
      </w:tr>
      <w:tr w:rsidR="00A81273" w:rsidRPr="00A543FE" w14:paraId="3C000958" w14:textId="77777777" w:rsidTr="004B7632">
        <w:tc>
          <w:tcPr>
            <w:tcW w:w="1129" w:type="dxa"/>
          </w:tcPr>
          <w:p w14:paraId="66DC4BF6" w14:textId="77777777" w:rsidR="00A81273" w:rsidRPr="00A543FE" w:rsidRDefault="00A81273" w:rsidP="004B7632">
            <w:pPr>
              <w:pStyle w:val="Tabletext1"/>
              <w:rPr>
                <w:lang w:eastAsia="en-US"/>
              </w:rPr>
            </w:pPr>
            <w:r w:rsidRPr="00A543FE">
              <w:rPr>
                <w:lang w:eastAsia="en-US"/>
              </w:rPr>
              <w:t>Beneventi et al. (2014)</w:t>
            </w:r>
          </w:p>
        </w:tc>
        <w:tc>
          <w:tcPr>
            <w:tcW w:w="2835" w:type="dxa"/>
          </w:tcPr>
          <w:p w14:paraId="2C5B1215" w14:textId="77777777" w:rsidR="00A81273" w:rsidRPr="00A543FE" w:rsidRDefault="00A81273" w:rsidP="004B7632">
            <w:pPr>
              <w:pStyle w:val="Tabletext1"/>
              <w:rPr>
                <w:lang w:eastAsia="en-US"/>
              </w:rPr>
            </w:pPr>
            <w:r w:rsidRPr="00A543FE">
              <w:rPr>
                <w:lang w:eastAsia="en-US"/>
              </w:rPr>
              <w:t>AMH Gen II ELISA</w:t>
            </w:r>
            <w:r>
              <w:rPr>
                <w:lang w:eastAsia="en-US"/>
              </w:rPr>
              <w:t xml:space="preserve"> versus</w:t>
            </w:r>
          </w:p>
          <w:p w14:paraId="3CD170D1" w14:textId="77777777" w:rsidR="00A81273" w:rsidRPr="00A543FE" w:rsidRDefault="00A81273" w:rsidP="004B7632">
            <w:pPr>
              <w:pStyle w:val="Tabletext1"/>
              <w:rPr>
                <w:lang w:eastAsia="en-US"/>
              </w:rPr>
            </w:pPr>
            <w:r w:rsidRPr="00A543FE">
              <w:rPr>
                <w:lang w:eastAsia="en-US"/>
              </w:rPr>
              <w:t>Inhibin B Gen II ELISA</w:t>
            </w:r>
          </w:p>
        </w:tc>
        <w:tc>
          <w:tcPr>
            <w:tcW w:w="3969" w:type="dxa"/>
          </w:tcPr>
          <w:p w14:paraId="49E1DCD0" w14:textId="77777777" w:rsidR="00A81273" w:rsidRPr="00A543FE" w:rsidRDefault="00A81273" w:rsidP="004B7632">
            <w:pPr>
              <w:pStyle w:val="Tabletext1"/>
              <w:rPr>
                <w:lang w:eastAsia="en-US"/>
              </w:rPr>
            </w:pPr>
            <w:r w:rsidRPr="00A543FE">
              <w:rPr>
                <w:lang w:eastAsia="en-US"/>
              </w:rPr>
              <w:t>135 female survivors treated for childhood malignant and non-malignant diseases. 92 (68.1%) had before menarche and 43 (31.85%) after menarche</w:t>
            </w:r>
          </w:p>
        </w:tc>
        <w:tc>
          <w:tcPr>
            <w:tcW w:w="4536" w:type="dxa"/>
          </w:tcPr>
          <w:p w14:paraId="78E0FE10" w14:textId="77777777" w:rsidR="00A81273" w:rsidRPr="00A543FE" w:rsidRDefault="00A81273" w:rsidP="004B7632">
            <w:pPr>
              <w:pStyle w:val="Tabletext1"/>
              <w:rPr>
                <w:lang w:eastAsia="en-US"/>
              </w:rPr>
            </w:pPr>
            <w:r w:rsidRPr="00A543FE">
              <w:rPr>
                <w:lang w:eastAsia="en-US"/>
              </w:rPr>
              <w:t>Concentrations of AMH and inhibin B were strongly correlated</w:t>
            </w:r>
          </w:p>
        </w:tc>
        <w:tc>
          <w:tcPr>
            <w:tcW w:w="1843" w:type="dxa"/>
          </w:tcPr>
          <w:p w14:paraId="6A7F983B" w14:textId="5F2181C4" w:rsidR="00A81273" w:rsidRPr="00A543FE" w:rsidRDefault="00A81273" w:rsidP="004B7632">
            <w:pPr>
              <w:pStyle w:val="Tabletext1"/>
              <w:rPr>
                <w:lang w:eastAsia="en-US"/>
              </w:rPr>
            </w:pPr>
            <w:r w:rsidRPr="00A543FE">
              <w:rPr>
                <w:lang w:eastAsia="en-US"/>
              </w:rPr>
              <w:t>rho</w:t>
            </w:r>
            <w:r w:rsidR="00EB382C">
              <w:rPr>
                <w:lang w:eastAsia="en-US"/>
              </w:rPr>
              <w:t>=</w:t>
            </w:r>
            <w:r w:rsidRPr="00A543FE">
              <w:rPr>
                <w:lang w:eastAsia="en-US"/>
              </w:rPr>
              <w:t>0.44</w:t>
            </w:r>
            <w:r>
              <w:rPr>
                <w:lang w:eastAsia="en-US"/>
              </w:rPr>
              <w:t xml:space="preserve">, </w:t>
            </w:r>
            <w:r w:rsidRPr="00A543FE">
              <w:rPr>
                <w:lang w:eastAsia="en-US"/>
              </w:rPr>
              <w:t>p&lt;0.001</w:t>
            </w:r>
          </w:p>
        </w:tc>
      </w:tr>
      <w:tr w:rsidR="00A81273" w:rsidRPr="00A543FE" w14:paraId="17D9136B" w14:textId="77777777" w:rsidTr="004B7632">
        <w:tc>
          <w:tcPr>
            <w:tcW w:w="1129" w:type="dxa"/>
            <w:tcBorders>
              <w:bottom w:val="single" w:sz="4" w:space="0" w:color="auto"/>
            </w:tcBorders>
          </w:tcPr>
          <w:p w14:paraId="68733CBF" w14:textId="77777777" w:rsidR="00A81273" w:rsidRPr="00A543FE" w:rsidRDefault="00A81273" w:rsidP="004B7632">
            <w:pPr>
              <w:pStyle w:val="Tabletext1"/>
              <w:rPr>
                <w:lang w:eastAsia="en-US"/>
              </w:rPr>
            </w:pPr>
            <w:r w:rsidRPr="00A543FE">
              <w:rPr>
                <w:lang w:eastAsia="en-US"/>
              </w:rPr>
              <w:t>van Beek et al. (2007)</w:t>
            </w:r>
          </w:p>
        </w:tc>
        <w:tc>
          <w:tcPr>
            <w:tcW w:w="2835" w:type="dxa"/>
            <w:tcBorders>
              <w:bottom w:val="single" w:sz="4" w:space="0" w:color="auto"/>
            </w:tcBorders>
          </w:tcPr>
          <w:p w14:paraId="27EE6C0A" w14:textId="77777777" w:rsidR="00A81273" w:rsidRPr="00A543FE" w:rsidRDefault="00A81273" w:rsidP="004B7632">
            <w:pPr>
              <w:pStyle w:val="Tabletext1"/>
              <w:rPr>
                <w:lang w:eastAsia="en-US"/>
              </w:rPr>
            </w:pPr>
            <w:r w:rsidRPr="00A543FE">
              <w:rPr>
                <w:lang w:eastAsia="en-US"/>
              </w:rPr>
              <w:t>DSL ACTIVE</w:t>
            </w:r>
            <w:r w:rsidRPr="00A543FE">
              <w:rPr>
                <w:vertAlign w:val="superscript"/>
                <w:lang w:eastAsia="en-US"/>
              </w:rPr>
              <w:t>®</w:t>
            </w:r>
            <w:r w:rsidRPr="00A543FE">
              <w:rPr>
                <w:lang w:eastAsia="en-US"/>
              </w:rPr>
              <w:t xml:space="preserve"> AMH ELISA</w:t>
            </w:r>
            <w:r>
              <w:rPr>
                <w:lang w:eastAsia="en-US"/>
              </w:rPr>
              <w:t xml:space="preserve"> versus</w:t>
            </w:r>
          </w:p>
          <w:p w14:paraId="00B390C1" w14:textId="77777777" w:rsidR="00A81273" w:rsidRPr="00A543FE" w:rsidRDefault="00A81273" w:rsidP="004B7632">
            <w:pPr>
              <w:pStyle w:val="Tabletext1"/>
              <w:rPr>
                <w:lang w:eastAsia="en-US"/>
              </w:rPr>
            </w:pPr>
            <w:r w:rsidRPr="00A543FE">
              <w:rPr>
                <w:lang w:eastAsia="en-US"/>
              </w:rPr>
              <w:t>Serotec inhibin B ELISA</w:t>
            </w:r>
          </w:p>
        </w:tc>
        <w:tc>
          <w:tcPr>
            <w:tcW w:w="3969" w:type="dxa"/>
          </w:tcPr>
          <w:p w14:paraId="03C4FCC8" w14:textId="77777777" w:rsidR="00A81273" w:rsidRPr="00A543FE" w:rsidRDefault="00A81273" w:rsidP="004B7632">
            <w:pPr>
              <w:pStyle w:val="Tabletext1"/>
              <w:rPr>
                <w:lang w:eastAsia="en-US"/>
              </w:rPr>
            </w:pPr>
            <w:r w:rsidRPr="00A543FE">
              <w:rPr>
                <w:lang w:eastAsia="en-US"/>
              </w:rPr>
              <w:t>32 women treated with chemotherapy for Hodgkin's lymphoma during childhood</w:t>
            </w:r>
          </w:p>
        </w:tc>
        <w:tc>
          <w:tcPr>
            <w:tcW w:w="4536" w:type="dxa"/>
          </w:tcPr>
          <w:p w14:paraId="37222EC5" w14:textId="77777777" w:rsidR="00A81273" w:rsidRPr="00A543FE" w:rsidRDefault="00A81273" w:rsidP="004B7632">
            <w:pPr>
              <w:pStyle w:val="Tabletext1"/>
              <w:rPr>
                <w:lang w:eastAsia="en-US"/>
              </w:rPr>
            </w:pPr>
            <w:r w:rsidRPr="00A543FE">
              <w:rPr>
                <w:lang w:eastAsia="en-US"/>
              </w:rPr>
              <w:t>The was a correlation between early follicular phase serum levels of AMH and inhibin B</w:t>
            </w:r>
          </w:p>
        </w:tc>
        <w:tc>
          <w:tcPr>
            <w:tcW w:w="1843" w:type="dxa"/>
          </w:tcPr>
          <w:p w14:paraId="3568FDB0" w14:textId="6B916837" w:rsidR="00A81273" w:rsidRPr="00A543FE" w:rsidRDefault="00A81273" w:rsidP="004B7632">
            <w:pPr>
              <w:pStyle w:val="Tabletext1"/>
              <w:rPr>
                <w:lang w:eastAsia="en-US"/>
              </w:rPr>
            </w:pPr>
            <w:r w:rsidRPr="00A543FE">
              <w:rPr>
                <w:lang w:eastAsia="en-US"/>
              </w:rPr>
              <w:t>rho</w:t>
            </w:r>
            <w:r w:rsidR="00EB382C">
              <w:rPr>
                <w:lang w:eastAsia="en-US"/>
              </w:rPr>
              <w:t>=</w:t>
            </w:r>
            <w:r w:rsidRPr="00A543FE">
              <w:rPr>
                <w:lang w:eastAsia="en-US"/>
              </w:rPr>
              <w:t>0.43</w:t>
            </w:r>
            <w:r>
              <w:rPr>
                <w:lang w:eastAsia="en-US"/>
              </w:rPr>
              <w:t xml:space="preserve">, </w:t>
            </w:r>
            <w:r w:rsidRPr="00A543FE">
              <w:rPr>
                <w:lang w:eastAsia="en-US"/>
              </w:rPr>
              <w:t>p&lt;0.05</w:t>
            </w:r>
          </w:p>
        </w:tc>
      </w:tr>
      <w:tr w:rsidR="00A81273" w:rsidRPr="00A543FE" w14:paraId="020E3E05" w14:textId="77777777" w:rsidTr="004B7632">
        <w:tc>
          <w:tcPr>
            <w:tcW w:w="1129" w:type="dxa"/>
            <w:tcBorders>
              <w:right w:val="nil"/>
            </w:tcBorders>
          </w:tcPr>
          <w:p w14:paraId="7DCAB879" w14:textId="77777777" w:rsidR="00A81273" w:rsidRPr="00A543FE" w:rsidRDefault="00A81273" w:rsidP="004B7632">
            <w:pPr>
              <w:pStyle w:val="Tabletext1"/>
              <w:rPr>
                <w:color w:val="FFFFFF" w:themeColor="background1"/>
                <w:lang w:eastAsia="en-US"/>
              </w:rPr>
            </w:pPr>
            <w:r w:rsidRPr="002A4F9A">
              <w:rPr>
                <w:color w:val="FFFFFF" w:themeColor="background1"/>
                <w:lang w:eastAsia="en-US"/>
              </w:rPr>
              <w:t>-</w:t>
            </w:r>
          </w:p>
        </w:tc>
        <w:tc>
          <w:tcPr>
            <w:tcW w:w="2835" w:type="dxa"/>
            <w:tcBorders>
              <w:left w:val="nil"/>
              <w:right w:val="nil"/>
            </w:tcBorders>
          </w:tcPr>
          <w:p w14:paraId="6513FA88" w14:textId="77777777" w:rsidR="00A81273" w:rsidRPr="002A4F9A" w:rsidRDefault="00A81273" w:rsidP="004B7632">
            <w:pPr>
              <w:pStyle w:val="Tabletext1"/>
              <w:rPr>
                <w:color w:val="FFFFFF" w:themeColor="background1"/>
                <w:lang w:eastAsia="en-US"/>
              </w:rPr>
            </w:pPr>
            <w:r w:rsidRPr="002A4F9A">
              <w:rPr>
                <w:color w:val="FFFFFF" w:themeColor="background1"/>
                <w:lang w:eastAsia="en-US"/>
              </w:rPr>
              <w:t>-</w:t>
            </w:r>
          </w:p>
        </w:tc>
        <w:tc>
          <w:tcPr>
            <w:tcW w:w="3969" w:type="dxa"/>
            <w:tcBorders>
              <w:left w:val="nil"/>
              <w:right w:val="nil"/>
            </w:tcBorders>
          </w:tcPr>
          <w:p w14:paraId="4A7F27EB" w14:textId="77777777" w:rsidR="00A81273" w:rsidRPr="00A543FE" w:rsidRDefault="00A81273" w:rsidP="004B7632">
            <w:pPr>
              <w:pStyle w:val="Tabletext1"/>
              <w:rPr>
                <w:i/>
                <w:u w:val="single"/>
                <w:lang w:eastAsia="en-US"/>
              </w:rPr>
            </w:pPr>
            <w:r w:rsidRPr="00A543FE">
              <w:rPr>
                <w:i/>
                <w:u w:val="single"/>
                <w:lang w:eastAsia="en-US"/>
              </w:rPr>
              <w:t>Pre</w:t>
            </w:r>
            <w:r w:rsidRPr="002A4F9A">
              <w:rPr>
                <w:i/>
                <w:u w:val="single"/>
                <w:lang w:eastAsia="en-US"/>
              </w:rPr>
              <w:t>-</w:t>
            </w:r>
            <w:r w:rsidRPr="00A543FE">
              <w:rPr>
                <w:i/>
                <w:u w:val="single"/>
                <w:lang w:eastAsia="en-US"/>
              </w:rPr>
              <w:t xml:space="preserve"> and post</w:t>
            </w:r>
            <w:r w:rsidRPr="002A4F9A">
              <w:rPr>
                <w:i/>
                <w:u w:val="single"/>
                <w:lang w:eastAsia="en-US"/>
              </w:rPr>
              <w:t>-treatment</w:t>
            </w:r>
          </w:p>
        </w:tc>
        <w:tc>
          <w:tcPr>
            <w:tcW w:w="4536" w:type="dxa"/>
            <w:tcBorders>
              <w:left w:val="nil"/>
              <w:right w:val="nil"/>
            </w:tcBorders>
          </w:tcPr>
          <w:p w14:paraId="0B2B4D86" w14:textId="77777777" w:rsidR="00A81273" w:rsidRPr="00A543FE" w:rsidRDefault="00A81273" w:rsidP="004B7632">
            <w:pPr>
              <w:pStyle w:val="Tabletext1"/>
              <w:rPr>
                <w:color w:val="FFFFFF"/>
                <w:lang w:eastAsia="en-US"/>
              </w:rPr>
            </w:pPr>
            <w:r w:rsidRPr="00A543FE">
              <w:rPr>
                <w:color w:val="FFFFFF"/>
                <w:lang w:eastAsia="en-US"/>
              </w:rPr>
              <w:t>-</w:t>
            </w:r>
          </w:p>
        </w:tc>
        <w:tc>
          <w:tcPr>
            <w:tcW w:w="1843" w:type="dxa"/>
            <w:tcBorders>
              <w:left w:val="nil"/>
            </w:tcBorders>
          </w:tcPr>
          <w:p w14:paraId="1749B76B" w14:textId="77777777" w:rsidR="00A81273" w:rsidRPr="004B7632" w:rsidRDefault="00A81273" w:rsidP="004B7632">
            <w:pPr>
              <w:pStyle w:val="Tabletext1"/>
              <w:rPr>
                <w:b/>
                <w:i/>
                <w:color w:val="FFFFFF"/>
                <w:lang w:eastAsia="en-US"/>
              </w:rPr>
            </w:pPr>
            <w:r w:rsidRPr="004B7632">
              <w:rPr>
                <w:b/>
                <w:lang w:eastAsia="en-US"/>
              </w:rPr>
              <w:t>Pearson’s bivariate correlation</w:t>
            </w:r>
          </w:p>
        </w:tc>
      </w:tr>
      <w:tr w:rsidR="00A81273" w:rsidRPr="00A543FE" w14:paraId="67A56A83" w14:textId="77777777" w:rsidTr="004B7632">
        <w:tc>
          <w:tcPr>
            <w:tcW w:w="1129" w:type="dxa"/>
          </w:tcPr>
          <w:p w14:paraId="776DF77E" w14:textId="77777777" w:rsidR="00A81273" w:rsidRPr="00A543FE" w:rsidRDefault="00A81273" w:rsidP="004B7632">
            <w:pPr>
              <w:pStyle w:val="Tabletext1"/>
              <w:rPr>
                <w:lang w:eastAsia="en-US"/>
              </w:rPr>
            </w:pPr>
            <w:r w:rsidRPr="00A543FE">
              <w:rPr>
                <w:lang w:eastAsia="en-US"/>
              </w:rPr>
              <w:t>Lutchman Singh et al. (2007)</w:t>
            </w:r>
          </w:p>
        </w:tc>
        <w:tc>
          <w:tcPr>
            <w:tcW w:w="2835" w:type="dxa"/>
          </w:tcPr>
          <w:p w14:paraId="50BC8706" w14:textId="77777777" w:rsidR="00A81273" w:rsidRPr="00A543FE" w:rsidRDefault="00A81273" w:rsidP="004B7632">
            <w:pPr>
              <w:pStyle w:val="Tabletext1"/>
              <w:rPr>
                <w:lang w:eastAsia="en-US"/>
              </w:rPr>
            </w:pPr>
            <w:r w:rsidRPr="00A543FE">
              <w:rPr>
                <w:lang w:eastAsia="en-US"/>
              </w:rPr>
              <w:t>EIA AMH/MIS assay</w:t>
            </w:r>
          </w:p>
          <w:p w14:paraId="6B94D176" w14:textId="77777777" w:rsidR="00A81273" w:rsidRPr="00A543FE" w:rsidRDefault="00A81273" w:rsidP="004B7632">
            <w:pPr>
              <w:pStyle w:val="Tabletext1"/>
              <w:rPr>
                <w:lang w:eastAsia="en-US"/>
              </w:rPr>
            </w:pPr>
            <w:r w:rsidRPr="00A543FE">
              <w:rPr>
                <w:lang w:eastAsia="en-US"/>
              </w:rPr>
              <w:t>DSL inhibin B ELISA</w:t>
            </w:r>
          </w:p>
        </w:tc>
        <w:tc>
          <w:tcPr>
            <w:tcW w:w="3969" w:type="dxa"/>
          </w:tcPr>
          <w:p w14:paraId="4734855E" w14:textId="77777777" w:rsidR="00A81273" w:rsidRPr="00A543FE" w:rsidRDefault="00A81273" w:rsidP="004B7632">
            <w:pPr>
              <w:pStyle w:val="Tabletext1"/>
              <w:rPr>
                <w:lang w:eastAsia="en-US"/>
              </w:rPr>
            </w:pPr>
            <w:r w:rsidRPr="00A543FE">
              <w:rPr>
                <w:lang w:eastAsia="en-US"/>
              </w:rPr>
              <w:t>22 young women with breast cancer pre- and post-treatment and 24 controls</w:t>
            </w:r>
          </w:p>
        </w:tc>
        <w:tc>
          <w:tcPr>
            <w:tcW w:w="4536" w:type="dxa"/>
          </w:tcPr>
          <w:p w14:paraId="44ED3766" w14:textId="77777777" w:rsidR="00A81273" w:rsidRPr="00A543FE" w:rsidRDefault="00A81273" w:rsidP="004B7632">
            <w:pPr>
              <w:pStyle w:val="Tabletext1"/>
              <w:rPr>
                <w:lang w:eastAsia="en-US"/>
              </w:rPr>
            </w:pPr>
            <w:r w:rsidRPr="00A543FE">
              <w:rPr>
                <w:lang w:eastAsia="en-US"/>
              </w:rPr>
              <w:t>The was a correlation between early follicular phase serum levels of AMH and inhibin B</w:t>
            </w:r>
          </w:p>
        </w:tc>
        <w:tc>
          <w:tcPr>
            <w:tcW w:w="1843" w:type="dxa"/>
          </w:tcPr>
          <w:p w14:paraId="5B730C22" w14:textId="75B80959" w:rsidR="00A81273" w:rsidRPr="00A543FE" w:rsidRDefault="00EB382C" w:rsidP="004B7632">
            <w:pPr>
              <w:pStyle w:val="Tabletext1"/>
              <w:rPr>
                <w:lang w:eastAsia="en-US"/>
              </w:rPr>
            </w:pPr>
            <w:r>
              <w:rPr>
                <w:lang w:eastAsia="en-US"/>
              </w:rPr>
              <w:t>r</w:t>
            </w:r>
            <w:r>
              <w:rPr>
                <w:i/>
                <w:lang w:eastAsia="en-US"/>
              </w:rPr>
              <w:t>=</w:t>
            </w:r>
            <w:r w:rsidR="00A81273" w:rsidRPr="00A543FE">
              <w:rPr>
                <w:lang w:eastAsia="en-US"/>
              </w:rPr>
              <w:t>0.842</w:t>
            </w:r>
            <w:r w:rsidR="00A81273">
              <w:rPr>
                <w:lang w:eastAsia="en-US"/>
              </w:rPr>
              <w:t xml:space="preserve">, </w:t>
            </w:r>
            <w:r w:rsidR="00A81273" w:rsidRPr="00A543FE">
              <w:rPr>
                <w:lang w:eastAsia="en-US"/>
              </w:rPr>
              <w:t>p&lt;0.001</w:t>
            </w:r>
          </w:p>
        </w:tc>
      </w:tr>
    </w:tbl>
    <w:p w14:paraId="4FF40E96" w14:textId="7A4A773D" w:rsidR="00A81273" w:rsidRDefault="00A81273" w:rsidP="00A81273">
      <w:pPr>
        <w:pStyle w:val="Tablenotes0"/>
      </w:pPr>
      <w:r>
        <w:t>AMH = anti-Müllerian hormone; EIA = enzyme Immunoassay; ELISA = enzyme-linked immunosorbent assay; MIS = Mü</w:t>
      </w:r>
      <w:r w:rsidR="005070FC">
        <w:t>llerian-inhibiting</w:t>
      </w:r>
      <w:r>
        <w:t xml:space="preserve"> substance; OTC = o</w:t>
      </w:r>
      <w:r w:rsidRPr="009A4F4C">
        <w:t>varian tissue cryopreservation</w:t>
      </w:r>
    </w:p>
    <w:p w14:paraId="41EBCC66" w14:textId="58D000A0" w:rsidR="00A81273" w:rsidRDefault="00A81273" w:rsidP="00DF343F">
      <w:pPr>
        <w:pStyle w:val="Heading1"/>
        <w:jc w:val="both"/>
        <w:sectPr w:rsidR="00A81273" w:rsidSect="00A81273">
          <w:pgSz w:w="16838" w:h="11906" w:orient="landscape"/>
          <w:pgMar w:top="1440" w:right="1440" w:bottom="1440" w:left="1440" w:header="720" w:footer="720" w:gutter="0"/>
          <w:paperSrc w:first="1512" w:other="1512"/>
          <w:cols w:space="720"/>
          <w:docGrid w:linePitch="360"/>
        </w:sectPr>
      </w:pPr>
    </w:p>
    <w:p w14:paraId="3743EC3F" w14:textId="77777777" w:rsidR="007518CF" w:rsidRDefault="008F59A8" w:rsidP="00DF343F">
      <w:pPr>
        <w:pStyle w:val="Heading1"/>
        <w:jc w:val="both"/>
      </w:pPr>
      <w:bookmarkStart w:id="555" w:name="_Toc502833018"/>
      <w:r w:rsidRPr="00183E4D">
        <w:lastRenderedPageBreak/>
        <w:t>References</w:t>
      </w:r>
      <w:bookmarkEnd w:id="543"/>
      <w:bookmarkEnd w:id="544"/>
      <w:bookmarkEnd w:id="555"/>
    </w:p>
    <w:p w14:paraId="22E68F32" w14:textId="77777777" w:rsidR="00835BA6" w:rsidRPr="00835BA6" w:rsidRDefault="00FC3198" w:rsidP="00835BA6">
      <w:pPr>
        <w:pStyle w:val="EndNoteBibliography"/>
        <w:rPr>
          <w:rFonts w:asciiTheme="minorHAnsi" w:hAnsiTheme="minorHAnsi"/>
        </w:rPr>
      </w:pPr>
      <w:r>
        <w:fldChar w:fldCharType="begin"/>
      </w:r>
      <w:r>
        <w:instrText xml:space="preserve"> ADDIN EN.REFLIST </w:instrText>
      </w:r>
      <w:r>
        <w:fldChar w:fldCharType="separate"/>
      </w:r>
      <w:bookmarkStart w:id="556" w:name="_ENREF_1"/>
      <w:r w:rsidR="00835BA6" w:rsidRPr="00835BA6">
        <w:rPr>
          <w:rFonts w:asciiTheme="minorHAnsi" w:hAnsiTheme="minorHAnsi"/>
        </w:rPr>
        <w:t xml:space="preserve">Abdallah, Y, Briggs, J, Jones, J, Horne, G &amp; Fitzgerald, C 2017, 'A nationwide UK survey of female fertility preservation prior to cancer treatment', </w:t>
      </w:r>
      <w:r w:rsidR="00835BA6" w:rsidRPr="00835BA6">
        <w:rPr>
          <w:rFonts w:asciiTheme="minorHAnsi" w:hAnsiTheme="minorHAnsi"/>
          <w:i/>
        </w:rPr>
        <w:t>Hum Fertil (Camb)</w:t>
      </w:r>
      <w:r w:rsidR="00835BA6" w:rsidRPr="00835BA6">
        <w:rPr>
          <w:rFonts w:asciiTheme="minorHAnsi" w:hAnsiTheme="minorHAnsi"/>
        </w:rPr>
        <w:t>, May 26, pp. 1-8.</w:t>
      </w:r>
    </w:p>
    <w:bookmarkEnd w:id="556"/>
    <w:p w14:paraId="44AA4797" w14:textId="77777777" w:rsidR="00835BA6" w:rsidRPr="00835BA6" w:rsidRDefault="00835BA6" w:rsidP="00835BA6">
      <w:pPr>
        <w:pStyle w:val="EndNoteBibliography"/>
        <w:spacing w:after="0"/>
        <w:rPr>
          <w:rFonts w:asciiTheme="minorHAnsi" w:hAnsiTheme="minorHAnsi"/>
        </w:rPr>
      </w:pPr>
    </w:p>
    <w:p w14:paraId="0975BA95" w14:textId="77777777" w:rsidR="00835BA6" w:rsidRPr="00835BA6" w:rsidRDefault="00835BA6" w:rsidP="00835BA6">
      <w:pPr>
        <w:pStyle w:val="EndNoteBibliography"/>
        <w:rPr>
          <w:rFonts w:asciiTheme="minorHAnsi" w:hAnsiTheme="minorHAnsi"/>
        </w:rPr>
      </w:pPr>
      <w:bookmarkStart w:id="557" w:name="_ENREF_2"/>
      <w:r w:rsidRPr="00835BA6">
        <w:rPr>
          <w:rFonts w:asciiTheme="minorHAnsi" w:hAnsiTheme="minorHAnsi"/>
        </w:rPr>
        <w:t xml:space="preserve">Allegra, A, Marino, A, Volpes, A, Coffaro, F, Scaglione, P, Gullo, S &amp; La Marca, A 2017, 'A randomized controlled trial investigating the use of a predictive nomogram for the selection of the FSH starting dose in IVF/ICSI cycles', </w:t>
      </w:r>
      <w:r w:rsidRPr="00835BA6">
        <w:rPr>
          <w:rFonts w:asciiTheme="minorHAnsi" w:hAnsiTheme="minorHAnsi"/>
          <w:i/>
        </w:rPr>
        <w:t>Reprod Biomed Online</w:t>
      </w:r>
      <w:r w:rsidRPr="00835BA6">
        <w:rPr>
          <w:rFonts w:asciiTheme="minorHAnsi" w:hAnsiTheme="minorHAnsi"/>
        </w:rPr>
        <w:t>, vol. 34, no. 4, Apr, pp. 429-438.</w:t>
      </w:r>
    </w:p>
    <w:bookmarkEnd w:id="557"/>
    <w:p w14:paraId="4A0445D2" w14:textId="77777777" w:rsidR="00835BA6" w:rsidRPr="00835BA6" w:rsidRDefault="00835BA6" w:rsidP="00835BA6">
      <w:pPr>
        <w:pStyle w:val="EndNoteBibliography"/>
        <w:spacing w:after="0"/>
        <w:rPr>
          <w:rFonts w:asciiTheme="minorHAnsi" w:hAnsiTheme="minorHAnsi"/>
        </w:rPr>
      </w:pPr>
    </w:p>
    <w:p w14:paraId="3B62BEBB" w14:textId="77777777" w:rsidR="00835BA6" w:rsidRPr="00835BA6" w:rsidRDefault="00835BA6" w:rsidP="00835BA6">
      <w:pPr>
        <w:pStyle w:val="EndNoteBibliography"/>
        <w:rPr>
          <w:rFonts w:asciiTheme="minorHAnsi" w:hAnsiTheme="minorHAnsi"/>
        </w:rPr>
      </w:pPr>
      <w:bookmarkStart w:id="558" w:name="_ENREF_3"/>
      <w:r w:rsidRPr="00835BA6">
        <w:rPr>
          <w:rFonts w:asciiTheme="minorHAnsi" w:hAnsiTheme="minorHAnsi"/>
        </w:rPr>
        <w:t xml:space="preserve">American Society for Reproductive Medicine Practice Committee 2015, 'Testing and interpreting measures of ovarian reserve: a committee opinion', </w:t>
      </w:r>
      <w:r w:rsidRPr="00835BA6">
        <w:rPr>
          <w:rFonts w:asciiTheme="minorHAnsi" w:hAnsiTheme="minorHAnsi"/>
          <w:i/>
        </w:rPr>
        <w:t>Fertil Steril</w:t>
      </w:r>
      <w:r w:rsidRPr="00835BA6">
        <w:rPr>
          <w:rFonts w:asciiTheme="minorHAnsi" w:hAnsiTheme="minorHAnsi"/>
        </w:rPr>
        <w:t>, vol. 103, no. 3, Mar, pp. e9-e17.</w:t>
      </w:r>
    </w:p>
    <w:bookmarkEnd w:id="558"/>
    <w:p w14:paraId="520798D1" w14:textId="77777777" w:rsidR="00835BA6" w:rsidRPr="00835BA6" w:rsidRDefault="00835BA6" w:rsidP="00835BA6">
      <w:pPr>
        <w:pStyle w:val="EndNoteBibliography"/>
        <w:spacing w:after="0"/>
        <w:rPr>
          <w:rFonts w:asciiTheme="minorHAnsi" w:hAnsiTheme="minorHAnsi"/>
        </w:rPr>
      </w:pPr>
    </w:p>
    <w:p w14:paraId="40CB1932" w14:textId="77777777" w:rsidR="00835BA6" w:rsidRPr="00835BA6" w:rsidRDefault="00835BA6" w:rsidP="00835BA6">
      <w:pPr>
        <w:pStyle w:val="EndNoteBibliography"/>
        <w:rPr>
          <w:rFonts w:asciiTheme="minorHAnsi" w:hAnsiTheme="minorHAnsi"/>
        </w:rPr>
      </w:pPr>
      <w:bookmarkStart w:id="559" w:name="_ENREF_4"/>
      <w:r w:rsidRPr="00835BA6">
        <w:rPr>
          <w:rFonts w:asciiTheme="minorHAnsi" w:hAnsiTheme="minorHAnsi"/>
        </w:rPr>
        <w:t xml:space="preserve">Amir, E, Freedman, O, Allen, L, Colgan, T &amp; Clemons, M 2010, 'Defining ovarian failure in amenorrheic young breast cancer patients', </w:t>
      </w:r>
      <w:r w:rsidRPr="00835BA6">
        <w:rPr>
          <w:rFonts w:asciiTheme="minorHAnsi" w:hAnsiTheme="minorHAnsi"/>
          <w:i/>
        </w:rPr>
        <w:t>Breast</w:t>
      </w:r>
      <w:r w:rsidRPr="00835BA6">
        <w:rPr>
          <w:rFonts w:asciiTheme="minorHAnsi" w:hAnsiTheme="minorHAnsi"/>
        </w:rPr>
        <w:t>, vol. 19, no. 6, Dec, pp. 545-548.</w:t>
      </w:r>
    </w:p>
    <w:bookmarkEnd w:id="559"/>
    <w:p w14:paraId="6ED40C60" w14:textId="77777777" w:rsidR="00835BA6" w:rsidRPr="00835BA6" w:rsidRDefault="00835BA6" w:rsidP="00835BA6">
      <w:pPr>
        <w:pStyle w:val="EndNoteBibliography"/>
        <w:spacing w:after="0"/>
        <w:rPr>
          <w:rFonts w:asciiTheme="minorHAnsi" w:hAnsiTheme="minorHAnsi"/>
        </w:rPr>
      </w:pPr>
    </w:p>
    <w:p w14:paraId="12FBDCAC" w14:textId="77777777" w:rsidR="00835BA6" w:rsidRPr="00835BA6" w:rsidRDefault="00835BA6" w:rsidP="00835BA6">
      <w:pPr>
        <w:pStyle w:val="EndNoteBibliography"/>
        <w:rPr>
          <w:rFonts w:asciiTheme="minorHAnsi" w:hAnsiTheme="minorHAnsi"/>
        </w:rPr>
      </w:pPr>
      <w:bookmarkStart w:id="560" w:name="_ENREF_5"/>
      <w:r w:rsidRPr="00835BA6">
        <w:rPr>
          <w:rFonts w:asciiTheme="minorHAnsi" w:hAnsiTheme="minorHAnsi"/>
        </w:rPr>
        <w:t xml:space="preserve">Anders, C, Marcom, PK, Peterson, B, Gu, L, Unruhe, S, Welch, R, Lyons, P, Kimmick, G, Shaw, H, Snyder, S, Antenos, M, Woodruff, T &amp; Blackwell, K 2008, 'A pilot study of predictive markers of chemotherapy-related amenorrhea among premenopausal women with early stage breast cancer', </w:t>
      </w:r>
      <w:r w:rsidRPr="00835BA6">
        <w:rPr>
          <w:rFonts w:asciiTheme="minorHAnsi" w:hAnsiTheme="minorHAnsi"/>
          <w:i/>
        </w:rPr>
        <w:t>Cancer Investigation</w:t>
      </w:r>
      <w:r w:rsidRPr="00835BA6">
        <w:rPr>
          <w:rFonts w:asciiTheme="minorHAnsi" w:hAnsiTheme="minorHAnsi"/>
        </w:rPr>
        <w:t>, vol. 26, no. 3, 2008-1-1, pp. 286-295.</w:t>
      </w:r>
    </w:p>
    <w:bookmarkEnd w:id="560"/>
    <w:p w14:paraId="2C6CD31C" w14:textId="77777777" w:rsidR="00835BA6" w:rsidRPr="00835BA6" w:rsidRDefault="00835BA6" w:rsidP="00835BA6">
      <w:pPr>
        <w:pStyle w:val="EndNoteBibliography"/>
        <w:spacing w:after="0"/>
        <w:rPr>
          <w:rFonts w:asciiTheme="minorHAnsi" w:hAnsiTheme="minorHAnsi"/>
        </w:rPr>
      </w:pPr>
    </w:p>
    <w:p w14:paraId="371EA76F" w14:textId="77777777" w:rsidR="00835BA6" w:rsidRPr="00835BA6" w:rsidRDefault="00835BA6" w:rsidP="00835BA6">
      <w:pPr>
        <w:pStyle w:val="EndNoteBibliography"/>
        <w:rPr>
          <w:rFonts w:asciiTheme="minorHAnsi" w:hAnsiTheme="minorHAnsi"/>
        </w:rPr>
      </w:pPr>
      <w:bookmarkStart w:id="561" w:name="_ENREF_6"/>
      <w:r w:rsidRPr="00835BA6">
        <w:rPr>
          <w:rFonts w:asciiTheme="minorHAnsi" w:hAnsiTheme="minorHAnsi"/>
        </w:rPr>
        <w:t xml:space="preserve">Anderson, RA &amp; Cameron, DA 2011, 'Pretreatment serum anti-mullerian hormone predicts long-term ovarian function and bone mass after chemotherapy for early breast cancer', </w:t>
      </w:r>
      <w:r w:rsidRPr="00835BA6">
        <w:rPr>
          <w:rFonts w:asciiTheme="minorHAnsi" w:hAnsiTheme="minorHAnsi"/>
          <w:i/>
        </w:rPr>
        <w:t>J Clin Endocrinol Metab</w:t>
      </w:r>
      <w:r w:rsidRPr="00835BA6">
        <w:rPr>
          <w:rFonts w:asciiTheme="minorHAnsi" w:hAnsiTheme="minorHAnsi"/>
        </w:rPr>
        <w:t>, vol. 96, no. 5, May, pp. 1336-1343.</w:t>
      </w:r>
    </w:p>
    <w:bookmarkEnd w:id="561"/>
    <w:p w14:paraId="5622ECB7" w14:textId="77777777" w:rsidR="00835BA6" w:rsidRPr="00835BA6" w:rsidRDefault="00835BA6" w:rsidP="00835BA6">
      <w:pPr>
        <w:pStyle w:val="EndNoteBibliography"/>
        <w:spacing w:after="0"/>
        <w:rPr>
          <w:rFonts w:asciiTheme="minorHAnsi" w:hAnsiTheme="minorHAnsi"/>
        </w:rPr>
      </w:pPr>
    </w:p>
    <w:p w14:paraId="41610D56" w14:textId="77777777" w:rsidR="00835BA6" w:rsidRPr="00835BA6" w:rsidRDefault="00835BA6" w:rsidP="00835BA6">
      <w:pPr>
        <w:pStyle w:val="EndNoteBibliography"/>
        <w:rPr>
          <w:rFonts w:asciiTheme="minorHAnsi" w:hAnsiTheme="minorHAnsi"/>
        </w:rPr>
      </w:pPr>
      <w:bookmarkStart w:id="562" w:name="_ENREF_7"/>
      <w:r w:rsidRPr="00835BA6">
        <w:rPr>
          <w:rFonts w:asciiTheme="minorHAnsi" w:hAnsiTheme="minorHAnsi"/>
        </w:rPr>
        <w:t xml:space="preserve">Anderson, RA, Rosendahl, M, Kelsey, TW &amp; Cameron, DA 2013, 'Pretreatment anti-Mullerian hormone predicts for loss of ovarian function after chemotherapy for early breast cancer', </w:t>
      </w:r>
      <w:r w:rsidRPr="00835BA6">
        <w:rPr>
          <w:rFonts w:asciiTheme="minorHAnsi" w:hAnsiTheme="minorHAnsi"/>
          <w:i/>
        </w:rPr>
        <w:t>Eur J Cancer</w:t>
      </w:r>
      <w:r w:rsidRPr="00835BA6">
        <w:rPr>
          <w:rFonts w:asciiTheme="minorHAnsi" w:hAnsiTheme="minorHAnsi"/>
        </w:rPr>
        <w:t>, vol. 49, no. 16, Nov, pp. 3404-3411.</w:t>
      </w:r>
    </w:p>
    <w:bookmarkEnd w:id="562"/>
    <w:p w14:paraId="717AF55F" w14:textId="77777777" w:rsidR="00835BA6" w:rsidRPr="00835BA6" w:rsidRDefault="00835BA6" w:rsidP="00835BA6">
      <w:pPr>
        <w:pStyle w:val="EndNoteBibliography"/>
        <w:spacing w:after="0"/>
        <w:rPr>
          <w:rFonts w:asciiTheme="minorHAnsi" w:hAnsiTheme="minorHAnsi"/>
        </w:rPr>
      </w:pPr>
    </w:p>
    <w:p w14:paraId="77226533" w14:textId="77777777" w:rsidR="00835BA6" w:rsidRPr="00835BA6" w:rsidRDefault="00835BA6" w:rsidP="00835BA6">
      <w:pPr>
        <w:pStyle w:val="EndNoteBibliography"/>
        <w:rPr>
          <w:rFonts w:asciiTheme="minorHAnsi" w:hAnsiTheme="minorHAnsi"/>
        </w:rPr>
      </w:pPr>
      <w:bookmarkStart w:id="563" w:name="_ENREF_8"/>
      <w:r w:rsidRPr="00835BA6">
        <w:rPr>
          <w:rFonts w:asciiTheme="minorHAnsi" w:hAnsiTheme="minorHAnsi"/>
        </w:rPr>
        <w:t xml:space="preserve">Anderson, RA &amp; Wallace, WH 2013, 'Antimullerian hormone, the assessment of the ovarian reserve, and the reproductive outcome of the young patient with cancer', </w:t>
      </w:r>
      <w:r w:rsidRPr="00835BA6">
        <w:rPr>
          <w:rFonts w:asciiTheme="minorHAnsi" w:hAnsiTheme="minorHAnsi"/>
          <w:i/>
        </w:rPr>
        <w:t>Fertil Steril</w:t>
      </w:r>
      <w:r w:rsidRPr="00835BA6">
        <w:rPr>
          <w:rFonts w:asciiTheme="minorHAnsi" w:hAnsiTheme="minorHAnsi"/>
        </w:rPr>
        <w:t>, vol. 99, no. 6, May, pp. 1469-1475.</w:t>
      </w:r>
    </w:p>
    <w:bookmarkEnd w:id="563"/>
    <w:p w14:paraId="4A0BCA45" w14:textId="77777777" w:rsidR="00835BA6" w:rsidRPr="00835BA6" w:rsidRDefault="00835BA6" w:rsidP="00835BA6">
      <w:pPr>
        <w:pStyle w:val="EndNoteBibliography"/>
        <w:spacing w:after="0"/>
        <w:rPr>
          <w:rFonts w:asciiTheme="minorHAnsi" w:hAnsiTheme="minorHAnsi"/>
        </w:rPr>
      </w:pPr>
    </w:p>
    <w:p w14:paraId="2679D947" w14:textId="786882EF" w:rsidR="00835BA6" w:rsidRPr="00835BA6" w:rsidRDefault="00835BA6" w:rsidP="00835BA6">
      <w:pPr>
        <w:pStyle w:val="EndNoteBibliography"/>
        <w:rPr>
          <w:rFonts w:asciiTheme="minorHAnsi" w:hAnsiTheme="minorHAnsi"/>
        </w:rPr>
      </w:pPr>
      <w:bookmarkStart w:id="564" w:name="_ENREF_9"/>
      <w:r w:rsidRPr="00835BA6">
        <w:rPr>
          <w:rFonts w:asciiTheme="minorHAnsi" w:hAnsiTheme="minorHAnsi"/>
        </w:rPr>
        <w:t xml:space="preserve">Australian Institute of Health and Welfare 2017, 'Cancer in Australia 2017', </w:t>
      </w:r>
      <w:r w:rsidRPr="00835BA6">
        <w:rPr>
          <w:rFonts w:asciiTheme="minorHAnsi" w:hAnsiTheme="minorHAnsi"/>
          <w:i/>
        </w:rPr>
        <w:t>Cancer series no. 101. Cat. no. CAN 100</w:t>
      </w:r>
      <w:r w:rsidRPr="00835BA6">
        <w:rPr>
          <w:rFonts w:asciiTheme="minorHAnsi" w:hAnsiTheme="minorHAnsi"/>
        </w:rPr>
        <w:t>, AIHW, Canberra, p. 205</w:t>
      </w:r>
      <w:r w:rsidR="009B6BFB">
        <w:rPr>
          <w:rFonts w:asciiTheme="minorHAnsi" w:hAnsiTheme="minorHAnsi"/>
        </w:rPr>
        <w:t xml:space="preserve"> </w:t>
      </w:r>
      <w:r w:rsidRPr="00835BA6">
        <w:rPr>
          <w:rFonts w:asciiTheme="minorHAnsi" w:hAnsiTheme="minorHAnsi"/>
        </w:rPr>
        <w:t>&lt;</w:t>
      </w:r>
      <w:hyperlink r:id="rId110" w:tooltip="Australian Institute of Health and Welfare" w:history="1">
        <w:r w:rsidRPr="00835BA6">
          <w:rPr>
            <w:rStyle w:val="Hyperlink"/>
            <w:rFonts w:asciiTheme="minorHAnsi" w:hAnsiTheme="minorHAnsi"/>
          </w:rPr>
          <w:t>https://www.aihw.gov.au/getmedia/3da1f3c2-30f0-4475-8aed-1f19f8e16d48/20066-cancer-2017.pdf.aspx?inline=true</w:t>
        </w:r>
      </w:hyperlink>
      <w:r w:rsidR="00177003">
        <w:rPr>
          <w:rFonts w:asciiTheme="minorHAnsi" w:hAnsiTheme="minorHAnsi"/>
        </w:rPr>
        <w:t>&gt;.</w:t>
      </w:r>
    </w:p>
    <w:bookmarkEnd w:id="564"/>
    <w:p w14:paraId="7ED73CA5" w14:textId="77777777" w:rsidR="00835BA6" w:rsidRPr="00835BA6" w:rsidRDefault="00835BA6" w:rsidP="00835BA6">
      <w:pPr>
        <w:pStyle w:val="EndNoteBibliography"/>
        <w:spacing w:after="0"/>
        <w:rPr>
          <w:rFonts w:asciiTheme="minorHAnsi" w:hAnsiTheme="minorHAnsi"/>
        </w:rPr>
      </w:pPr>
    </w:p>
    <w:p w14:paraId="4490E24A" w14:textId="77777777" w:rsidR="00835BA6" w:rsidRPr="00835BA6" w:rsidRDefault="00835BA6" w:rsidP="00835BA6">
      <w:pPr>
        <w:pStyle w:val="EndNoteBibliography"/>
        <w:rPr>
          <w:rFonts w:asciiTheme="minorHAnsi" w:hAnsiTheme="minorHAnsi"/>
        </w:rPr>
      </w:pPr>
      <w:bookmarkStart w:id="565" w:name="_ENREF_10"/>
      <w:r w:rsidRPr="00835BA6">
        <w:rPr>
          <w:rFonts w:asciiTheme="minorHAnsi" w:hAnsiTheme="minorHAnsi"/>
        </w:rPr>
        <w:t xml:space="preserve">Beneventi, F, Locatelli, E, Giorgiani, G, Zecca, M, Locatelli, F, Cavagnoli, C, Simonetta, M, Bariselli, S, Negri, B &amp; Spinillo, A 2014, 'Gonadal and uterine function in female survivors treated by chemotherapy, radiotherapy, and/or bone marrow transplantation for childhood malignant and non-malignant diseases', </w:t>
      </w:r>
      <w:r w:rsidRPr="00835BA6">
        <w:rPr>
          <w:rFonts w:asciiTheme="minorHAnsi" w:hAnsiTheme="minorHAnsi"/>
          <w:i/>
        </w:rPr>
        <w:t>BJOG: An International Journal of Obstetrics and Gynaecology</w:t>
      </w:r>
      <w:r w:rsidRPr="00835BA6">
        <w:rPr>
          <w:rFonts w:asciiTheme="minorHAnsi" w:hAnsiTheme="minorHAnsi"/>
        </w:rPr>
        <w:t>, vol. 121, no. 7, 2014-1-1, pp. 856-865.</w:t>
      </w:r>
    </w:p>
    <w:bookmarkEnd w:id="565"/>
    <w:p w14:paraId="6B3E6B11" w14:textId="77777777" w:rsidR="00835BA6" w:rsidRPr="00835BA6" w:rsidRDefault="00835BA6" w:rsidP="00835BA6">
      <w:pPr>
        <w:pStyle w:val="EndNoteBibliography"/>
        <w:spacing w:after="0"/>
        <w:rPr>
          <w:rFonts w:asciiTheme="minorHAnsi" w:hAnsiTheme="minorHAnsi"/>
        </w:rPr>
      </w:pPr>
    </w:p>
    <w:p w14:paraId="55AFD0DB" w14:textId="77777777" w:rsidR="00835BA6" w:rsidRPr="00835BA6" w:rsidRDefault="00835BA6" w:rsidP="00835BA6">
      <w:pPr>
        <w:pStyle w:val="EndNoteBibliography"/>
        <w:rPr>
          <w:rFonts w:asciiTheme="minorHAnsi" w:hAnsiTheme="minorHAnsi"/>
        </w:rPr>
      </w:pPr>
      <w:bookmarkStart w:id="566" w:name="_ENREF_11"/>
      <w:r w:rsidRPr="00835BA6">
        <w:rPr>
          <w:rFonts w:asciiTheme="minorHAnsi" w:hAnsiTheme="minorHAnsi"/>
        </w:rPr>
        <w:t xml:space="preserve">Biacchiardi, CP, Piane, LD, Camanni, M, Deltetto, F, Delpiano, EM, Marchino, GL, Gennarelli, G &amp; Revelli, A 2011, 'Laparoscopic stripping of endometriomas negatively affects ovarian follicular reserve even if performed by experienced surgeons', </w:t>
      </w:r>
      <w:r w:rsidRPr="00835BA6">
        <w:rPr>
          <w:rFonts w:asciiTheme="minorHAnsi" w:hAnsiTheme="minorHAnsi"/>
          <w:i/>
        </w:rPr>
        <w:t>Reproductive BioMedicine Online</w:t>
      </w:r>
      <w:r w:rsidRPr="00835BA6">
        <w:rPr>
          <w:rFonts w:asciiTheme="minorHAnsi" w:hAnsiTheme="minorHAnsi"/>
        </w:rPr>
        <w:t>, vol. 23, no. 6, 2011-1-1, pp. 740-746.</w:t>
      </w:r>
    </w:p>
    <w:bookmarkEnd w:id="566"/>
    <w:p w14:paraId="04FA71E1" w14:textId="77777777" w:rsidR="00835BA6" w:rsidRPr="00835BA6" w:rsidRDefault="00835BA6" w:rsidP="00835BA6">
      <w:pPr>
        <w:pStyle w:val="EndNoteBibliography"/>
        <w:spacing w:after="0"/>
        <w:rPr>
          <w:rFonts w:asciiTheme="minorHAnsi" w:hAnsiTheme="minorHAnsi"/>
        </w:rPr>
      </w:pPr>
    </w:p>
    <w:p w14:paraId="0F41D6BA" w14:textId="77777777" w:rsidR="00835BA6" w:rsidRPr="00835BA6" w:rsidRDefault="00835BA6" w:rsidP="00835BA6">
      <w:pPr>
        <w:pStyle w:val="EndNoteBibliography"/>
        <w:rPr>
          <w:rFonts w:asciiTheme="minorHAnsi" w:hAnsiTheme="minorHAnsi"/>
        </w:rPr>
      </w:pPr>
      <w:bookmarkStart w:id="567" w:name="_ENREF_12"/>
      <w:r w:rsidRPr="00835BA6">
        <w:rPr>
          <w:rFonts w:asciiTheme="minorHAnsi" w:hAnsiTheme="minorHAnsi"/>
        </w:rPr>
        <w:t xml:space="preserve">Bozza, C, Puglisi, F, Lambertini, M, Osa, EO, Manno, M &amp; Del Mastro, L 2014, 'Anti-Müllerian hormone: Determination of ovarian reserve in early breast cancer patients', </w:t>
      </w:r>
      <w:r w:rsidRPr="00835BA6">
        <w:rPr>
          <w:rFonts w:asciiTheme="minorHAnsi" w:hAnsiTheme="minorHAnsi"/>
          <w:i/>
        </w:rPr>
        <w:t>Endocrine-Related Cancer</w:t>
      </w:r>
      <w:r w:rsidRPr="00835BA6">
        <w:rPr>
          <w:rFonts w:asciiTheme="minorHAnsi" w:hAnsiTheme="minorHAnsi"/>
        </w:rPr>
        <w:t>, vol. 21, no. 1, 2014-1-1, pp. R51-R65.</w:t>
      </w:r>
    </w:p>
    <w:bookmarkEnd w:id="567"/>
    <w:p w14:paraId="410A6B7A" w14:textId="77777777" w:rsidR="00835BA6" w:rsidRPr="00835BA6" w:rsidRDefault="00835BA6" w:rsidP="00835BA6">
      <w:pPr>
        <w:pStyle w:val="EndNoteBibliography"/>
        <w:spacing w:after="0"/>
        <w:rPr>
          <w:rFonts w:asciiTheme="minorHAnsi" w:hAnsiTheme="minorHAnsi"/>
        </w:rPr>
      </w:pPr>
    </w:p>
    <w:p w14:paraId="42136750" w14:textId="77777777" w:rsidR="00835BA6" w:rsidRPr="00835BA6" w:rsidRDefault="00835BA6" w:rsidP="00835BA6">
      <w:pPr>
        <w:pStyle w:val="EndNoteBibliography"/>
        <w:rPr>
          <w:rFonts w:asciiTheme="minorHAnsi" w:hAnsiTheme="minorHAnsi"/>
        </w:rPr>
      </w:pPr>
      <w:bookmarkStart w:id="568" w:name="_ENREF_13"/>
      <w:r w:rsidRPr="00835BA6">
        <w:rPr>
          <w:rFonts w:asciiTheme="minorHAnsi" w:hAnsiTheme="minorHAnsi"/>
        </w:rPr>
        <w:t xml:space="preserve">Chada, M, Prusa, R, Bronsky, J, Pechova, M, Kotaska, K &amp; Lisa, L 2003, 'Inhibin B, follicle stimulating hormone, luteinizing hormone, and estradiol and their relationship to the regulation of follicle development in girls during childhood and puberty', </w:t>
      </w:r>
      <w:r w:rsidRPr="00835BA6">
        <w:rPr>
          <w:rFonts w:asciiTheme="minorHAnsi" w:hAnsiTheme="minorHAnsi"/>
          <w:i/>
        </w:rPr>
        <w:t>Physiol Res</w:t>
      </w:r>
      <w:r w:rsidRPr="00835BA6">
        <w:rPr>
          <w:rFonts w:asciiTheme="minorHAnsi" w:hAnsiTheme="minorHAnsi"/>
        </w:rPr>
        <w:t>, vol. 52, no. 3, pp. 341-346.</w:t>
      </w:r>
    </w:p>
    <w:bookmarkEnd w:id="568"/>
    <w:p w14:paraId="2DF886D8" w14:textId="77777777" w:rsidR="00835BA6" w:rsidRPr="00835BA6" w:rsidRDefault="00835BA6" w:rsidP="00835BA6">
      <w:pPr>
        <w:pStyle w:val="EndNoteBibliography"/>
        <w:spacing w:after="0"/>
        <w:rPr>
          <w:rFonts w:asciiTheme="minorHAnsi" w:hAnsiTheme="minorHAnsi"/>
        </w:rPr>
      </w:pPr>
    </w:p>
    <w:p w14:paraId="50C8AF46" w14:textId="77777777" w:rsidR="00835BA6" w:rsidRPr="00835BA6" w:rsidRDefault="00835BA6" w:rsidP="00835BA6">
      <w:pPr>
        <w:pStyle w:val="EndNoteBibliography"/>
        <w:rPr>
          <w:rFonts w:asciiTheme="minorHAnsi" w:hAnsiTheme="minorHAnsi"/>
        </w:rPr>
      </w:pPr>
      <w:bookmarkStart w:id="569" w:name="_ENREF_14"/>
      <w:r w:rsidRPr="00835BA6">
        <w:rPr>
          <w:rFonts w:asciiTheme="minorHAnsi" w:hAnsiTheme="minorHAnsi"/>
        </w:rPr>
        <w:t xml:space="preserve">Chai, J, Howie, AF, Cameron, DA &amp; Anderson, RA 2014, 'A highly-sensitive anti-Müllerian hormone assay improves analysis of ovarian function following chemotherapy for early breast cancer', </w:t>
      </w:r>
      <w:r w:rsidRPr="00835BA6">
        <w:rPr>
          <w:rFonts w:asciiTheme="minorHAnsi" w:hAnsiTheme="minorHAnsi"/>
          <w:i/>
        </w:rPr>
        <w:t>European Journal of Cancer</w:t>
      </w:r>
      <w:r w:rsidRPr="00835BA6">
        <w:rPr>
          <w:rFonts w:asciiTheme="minorHAnsi" w:hAnsiTheme="minorHAnsi"/>
        </w:rPr>
        <w:t>, vol. 50, no. 14, 2014-1-1, pp. 2367-2374.</w:t>
      </w:r>
    </w:p>
    <w:bookmarkEnd w:id="569"/>
    <w:p w14:paraId="0F6B9FD2" w14:textId="77777777" w:rsidR="00835BA6" w:rsidRPr="00835BA6" w:rsidRDefault="00835BA6" w:rsidP="00835BA6">
      <w:pPr>
        <w:pStyle w:val="EndNoteBibliography"/>
        <w:spacing w:after="0"/>
        <w:rPr>
          <w:rFonts w:asciiTheme="minorHAnsi" w:hAnsiTheme="minorHAnsi"/>
        </w:rPr>
      </w:pPr>
    </w:p>
    <w:p w14:paraId="098432E3" w14:textId="77777777" w:rsidR="00835BA6" w:rsidRPr="00835BA6" w:rsidRDefault="00835BA6" w:rsidP="00835BA6">
      <w:pPr>
        <w:pStyle w:val="EndNoteBibliography"/>
        <w:rPr>
          <w:rFonts w:asciiTheme="minorHAnsi" w:hAnsiTheme="minorHAnsi"/>
        </w:rPr>
      </w:pPr>
      <w:bookmarkStart w:id="570" w:name="_ENREF_15"/>
      <w:r w:rsidRPr="00835BA6">
        <w:rPr>
          <w:rFonts w:asciiTheme="minorHAnsi" w:hAnsiTheme="minorHAnsi"/>
        </w:rPr>
        <w:t xml:space="preserve">D'Avila, ÂM, Biolchi, V, Capp, E &amp; Corleta, HVE 2015, 'Age, anti-müllerian hormone, antral follicles count to predict amenorrhea or oligomenorrhea after chemotherapy with cyclophosphamide', </w:t>
      </w:r>
      <w:r w:rsidRPr="00835BA6">
        <w:rPr>
          <w:rFonts w:asciiTheme="minorHAnsi" w:hAnsiTheme="minorHAnsi"/>
          <w:i/>
        </w:rPr>
        <w:t>Journal of Ovarian Research</w:t>
      </w:r>
      <w:r w:rsidRPr="00835BA6">
        <w:rPr>
          <w:rFonts w:asciiTheme="minorHAnsi" w:hAnsiTheme="minorHAnsi"/>
        </w:rPr>
        <w:t>, vol. 8, no. 1, 2015-1-1.</w:t>
      </w:r>
    </w:p>
    <w:bookmarkEnd w:id="570"/>
    <w:p w14:paraId="4B1C9FCF" w14:textId="77777777" w:rsidR="00835BA6" w:rsidRPr="00835BA6" w:rsidRDefault="00835BA6" w:rsidP="00835BA6">
      <w:pPr>
        <w:pStyle w:val="EndNoteBibliography"/>
        <w:spacing w:after="0"/>
        <w:rPr>
          <w:rFonts w:asciiTheme="minorHAnsi" w:hAnsiTheme="minorHAnsi"/>
        </w:rPr>
      </w:pPr>
    </w:p>
    <w:p w14:paraId="08857EE1" w14:textId="77777777" w:rsidR="00835BA6" w:rsidRPr="00835BA6" w:rsidRDefault="00835BA6" w:rsidP="00835BA6">
      <w:pPr>
        <w:pStyle w:val="EndNoteBibliography"/>
        <w:rPr>
          <w:rFonts w:asciiTheme="minorHAnsi" w:hAnsiTheme="minorHAnsi"/>
        </w:rPr>
      </w:pPr>
      <w:bookmarkStart w:id="571" w:name="_ENREF_16"/>
      <w:r w:rsidRPr="00835BA6">
        <w:rPr>
          <w:rFonts w:asciiTheme="minorHAnsi" w:hAnsiTheme="minorHAnsi"/>
        </w:rPr>
        <w:t xml:space="preserve">de Souza, FHC, da Silva, CA, Yamakami, LYS, dos Santos Trindade Viana, V, Bonfá, E &amp; Shinjo, SK 2015, 'Reduced ovarian reserve in patients with adult polymyositis', </w:t>
      </w:r>
      <w:r w:rsidRPr="00835BA6">
        <w:rPr>
          <w:rFonts w:asciiTheme="minorHAnsi" w:hAnsiTheme="minorHAnsi"/>
          <w:i/>
        </w:rPr>
        <w:t>Clinical Rheumatology</w:t>
      </w:r>
      <w:r w:rsidRPr="00835BA6">
        <w:rPr>
          <w:rFonts w:asciiTheme="minorHAnsi" w:hAnsiTheme="minorHAnsi"/>
        </w:rPr>
        <w:t>, vol. 34, no. 10, 2015-1-1, pp. 1795-1799.</w:t>
      </w:r>
    </w:p>
    <w:bookmarkEnd w:id="571"/>
    <w:p w14:paraId="2019F79C" w14:textId="77777777" w:rsidR="00835BA6" w:rsidRPr="00835BA6" w:rsidRDefault="00835BA6" w:rsidP="00835BA6">
      <w:pPr>
        <w:pStyle w:val="EndNoteBibliography"/>
        <w:spacing w:after="0"/>
        <w:rPr>
          <w:rFonts w:asciiTheme="minorHAnsi" w:hAnsiTheme="minorHAnsi"/>
        </w:rPr>
      </w:pPr>
    </w:p>
    <w:p w14:paraId="3B5B6CFE" w14:textId="77777777" w:rsidR="00835BA6" w:rsidRPr="00835BA6" w:rsidRDefault="00835BA6" w:rsidP="00835BA6">
      <w:pPr>
        <w:pStyle w:val="EndNoteBibliography"/>
        <w:rPr>
          <w:rFonts w:asciiTheme="minorHAnsi" w:hAnsiTheme="minorHAnsi"/>
        </w:rPr>
      </w:pPr>
      <w:bookmarkStart w:id="572" w:name="_ENREF_17"/>
      <w:r w:rsidRPr="00835BA6">
        <w:rPr>
          <w:rFonts w:asciiTheme="minorHAnsi" w:hAnsiTheme="minorHAnsi"/>
        </w:rPr>
        <w:t xml:space="preserve">Decanter, C, Morschhauser, F, Pigny, P, Lefebvre, C, Gallo, C &amp; Dewailly, D 2010, 'Anti-Mullerian hormone follow-up in young women treated by chemotherapy for lymphoma: preliminary results', </w:t>
      </w:r>
      <w:r w:rsidRPr="00835BA6">
        <w:rPr>
          <w:rFonts w:asciiTheme="minorHAnsi" w:hAnsiTheme="minorHAnsi"/>
          <w:i/>
        </w:rPr>
        <w:t>Reprod Biomed Online</w:t>
      </w:r>
      <w:r w:rsidRPr="00835BA6">
        <w:rPr>
          <w:rFonts w:asciiTheme="minorHAnsi" w:hAnsiTheme="minorHAnsi"/>
        </w:rPr>
        <w:t>, vol. 20, no. 2, 2010-1-1, pp. 280-285.</w:t>
      </w:r>
    </w:p>
    <w:bookmarkEnd w:id="572"/>
    <w:p w14:paraId="370F8C62" w14:textId="77777777" w:rsidR="00835BA6" w:rsidRPr="00835BA6" w:rsidRDefault="00835BA6" w:rsidP="00835BA6">
      <w:pPr>
        <w:pStyle w:val="EndNoteBibliography"/>
        <w:spacing w:after="0"/>
        <w:rPr>
          <w:rFonts w:asciiTheme="minorHAnsi" w:hAnsiTheme="minorHAnsi"/>
        </w:rPr>
      </w:pPr>
    </w:p>
    <w:p w14:paraId="5026D9CF" w14:textId="77777777" w:rsidR="00835BA6" w:rsidRPr="00835BA6" w:rsidRDefault="00835BA6" w:rsidP="00835BA6">
      <w:pPr>
        <w:pStyle w:val="EndNoteBibliography"/>
        <w:rPr>
          <w:rFonts w:asciiTheme="minorHAnsi" w:hAnsiTheme="minorHAnsi"/>
        </w:rPr>
      </w:pPr>
      <w:bookmarkStart w:id="573" w:name="_ENREF_18"/>
      <w:r w:rsidRPr="00835BA6">
        <w:rPr>
          <w:rFonts w:asciiTheme="minorHAnsi" w:hAnsiTheme="minorHAnsi"/>
        </w:rPr>
        <w:t xml:space="preserve">Decanter, C, Peigne, M, Mailliez, A, Morschhauser, F, Dassonneville, A, Dewailly, D &amp; Pigny, P 2014, 'Toward a better follow-up of ovarian recovery in young women after chemotherapy with a hypersensitive antimullerian hormone assay', </w:t>
      </w:r>
      <w:r w:rsidRPr="00835BA6">
        <w:rPr>
          <w:rFonts w:asciiTheme="minorHAnsi" w:hAnsiTheme="minorHAnsi"/>
          <w:i/>
        </w:rPr>
        <w:t>Fertil Steril</w:t>
      </w:r>
      <w:r w:rsidRPr="00835BA6">
        <w:rPr>
          <w:rFonts w:asciiTheme="minorHAnsi" w:hAnsiTheme="minorHAnsi"/>
        </w:rPr>
        <w:t>, vol. 102, no. 2, 2014-1-1, pp. 483-487.</w:t>
      </w:r>
    </w:p>
    <w:bookmarkEnd w:id="573"/>
    <w:p w14:paraId="034338FC" w14:textId="77777777" w:rsidR="00835BA6" w:rsidRPr="00835BA6" w:rsidRDefault="00835BA6" w:rsidP="00835BA6">
      <w:pPr>
        <w:pStyle w:val="EndNoteBibliography"/>
        <w:spacing w:after="0"/>
        <w:rPr>
          <w:rFonts w:asciiTheme="minorHAnsi" w:hAnsiTheme="minorHAnsi"/>
        </w:rPr>
      </w:pPr>
    </w:p>
    <w:p w14:paraId="1F540F91" w14:textId="77777777" w:rsidR="00835BA6" w:rsidRPr="00835BA6" w:rsidRDefault="00835BA6" w:rsidP="00835BA6">
      <w:pPr>
        <w:pStyle w:val="EndNoteBibliography"/>
        <w:rPr>
          <w:rFonts w:asciiTheme="minorHAnsi" w:hAnsiTheme="minorHAnsi"/>
        </w:rPr>
      </w:pPr>
      <w:bookmarkStart w:id="574" w:name="_ENREF_19"/>
      <w:r w:rsidRPr="00835BA6">
        <w:rPr>
          <w:rFonts w:asciiTheme="minorHAnsi" w:hAnsiTheme="minorHAnsi"/>
        </w:rPr>
        <w:t xml:space="preserve">Demeestere, I, Simon, P, Emiliani, S, Delbaere, A &amp; Englert, Y 2009, 'Orthotopic and heterotopic ovarian tissue transplantation', </w:t>
      </w:r>
      <w:r w:rsidRPr="00835BA6">
        <w:rPr>
          <w:rFonts w:asciiTheme="minorHAnsi" w:hAnsiTheme="minorHAnsi"/>
          <w:i/>
        </w:rPr>
        <w:t>Hum Reprod Update</w:t>
      </w:r>
      <w:r w:rsidRPr="00835BA6">
        <w:rPr>
          <w:rFonts w:asciiTheme="minorHAnsi" w:hAnsiTheme="minorHAnsi"/>
        </w:rPr>
        <w:t>, vol. 15, no. 6, Nov-Dec, pp. 649-665.</w:t>
      </w:r>
    </w:p>
    <w:bookmarkEnd w:id="574"/>
    <w:p w14:paraId="7084B297" w14:textId="77777777" w:rsidR="00835BA6" w:rsidRPr="00835BA6" w:rsidRDefault="00835BA6" w:rsidP="00835BA6">
      <w:pPr>
        <w:pStyle w:val="EndNoteBibliography"/>
        <w:spacing w:after="0"/>
        <w:rPr>
          <w:rFonts w:asciiTheme="minorHAnsi" w:hAnsiTheme="minorHAnsi"/>
        </w:rPr>
      </w:pPr>
    </w:p>
    <w:p w14:paraId="625B6543" w14:textId="77777777" w:rsidR="00835BA6" w:rsidRPr="00835BA6" w:rsidRDefault="00835BA6" w:rsidP="00835BA6">
      <w:pPr>
        <w:pStyle w:val="EndNoteBibliography"/>
        <w:rPr>
          <w:rFonts w:asciiTheme="minorHAnsi" w:hAnsiTheme="minorHAnsi"/>
        </w:rPr>
      </w:pPr>
      <w:bookmarkStart w:id="575" w:name="_ENREF_20"/>
      <w:r w:rsidRPr="00835BA6">
        <w:rPr>
          <w:rFonts w:asciiTheme="minorHAnsi" w:hAnsiTheme="minorHAnsi"/>
        </w:rPr>
        <w:t xml:space="preserve">Dezellus, A, Barriere, P, Campone, M, Lemanski, C, Vanlemmens, L, Mignot, L, Delozier, T, Levy, C, Bendavid, C, Debled, M, Bachelot, T, Jouannaud, C, Loustalot, C, Mouret-Reynier, MA, Gallais-Umbert, A, Masson, D &amp; Freour, T 2017, 'Prospective evaluation of serum anti-Mullerian hormone dynamics in 250 women of reproductive age treated with chemotherapy for breast cancer', </w:t>
      </w:r>
      <w:r w:rsidRPr="00835BA6">
        <w:rPr>
          <w:rFonts w:asciiTheme="minorHAnsi" w:hAnsiTheme="minorHAnsi"/>
          <w:i/>
        </w:rPr>
        <w:t>Eur J Cancer</w:t>
      </w:r>
      <w:r w:rsidRPr="00835BA6">
        <w:rPr>
          <w:rFonts w:asciiTheme="minorHAnsi" w:hAnsiTheme="minorHAnsi"/>
        </w:rPr>
        <w:t>, vol. 79, 2017-1-1, pp. 72-80.</w:t>
      </w:r>
    </w:p>
    <w:bookmarkEnd w:id="575"/>
    <w:p w14:paraId="69C5F265" w14:textId="77777777" w:rsidR="00835BA6" w:rsidRPr="00835BA6" w:rsidRDefault="00835BA6" w:rsidP="00835BA6">
      <w:pPr>
        <w:pStyle w:val="EndNoteBibliography"/>
        <w:spacing w:after="0"/>
        <w:rPr>
          <w:rFonts w:asciiTheme="minorHAnsi" w:hAnsiTheme="minorHAnsi"/>
        </w:rPr>
      </w:pPr>
    </w:p>
    <w:p w14:paraId="1B0C36CA" w14:textId="77777777" w:rsidR="00835BA6" w:rsidRPr="00835BA6" w:rsidRDefault="00835BA6" w:rsidP="00835BA6">
      <w:pPr>
        <w:pStyle w:val="EndNoteBibliography"/>
        <w:rPr>
          <w:rFonts w:asciiTheme="minorHAnsi" w:hAnsiTheme="minorHAnsi"/>
        </w:rPr>
      </w:pPr>
      <w:bookmarkStart w:id="576" w:name="_ENREF_21"/>
      <w:r w:rsidRPr="00835BA6">
        <w:rPr>
          <w:rFonts w:asciiTheme="minorHAnsi" w:hAnsiTheme="minorHAnsi"/>
        </w:rPr>
        <w:lastRenderedPageBreak/>
        <w:t xml:space="preserve">Dillon, KE, Sammel, MD, Prewitt, M, Ginsberg, JP, Walker, D, Mersereau, JE, Gosiengfiao, Y &amp; Gracia, CR 2013, 'Pretreatment antimullerian hormone levels determine rate of posttherapy ovarian reserve recovery: acute changes in ovarian reserve during and after chemotherapy', </w:t>
      </w:r>
      <w:r w:rsidRPr="00835BA6">
        <w:rPr>
          <w:rFonts w:asciiTheme="minorHAnsi" w:hAnsiTheme="minorHAnsi"/>
          <w:i/>
        </w:rPr>
        <w:t>Fertil Steril</w:t>
      </w:r>
      <w:r w:rsidRPr="00835BA6">
        <w:rPr>
          <w:rFonts w:asciiTheme="minorHAnsi" w:hAnsiTheme="minorHAnsi"/>
        </w:rPr>
        <w:t>, vol. 99, no. 2, 2013-1-1, pp. 477-483.</w:t>
      </w:r>
    </w:p>
    <w:bookmarkEnd w:id="576"/>
    <w:p w14:paraId="6533A5E9" w14:textId="77777777" w:rsidR="00835BA6" w:rsidRPr="00835BA6" w:rsidRDefault="00835BA6" w:rsidP="00835BA6">
      <w:pPr>
        <w:pStyle w:val="EndNoteBibliography"/>
        <w:spacing w:after="0"/>
        <w:rPr>
          <w:rFonts w:asciiTheme="minorHAnsi" w:hAnsiTheme="minorHAnsi"/>
        </w:rPr>
      </w:pPr>
    </w:p>
    <w:p w14:paraId="4E2AEC1B" w14:textId="77777777" w:rsidR="00835BA6" w:rsidRPr="00835BA6" w:rsidRDefault="00835BA6" w:rsidP="00835BA6">
      <w:pPr>
        <w:pStyle w:val="EndNoteBibliography"/>
        <w:rPr>
          <w:rFonts w:asciiTheme="minorHAnsi" w:hAnsiTheme="minorHAnsi"/>
        </w:rPr>
      </w:pPr>
      <w:bookmarkStart w:id="577" w:name="_ENREF_22"/>
      <w:r w:rsidRPr="00835BA6">
        <w:rPr>
          <w:rFonts w:asciiTheme="minorHAnsi" w:hAnsiTheme="minorHAnsi"/>
        </w:rPr>
        <w:t xml:space="preserve">Everhov, AH, Bergmark, K, Smedby, KE, Hirschberg, AL &amp; Radestad, AF 2014, 'Anti-Mullerian hormone in premenopausal women following treatment of uterine cervical cancer', </w:t>
      </w:r>
      <w:r w:rsidRPr="00835BA6">
        <w:rPr>
          <w:rFonts w:asciiTheme="minorHAnsi" w:hAnsiTheme="minorHAnsi"/>
          <w:i/>
        </w:rPr>
        <w:t>Acta Obstetricia Et Gynecologica Scandinavica</w:t>
      </w:r>
      <w:r w:rsidRPr="00835BA6">
        <w:rPr>
          <w:rFonts w:asciiTheme="minorHAnsi" w:hAnsiTheme="minorHAnsi"/>
        </w:rPr>
        <w:t>, vol. 93, no. 9, 2014-1-1, pp. 949-953.</w:t>
      </w:r>
    </w:p>
    <w:bookmarkEnd w:id="577"/>
    <w:p w14:paraId="143C45BE" w14:textId="77777777" w:rsidR="00835BA6" w:rsidRPr="00835BA6" w:rsidRDefault="00835BA6" w:rsidP="00835BA6">
      <w:pPr>
        <w:pStyle w:val="EndNoteBibliography"/>
        <w:spacing w:after="0"/>
        <w:rPr>
          <w:rFonts w:asciiTheme="minorHAnsi" w:hAnsiTheme="minorHAnsi"/>
        </w:rPr>
      </w:pPr>
    </w:p>
    <w:p w14:paraId="691D8439" w14:textId="77777777" w:rsidR="00835BA6" w:rsidRPr="00835BA6" w:rsidRDefault="00835BA6" w:rsidP="00835BA6">
      <w:pPr>
        <w:pStyle w:val="EndNoteBibliography"/>
        <w:rPr>
          <w:rFonts w:asciiTheme="minorHAnsi" w:hAnsiTheme="minorHAnsi"/>
        </w:rPr>
      </w:pPr>
      <w:bookmarkStart w:id="578" w:name="_ENREF_23"/>
      <w:r w:rsidRPr="00835BA6">
        <w:rPr>
          <w:rFonts w:asciiTheme="minorHAnsi" w:hAnsiTheme="minorHAnsi"/>
        </w:rPr>
        <w:t xml:space="preserve">Fabbri, R, Macciocca, M, Melotti, C, Pasquinelli, G, Vicenti, R, Reggiani, MLB, Terribile, D &amp; Venturoli, S 2014, 'Anti-Müllerian hormone as an ovarian reserve marker in young cancer women who undergo ovarian tissue cryopreservation', </w:t>
      </w:r>
      <w:r w:rsidRPr="00835BA6">
        <w:rPr>
          <w:rFonts w:asciiTheme="minorHAnsi" w:hAnsiTheme="minorHAnsi"/>
          <w:i/>
        </w:rPr>
        <w:t>Future Oncology</w:t>
      </w:r>
      <w:r w:rsidRPr="00835BA6">
        <w:rPr>
          <w:rFonts w:asciiTheme="minorHAnsi" w:hAnsiTheme="minorHAnsi"/>
        </w:rPr>
        <w:t>, vol. 10, no. 8, 2014-1-1, pp. 1343-1351.</w:t>
      </w:r>
    </w:p>
    <w:bookmarkEnd w:id="578"/>
    <w:p w14:paraId="71CF3172" w14:textId="77777777" w:rsidR="00835BA6" w:rsidRPr="00835BA6" w:rsidRDefault="00835BA6" w:rsidP="00835BA6">
      <w:pPr>
        <w:pStyle w:val="EndNoteBibliography"/>
        <w:spacing w:after="0"/>
        <w:rPr>
          <w:rFonts w:asciiTheme="minorHAnsi" w:hAnsiTheme="minorHAnsi"/>
        </w:rPr>
      </w:pPr>
    </w:p>
    <w:p w14:paraId="3F2F3BC0" w14:textId="77777777" w:rsidR="00835BA6" w:rsidRPr="00835BA6" w:rsidRDefault="00835BA6" w:rsidP="00835BA6">
      <w:pPr>
        <w:pStyle w:val="EndNoteBibliography"/>
        <w:rPr>
          <w:rFonts w:asciiTheme="minorHAnsi" w:hAnsiTheme="minorHAnsi"/>
        </w:rPr>
      </w:pPr>
      <w:bookmarkStart w:id="579" w:name="_ENREF_24"/>
      <w:r w:rsidRPr="00835BA6">
        <w:rPr>
          <w:rFonts w:asciiTheme="minorHAnsi" w:hAnsiTheme="minorHAnsi"/>
        </w:rPr>
        <w:t xml:space="preserve">Fitzgerald, O, Harris, K, Paul, R &amp; Chambers, G 2017, </w:t>
      </w:r>
      <w:r w:rsidRPr="00835BA6">
        <w:rPr>
          <w:rFonts w:asciiTheme="minorHAnsi" w:hAnsiTheme="minorHAnsi"/>
          <w:i/>
        </w:rPr>
        <w:t>Assisted reproductive technology in Australia and New Zealand 2015</w:t>
      </w:r>
      <w:r w:rsidRPr="00835BA6">
        <w:rPr>
          <w:rFonts w:asciiTheme="minorHAnsi" w:hAnsiTheme="minorHAnsi"/>
        </w:rPr>
        <w:t>, Sydney: National Perinatal Epidemiology and Statistics Unit, the University of New South Wales Sydney.</w:t>
      </w:r>
    </w:p>
    <w:bookmarkEnd w:id="579"/>
    <w:p w14:paraId="2383EAEE" w14:textId="77777777" w:rsidR="00835BA6" w:rsidRPr="00835BA6" w:rsidRDefault="00835BA6" w:rsidP="00835BA6">
      <w:pPr>
        <w:pStyle w:val="EndNoteBibliography"/>
        <w:spacing w:after="0"/>
        <w:rPr>
          <w:rFonts w:asciiTheme="minorHAnsi" w:hAnsiTheme="minorHAnsi"/>
        </w:rPr>
      </w:pPr>
    </w:p>
    <w:p w14:paraId="0921269E" w14:textId="77777777" w:rsidR="00835BA6" w:rsidRPr="00835BA6" w:rsidRDefault="00835BA6" w:rsidP="00835BA6">
      <w:pPr>
        <w:pStyle w:val="EndNoteBibliography"/>
        <w:rPr>
          <w:rFonts w:asciiTheme="minorHAnsi" w:hAnsiTheme="minorHAnsi"/>
        </w:rPr>
      </w:pPr>
      <w:bookmarkStart w:id="580" w:name="_ENREF_25"/>
      <w:r w:rsidRPr="00835BA6">
        <w:rPr>
          <w:rFonts w:asciiTheme="minorHAnsi" w:hAnsiTheme="minorHAnsi"/>
        </w:rPr>
        <w:t xml:space="preserve">Hamre, H, Kiserud, CE, Ruud, E, Thorsby, PM &amp; Fosså, SD 2012, 'Gonadal function and parenthood 20 years after treatment for childhood lymphoma: A cross-sectional study', </w:t>
      </w:r>
      <w:r w:rsidRPr="00835BA6">
        <w:rPr>
          <w:rFonts w:asciiTheme="minorHAnsi" w:hAnsiTheme="minorHAnsi"/>
          <w:i/>
        </w:rPr>
        <w:t>Pediatric Blood and Cancer</w:t>
      </w:r>
      <w:r w:rsidRPr="00835BA6">
        <w:rPr>
          <w:rFonts w:asciiTheme="minorHAnsi" w:hAnsiTheme="minorHAnsi"/>
        </w:rPr>
        <w:t>, vol. 59, no. 2, 2012-1-1, pp. 271-277.</w:t>
      </w:r>
    </w:p>
    <w:bookmarkEnd w:id="580"/>
    <w:p w14:paraId="5C04D5AF" w14:textId="77777777" w:rsidR="00835BA6" w:rsidRPr="00835BA6" w:rsidRDefault="00835BA6" w:rsidP="00835BA6">
      <w:pPr>
        <w:pStyle w:val="EndNoteBibliography"/>
        <w:spacing w:after="0"/>
        <w:rPr>
          <w:rFonts w:asciiTheme="minorHAnsi" w:hAnsiTheme="minorHAnsi"/>
        </w:rPr>
      </w:pPr>
    </w:p>
    <w:p w14:paraId="58EDA5F3" w14:textId="77777777" w:rsidR="00835BA6" w:rsidRPr="00835BA6" w:rsidRDefault="00835BA6" w:rsidP="00835BA6">
      <w:pPr>
        <w:pStyle w:val="EndNoteBibliography"/>
        <w:rPr>
          <w:rFonts w:asciiTheme="minorHAnsi" w:hAnsiTheme="minorHAnsi"/>
        </w:rPr>
      </w:pPr>
      <w:bookmarkStart w:id="581" w:name="_ENREF_26"/>
      <w:r w:rsidRPr="00835BA6">
        <w:rPr>
          <w:rFonts w:asciiTheme="minorHAnsi" w:hAnsiTheme="minorHAnsi"/>
        </w:rPr>
        <w:t xml:space="preserve">Hamy, AS, Porcher, R, Cuvier, C, Giacchetti, S, Schlageter, MH, Coussieu, C, Gronier, H, Feugeas, JP, Adoui, N, Lacorte, JM, Poirot, C, Habdous, M &amp; Espie, M 2014, 'Ovarian reserve in breast cancer: assessment with anti-Mullerian hormone', </w:t>
      </w:r>
      <w:r w:rsidRPr="00835BA6">
        <w:rPr>
          <w:rFonts w:asciiTheme="minorHAnsi" w:hAnsiTheme="minorHAnsi"/>
          <w:i/>
        </w:rPr>
        <w:t>Reproductive BioMedicine Online</w:t>
      </w:r>
      <w:r w:rsidRPr="00835BA6">
        <w:rPr>
          <w:rFonts w:asciiTheme="minorHAnsi" w:hAnsiTheme="minorHAnsi"/>
        </w:rPr>
        <w:t>, vol. 29, no. 5, 2014-1-1, pp. 573-580.</w:t>
      </w:r>
    </w:p>
    <w:bookmarkEnd w:id="581"/>
    <w:p w14:paraId="2CC42E14" w14:textId="77777777" w:rsidR="00835BA6" w:rsidRPr="00835BA6" w:rsidRDefault="00835BA6" w:rsidP="00835BA6">
      <w:pPr>
        <w:pStyle w:val="EndNoteBibliography"/>
        <w:spacing w:after="0"/>
        <w:rPr>
          <w:rFonts w:asciiTheme="minorHAnsi" w:hAnsiTheme="minorHAnsi"/>
        </w:rPr>
      </w:pPr>
    </w:p>
    <w:p w14:paraId="3AD9753A" w14:textId="77777777" w:rsidR="00835BA6" w:rsidRPr="00835BA6" w:rsidRDefault="00835BA6" w:rsidP="00835BA6">
      <w:pPr>
        <w:pStyle w:val="EndNoteBibliography"/>
        <w:rPr>
          <w:rFonts w:asciiTheme="minorHAnsi" w:hAnsiTheme="minorHAnsi"/>
        </w:rPr>
      </w:pPr>
      <w:bookmarkStart w:id="582" w:name="_ENREF_27"/>
      <w:r w:rsidRPr="00835BA6">
        <w:rPr>
          <w:rFonts w:asciiTheme="minorHAnsi" w:hAnsiTheme="minorHAnsi"/>
        </w:rPr>
        <w:t xml:space="preserve">Hamy, AS, Porcher, R, Eskenazi, S, Cuvier, C, Giacchetti, S, Coussy, F, Hocini, H, Tournant, B, Perret, F, Bonfils, S, Charveriat, P, Lacorte, JM &amp; Espie, M 2016, 'Anti-Mullerian hormone in breast cancer patients treated with chemotherapy: a retrospective evaluation of subsequent pregnancies', </w:t>
      </w:r>
      <w:r w:rsidRPr="00835BA6">
        <w:rPr>
          <w:rFonts w:asciiTheme="minorHAnsi" w:hAnsiTheme="minorHAnsi"/>
          <w:i/>
        </w:rPr>
        <w:t>Reprod Biomed Online</w:t>
      </w:r>
      <w:r w:rsidRPr="00835BA6">
        <w:rPr>
          <w:rFonts w:asciiTheme="minorHAnsi" w:hAnsiTheme="minorHAnsi"/>
        </w:rPr>
        <w:t>, vol. 32, no. 3, 2016-1-1, pp. 299-307.</w:t>
      </w:r>
    </w:p>
    <w:bookmarkEnd w:id="582"/>
    <w:p w14:paraId="3171463D" w14:textId="77777777" w:rsidR="00835BA6" w:rsidRPr="00835BA6" w:rsidRDefault="00835BA6" w:rsidP="00835BA6">
      <w:pPr>
        <w:pStyle w:val="EndNoteBibliography"/>
        <w:spacing w:after="0"/>
        <w:rPr>
          <w:rFonts w:asciiTheme="minorHAnsi" w:hAnsiTheme="minorHAnsi"/>
        </w:rPr>
      </w:pPr>
    </w:p>
    <w:p w14:paraId="7D14E810" w14:textId="77777777" w:rsidR="00835BA6" w:rsidRPr="00835BA6" w:rsidRDefault="00835BA6" w:rsidP="00835BA6">
      <w:pPr>
        <w:pStyle w:val="EndNoteBibliography"/>
        <w:rPr>
          <w:rFonts w:asciiTheme="minorHAnsi" w:hAnsiTheme="minorHAnsi"/>
        </w:rPr>
      </w:pPr>
      <w:bookmarkStart w:id="583" w:name="_ENREF_28"/>
      <w:r w:rsidRPr="00835BA6">
        <w:rPr>
          <w:rFonts w:asciiTheme="minorHAnsi" w:hAnsiTheme="minorHAnsi"/>
        </w:rPr>
        <w:t xml:space="preserve">Hayden, JA, van der Windt, DA, Cartwright, JL, Cote, P &amp; Bombardier, C 2013, 'Assessing bias in studies of prognostic factors', </w:t>
      </w:r>
      <w:r w:rsidRPr="00835BA6">
        <w:rPr>
          <w:rFonts w:asciiTheme="minorHAnsi" w:hAnsiTheme="minorHAnsi"/>
          <w:i/>
        </w:rPr>
        <w:t>Ann Intern Med</w:t>
      </w:r>
      <w:r w:rsidRPr="00835BA6">
        <w:rPr>
          <w:rFonts w:asciiTheme="minorHAnsi" w:hAnsiTheme="minorHAnsi"/>
        </w:rPr>
        <w:t>, vol. 158, no. 4, Feb 19, pp. 280-286.</w:t>
      </w:r>
    </w:p>
    <w:bookmarkEnd w:id="583"/>
    <w:p w14:paraId="75FFDB3F" w14:textId="77777777" w:rsidR="00835BA6" w:rsidRPr="00835BA6" w:rsidRDefault="00835BA6" w:rsidP="00835BA6">
      <w:pPr>
        <w:pStyle w:val="EndNoteBibliography"/>
        <w:spacing w:after="0"/>
        <w:rPr>
          <w:rFonts w:asciiTheme="minorHAnsi" w:hAnsiTheme="minorHAnsi"/>
        </w:rPr>
      </w:pPr>
    </w:p>
    <w:p w14:paraId="175FFF38" w14:textId="77777777" w:rsidR="00835BA6" w:rsidRPr="00835BA6" w:rsidRDefault="00835BA6" w:rsidP="00835BA6">
      <w:pPr>
        <w:pStyle w:val="EndNoteBibliography"/>
        <w:rPr>
          <w:rFonts w:asciiTheme="minorHAnsi" w:hAnsiTheme="minorHAnsi"/>
        </w:rPr>
      </w:pPr>
      <w:bookmarkStart w:id="584" w:name="_ENREF_29"/>
      <w:r w:rsidRPr="00835BA6">
        <w:rPr>
          <w:rFonts w:asciiTheme="minorHAnsi" w:hAnsiTheme="minorHAnsi"/>
        </w:rPr>
        <w:t xml:space="preserve">Henry, NL, Xia, R, Schott, AF, McConnell, D, Banerjee, M &amp; Hayes, DF 2014, 'Prediction of postchemotherapy ovarian function using markers of ovarian reserve', </w:t>
      </w:r>
      <w:r w:rsidRPr="00835BA6">
        <w:rPr>
          <w:rFonts w:asciiTheme="minorHAnsi" w:hAnsiTheme="minorHAnsi"/>
          <w:i/>
        </w:rPr>
        <w:t>Oncologist</w:t>
      </w:r>
      <w:r w:rsidRPr="00835BA6">
        <w:rPr>
          <w:rFonts w:asciiTheme="minorHAnsi" w:hAnsiTheme="minorHAnsi"/>
        </w:rPr>
        <w:t>, vol. 19, no. 1, 2014-1-1, pp. 68-74.</w:t>
      </w:r>
    </w:p>
    <w:bookmarkEnd w:id="584"/>
    <w:p w14:paraId="0E017A8B" w14:textId="77777777" w:rsidR="00835BA6" w:rsidRPr="00835BA6" w:rsidRDefault="00835BA6" w:rsidP="00835BA6">
      <w:pPr>
        <w:pStyle w:val="EndNoteBibliography"/>
        <w:spacing w:after="0"/>
        <w:rPr>
          <w:rFonts w:asciiTheme="minorHAnsi" w:hAnsiTheme="minorHAnsi"/>
        </w:rPr>
      </w:pPr>
    </w:p>
    <w:p w14:paraId="0B8863F0" w14:textId="77777777" w:rsidR="00835BA6" w:rsidRPr="00835BA6" w:rsidRDefault="00835BA6" w:rsidP="00835BA6">
      <w:pPr>
        <w:pStyle w:val="EndNoteBibliography"/>
        <w:rPr>
          <w:rFonts w:asciiTheme="minorHAnsi" w:hAnsiTheme="minorHAnsi"/>
        </w:rPr>
      </w:pPr>
      <w:bookmarkStart w:id="585" w:name="_ENREF_30"/>
      <w:r w:rsidRPr="00835BA6">
        <w:rPr>
          <w:rFonts w:asciiTheme="minorHAnsi" w:hAnsiTheme="minorHAnsi"/>
        </w:rPr>
        <w:t xml:space="preserve">Hsu, A, Arny, M, Knee, AB, Bell, C, Cook, E, Novak, AL &amp; Grow, DR 2011, 'Antral follicle count in clinical practice: analyzing clinical relevance', </w:t>
      </w:r>
      <w:r w:rsidRPr="00835BA6">
        <w:rPr>
          <w:rFonts w:asciiTheme="minorHAnsi" w:hAnsiTheme="minorHAnsi"/>
          <w:i/>
        </w:rPr>
        <w:t>Fertil Steril</w:t>
      </w:r>
      <w:r w:rsidRPr="00835BA6">
        <w:rPr>
          <w:rFonts w:asciiTheme="minorHAnsi" w:hAnsiTheme="minorHAnsi"/>
        </w:rPr>
        <w:t>, vol. 95, no. 2, Feb, pp. 474-479.</w:t>
      </w:r>
    </w:p>
    <w:bookmarkEnd w:id="585"/>
    <w:p w14:paraId="4F120164" w14:textId="77777777" w:rsidR="00835BA6" w:rsidRPr="00835BA6" w:rsidRDefault="00835BA6" w:rsidP="00835BA6">
      <w:pPr>
        <w:pStyle w:val="EndNoteBibliography"/>
        <w:spacing w:after="0"/>
        <w:rPr>
          <w:rFonts w:asciiTheme="minorHAnsi" w:hAnsiTheme="minorHAnsi"/>
        </w:rPr>
      </w:pPr>
    </w:p>
    <w:p w14:paraId="3AF411F2" w14:textId="77777777" w:rsidR="00835BA6" w:rsidRPr="00835BA6" w:rsidRDefault="00835BA6" w:rsidP="00835BA6">
      <w:pPr>
        <w:pStyle w:val="EndNoteBibliography"/>
        <w:rPr>
          <w:rFonts w:asciiTheme="minorHAnsi" w:hAnsiTheme="minorHAnsi"/>
        </w:rPr>
      </w:pPr>
      <w:bookmarkStart w:id="586" w:name="_ENREF_31"/>
      <w:r w:rsidRPr="00835BA6">
        <w:rPr>
          <w:rFonts w:asciiTheme="minorHAnsi" w:hAnsiTheme="minorHAnsi"/>
        </w:rPr>
        <w:t xml:space="preserve">Iwase, A, Nakamura, T, Kato, N, Goto, M, Takikawa, S, Kondo, M, Osuka, S, Mori, M &amp; Kikkawa, F 2016, 'Anti-Müllerian hormone levels after laparoscopic cystectomy for endometriomas as a possible </w:t>
      </w:r>
      <w:r w:rsidRPr="00835BA6">
        <w:rPr>
          <w:rFonts w:asciiTheme="minorHAnsi" w:hAnsiTheme="minorHAnsi"/>
        </w:rPr>
        <w:lastRenderedPageBreak/>
        <w:t xml:space="preserve">predictor for pregnancy in infertility treatments', </w:t>
      </w:r>
      <w:r w:rsidRPr="00835BA6">
        <w:rPr>
          <w:rFonts w:asciiTheme="minorHAnsi" w:hAnsiTheme="minorHAnsi"/>
          <w:i/>
        </w:rPr>
        <w:t>Gynecological Endocrinology</w:t>
      </w:r>
      <w:r w:rsidRPr="00835BA6">
        <w:rPr>
          <w:rFonts w:asciiTheme="minorHAnsi" w:hAnsiTheme="minorHAnsi"/>
        </w:rPr>
        <w:t>, vol. 32, no. 4, 2016-1-1, pp. 293-297.</w:t>
      </w:r>
    </w:p>
    <w:bookmarkEnd w:id="586"/>
    <w:p w14:paraId="704E065E" w14:textId="77777777" w:rsidR="00835BA6" w:rsidRPr="00835BA6" w:rsidRDefault="00835BA6" w:rsidP="00835BA6">
      <w:pPr>
        <w:pStyle w:val="EndNoteBibliography"/>
        <w:spacing w:after="0"/>
        <w:rPr>
          <w:rFonts w:asciiTheme="minorHAnsi" w:hAnsiTheme="minorHAnsi"/>
        </w:rPr>
      </w:pPr>
    </w:p>
    <w:p w14:paraId="445FB35C" w14:textId="77777777" w:rsidR="00835BA6" w:rsidRPr="00835BA6" w:rsidRDefault="00835BA6" w:rsidP="00835BA6">
      <w:pPr>
        <w:pStyle w:val="EndNoteBibliography"/>
        <w:rPr>
          <w:rFonts w:asciiTheme="minorHAnsi" w:hAnsiTheme="minorHAnsi"/>
        </w:rPr>
      </w:pPr>
      <w:bookmarkStart w:id="587" w:name="_ENREF_32"/>
      <w:r w:rsidRPr="00835BA6">
        <w:rPr>
          <w:rFonts w:asciiTheme="minorHAnsi" w:hAnsiTheme="minorHAnsi"/>
        </w:rPr>
        <w:t xml:space="preserve">Iwase, A, Nakamura, T, Nakahara, T, Goto, M &amp; Kikkawa, F 2014, 'Assessment of ovarian reserve using anti-Müllerian hormone levels in benign gynecologic conditions and surgical interventions: A systematic narrative review', </w:t>
      </w:r>
      <w:r w:rsidRPr="00835BA6">
        <w:rPr>
          <w:rFonts w:asciiTheme="minorHAnsi" w:hAnsiTheme="minorHAnsi"/>
          <w:i/>
        </w:rPr>
        <w:t>Reproductive Biology and Endocrinology</w:t>
      </w:r>
      <w:r w:rsidRPr="00835BA6">
        <w:rPr>
          <w:rFonts w:asciiTheme="minorHAnsi" w:hAnsiTheme="minorHAnsi"/>
        </w:rPr>
        <w:t>, vol. 12, no. 1, 2014-1-1.</w:t>
      </w:r>
    </w:p>
    <w:bookmarkEnd w:id="587"/>
    <w:p w14:paraId="4D1528EE" w14:textId="77777777" w:rsidR="00835BA6" w:rsidRPr="00835BA6" w:rsidRDefault="00835BA6" w:rsidP="00835BA6">
      <w:pPr>
        <w:pStyle w:val="EndNoteBibliography"/>
        <w:spacing w:after="0"/>
        <w:rPr>
          <w:rFonts w:asciiTheme="minorHAnsi" w:hAnsiTheme="minorHAnsi"/>
        </w:rPr>
      </w:pPr>
    </w:p>
    <w:p w14:paraId="4119658B" w14:textId="77777777" w:rsidR="00835BA6" w:rsidRPr="00835BA6" w:rsidRDefault="00835BA6" w:rsidP="00835BA6">
      <w:pPr>
        <w:pStyle w:val="EndNoteBibliography"/>
        <w:rPr>
          <w:rFonts w:asciiTheme="minorHAnsi" w:hAnsiTheme="minorHAnsi"/>
        </w:rPr>
      </w:pPr>
      <w:bookmarkStart w:id="588" w:name="_ENREF_33"/>
      <w:r w:rsidRPr="00835BA6">
        <w:rPr>
          <w:rFonts w:asciiTheme="minorHAnsi" w:hAnsiTheme="minorHAnsi"/>
        </w:rPr>
        <w:t xml:space="preserve">Kim, HA, Seong, MK, Kim, JH, Kim, YG, Choi, HS, Kim, JS, Park, IC, Jin, HO, Lee, JK &amp; Noh, WC 2016, 'Prognostic value of anti-müllerian hormone and inhibin b in patients with premenopausal hormone receptor-positive breast cancer', </w:t>
      </w:r>
      <w:r w:rsidRPr="00835BA6">
        <w:rPr>
          <w:rFonts w:asciiTheme="minorHAnsi" w:hAnsiTheme="minorHAnsi"/>
          <w:i/>
        </w:rPr>
        <w:t>Anticancer Research</w:t>
      </w:r>
      <w:r w:rsidRPr="00835BA6">
        <w:rPr>
          <w:rFonts w:asciiTheme="minorHAnsi" w:hAnsiTheme="minorHAnsi"/>
        </w:rPr>
        <w:t>, vol. 36, no. 3, 2016-1-1, pp. 1051-1058.</w:t>
      </w:r>
    </w:p>
    <w:bookmarkEnd w:id="588"/>
    <w:p w14:paraId="2E2F71F7" w14:textId="77777777" w:rsidR="00835BA6" w:rsidRPr="00835BA6" w:rsidRDefault="00835BA6" w:rsidP="00835BA6">
      <w:pPr>
        <w:pStyle w:val="EndNoteBibliography"/>
        <w:spacing w:after="0"/>
        <w:rPr>
          <w:rFonts w:asciiTheme="minorHAnsi" w:hAnsiTheme="minorHAnsi"/>
        </w:rPr>
      </w:pPr>
    </w:p>
    <w:p w14:paraId="1B4D7109" w14:textId="77777777" w:rsidR="00835BA6" w:rsidRPr="00835BA6" w:rsidRDefault="00835BA6" w:rsidP="00835BA6">
      <w:pPr>
        <w:pStyle w:val="EndNoteBibliography"/>
        <w:rPr>
          <w:rFonts w:asciiTheme="minorHAnsi" w:hAnsiTheme="minorHAnsi"/>
        </w:rPr>
      </w:pPr>
      <w:bookmarkStart w:id="589" w:name="_ENREF_34"/>
      <w:r w:rsidRPr="00835BA6">
        <w:rPr>
          <w:rFonts w:asciiTheme="minorHAnsi" w:hAnsiTheme="minorHAnsi"/>
        </w:rPr>
        <w:t xml:space="preserve">Kim, YJ, Cha, SW &amp; Kim, HO 2017, 'Serum anti-Müllerian hormone levels decrease after endometriosis surgery', </w:t>
      </w:r>
      <w:r w:rsidRPr="00835BA6">
        <w:rPr>
          <w:rFonts w:asciiTheme="minorHAnsi" w:hAnsiTheme="minorHAnsi"/>
          <w:i/>
        </w:rPr>
        <w:t>Journal of Obstetrics and Gynaecology</w:t>
      </w:r>
      <w:r w:rsidRPr="00835BA6">
        <w:rPr>
          <w:rFonts w:asciiTheme="minorHAnsi" w:hAnsiTheme="minorHAnsi"/>
        </w:rPr>
        <w:t>, vol. 37, no. 3, 2017-1-1, pp. 342-346.</w:t>
      </w:r>
    </w:p>
    <w:bookmarkEnd w:id="589"/>
    <w:p w14:paraId="71FB7266" w14:textId="77777777" w:rsidR="00835BA6" w:rsidRPr="00835BA6" w:rsidRDefault="00835BA6" w:rsidP="00835BA6">
      <w:pPr>
        <w:pStyle w:val="EndNoteBibliography"/>
        <w:spacing w:after="0"/>
        <w:rPr>
          <w:rFonts w:asciiTheme="minorHAnsi" w:hAnsiTheme="minorHAnsi"/>
        </w:rPr>
      </w:pPr>
    </w:p>
    <w:p w14:paraId="207DEC97" w14:textId="77777777" w:rsidR="00835BA6" w:rsidRPr="00835BA6" w:rsidRDefault="00835BA6" w:rsidP="00835BA6">
      <w:pPr>
        <w:pStyle w:val="EndNoteBibliography"/>
        <w:rPr>
          <w:rFonts w:asciiTheme="minorHAnsi" w:hAnsiTheme="minorHAnsi"/>
        </w:rPr>
      </w:pPr>
      <w:bookmarkStart w:id="590" w:name="_ENREF_35"/>
      <w:r w:rsidRPr="00835BA6">
        <w:rPr>
          <w:rFonts w:asciiTheme="minorHAnsi" w:hAnsiTheme="minorHAnsi"/>
        </w:rPr>
        <w:t xml:space="preserve">Kondapalli, LA, Dillon, KE, Sammel, MD, Ray, A, Prewitt, M, Ginsberg, JP &amp; Gracia, CR 2014, 'Quality of life in female cancer survivors: is it related to ovarian reserve?', </w:t>
      </w:r>
      <w:r w:rsidRPr="00835BA6">
        <w:rPr>
          <w:rFonts w:asciiTheme="minorHAnsi" w:hAnsiTheme="minorHAnsi"/>
          <w:i/>
        </w:rPr>
        <w:t>Quality of life research : an international journal of quality of life aspects of treatment, care and rehabilitation</w:t>
      </w:r>
      <w:r w:rsidRPr="00835BA6">
        <w:rPr>
          <w:rFonts w:asciiTheme="minorHAnsi" w:hAnsiTheme="minorHAnsi"/>
        </w:rPr>
        <w:t>, vol. 23, no. 2, 2014-1-1, pp. 585-592.</w:t>
      </w:r>
    </w:p>
    <w:bookmarkEnd w:id="590"/>
    <w:p w14:paraId="48A02394" w14:textId="77777777" w:rsidR="00835BA6" w:rsidRPr="00835BA6" w:rsidRDefault="00835BA6" w:rsidP="00835BA6">
      <w:pPr>
        <w:pStyle w:val="EndNoteBibliography"/>
        <w:spacing w:after="0"/>
        <w:rPr>
          <w:rFonts w:asciiTheme="minorHAnsi" w:hAnsiTheme="minorHAnsi"/>
        </w:rPr>
      </w:pPr>
    </w:p>
    <w:p w14:paraId="709D775A" w14:textId="77777777" w:rsidR="00835BA6" w:rsidRPr="00835BA6" w:rsidRDefault="00835BA6" w:rsidP="00835BA6">
      <w:pPr>
        <w:pStyle w:val="EndNoteBibliography"/>
        <w:rPr>
          <w:rFonts w:asciiTheme="minorHAnsi" w:hAnsiTheme="minorHAnsi"/>
        </w:rPr>
      </w:pPr>
      <w:bookmarkStart w:id="591" w:name="_ENREF_36"/>
      <w:r w:rsidRPr="00835BA6">
        <w:rPr>
          <w:rFonts w:asciiTheme="minorHAnsi" w:hAnsiTheme="minorHAnsi"/>
        </w:rPr>
        <w:t xml:space="preserve">Lee, S, Ozkavukcu, S, Heytens, E, Moy, F, Alappat, RM &amp; Oktay, K 2011, 'Anti-Mullerian hormone and antral follicle count as predictors for embryo/oocyte cryopreservation cycle outcomes in breast cancer patients stimulated with letrozole and follicle stimulating hormone', </w:t>
      </w:r>
      <w:r w:rsidRPr="00835BA6">
        <w:rPr>
          <w:rFonts w:asciiTheme="minorHAnsi" w:hAnsiTheme="minorHAnsi"/>
          <w:i/>
        </w:rPr>
        <w:t>J Assist Reprod Genet</w:t>
      </w:r>
      <w:r w:rsidRPr="00835BA6">
        <w:rPr>
          <w:rFonts w:asciiTheme="minorHAnsi" w:hAnsiTheme="minorHAnsi"/>
        </w:rPr>
        <w:t>, vol. 28, no. 7, 2011-1-1, pp. 651-656.</w:t>
      </w:r>
    </w:p>
    <w:bookmarkEnd w:id="591"/>
    <w:p w14:paraId="5612F721" w14:textId="77777777" w:rsidR="00835BA6" w:rsidRPr="00835BA6" w:rsidRDefault="00835BA6" w:rsidP="00835BA6">
      <w:pPr>
        <w:pStyle w:val="EndNoteBibliography"/>
        <w:spacing w:after="0"/>
        <w:rPr>
          <w:rFonts w:asciiTheme="minorHAnsi" w:hAnsiTheme="minorHAnsi"/>
        </w:rPr>
      </w:pPr>
    </w:p>
    <w:p w14:paraId="159E9F60" w14:textId="77777777" w:rsidR="00835BA6" w:rsidRPr="00835BA6" w:rsidRDefault="00835BA6" w:rsidP="00835BA6">
      <w:pPr>
        <w:pStyle w:val="EndNoteBibliography"/>
        <w:rPr>
          <w:rFonts w:asciiTheme="minorHAnsi" w:hAnsiTheme="minorHAnsi"/>
        </w:rPr>
      </w:pPr>
      <w:bookmarkStart w:id="592" w:name="_ENREF_37"/>
      <w:r w:rsidRPr="00835BA6">
        <w:rPr>
          <w:rFonts w:asciiTheme="minorHAnsi" w:hAnsiTheme="minorHAnsi"/>
        </w:rPr>
        <w:t xml:space="preserve">Lind, T, Lampic, C, Olofsson, JI &amp; Rodriguez-Wallberg, KA 2016, 'Postoperative AMH reduction is not associated with reduced fecundity two years following ovarian cyst surgery', </w:t>
      </w:r>
      <w:r w:rsidRPr="00835BA6">
        <w:rPr>
          <w:rFonts w:asciiTheme="minorHAnsi" w:hAnsiTheme="minorHAnsi"/>
          <w:i/>
        </w:rPr>
        <w:t>Gynecological Endocrinology</w:t>
      </w:r>
      <w:r w:rsidRPr="00835BA6">
        <w:rPr>
          <w:rFonts w:asciiTheme="minorHAnsi" w:hAnsiTheme="minorHAnsi"/>
        </w:rPr>
        <w:t>, vol. 32, no. 9, 2016-1-1, pp. 745-748.</w:t>
      </w:r>
    </w:p>
    <w:bookmarkEnd w:id="592"/>
    <w:p w14:paraId="31118D20" w14:textId="77777777" w:rsidR="00835BA6" w:rsidRPr="00835BA6" w:rsidRDefault="00835BA6" w:rsidP="00835BA6">
      <w:pPr>
        <w:pStyle w:val="EndNoteBibliography"/>
        <w:spacing w:after="0"/>
        <w:rPr>
          <w:rFonts w:asciiTheme="minorHAnsi" w:hAnsiTheme="minorHAnsi"/>
        </w:rPr>
      </w:pPr>
    </w:p>
    <w:p w14:paraId="1816E6CB" w14:textId="77777777" w:rsidR="00835BA6" w:rsidRPr="00835BA6" w:rsidRDefault="00835BA6" w:rsidP="00835BA6">
      <w:pPr>
        <w:pStyle w:val="EndNoteBibliography"/>
        <w:rPr>
          <w:rFonts w:asciiTheme="minorHAnsi" w:hAnsiTheme="minorHAnsi"/>
        </w:rPr>
      </w:pPr>
      <w:bookmarkStart w:id="593" w:name="_ENREF_38"/>
      <w:r w:rsidRPr="00835BA6">
        <w:rPr>
          <w:rFonts w:asciiTheme="minorHAnsi" w:hAnsiTheme="minorHAnsi"/>
        </w:rPr>
        <w:t xml:space="preserve">Logan, S, Perz, J, Ussher, JM, Peate, M &amp; Anazodo, A 2017, 'A systematic review of patient oncofertility support needs in reproductive cancer patients aged 14 to 45 years of age', </w:t>
      </w:r>
      <w:r w:rsidRPr="00835BA6">
        <w:rPr>
          <w:rFonts w:asciiTheme="minorHAnsi" w:hAnsiTheme="minorHAnsi"/>
          <w:i/>
        </w:rPr>
        <w:t>Psychooncology</w:t>
      </w:r>
      <w:r w:rsidRPr="00835BA6">
        <w:rPr>
          <w:rFonts w:asciiTheme="minorHAnsi" w:hAnsiTheme="minorHAnsi"/>
        </w:rPr>
        <w:t>, Jul 22.</w:t>
      </w:r>
    </w:p>
    <w:bookmarkEnd w:id="593"/>
    <w:p w14:paraId="4DAC03A9" w14:textId="77777777" w:rsidR="00835BA6" w:rsidRPr="00835BA6" w:rsidRDefault="00835BA6" w:rsidP="00835BA6">
      <w:pPr>
        <w:pStyle w:val="EndNoteBibliography"/>
        <w:spacing w:after="0"/>
        <w:rPr>
          <w:rFonts w:asciiTheme="minorHAnsi" w:hAnsiTheme="minorHAnsi"/>
        </w:rPr>
      </w:pPr>
    </w:p>
    <w:p w14:paraId="01E6EACA" w14:textId="77777777" w:rsidR="00835BA6" w:rsidRPr="00835BA6" w:rsidRDefault="00835BA6" w:rsidP="00835BA6">
      <w:pPr>
        <w:pStyle w:val="EndNoteBibliography"/>
        <w:rPr>
          <w:rFonts w:asciiTheme="minorHAnsi" w:hAnsiTheme="minorHAnsi"/>
        </w:rPr>
      </w:pPr>
      <w:bookmarkStart w:id="594" w:name="_ENREF_39"/>
      <w:r w:rsidRPr="00835BA6">
        <w:rPr>
          <w:rFonts w:asciiTheme="minorHAnsi" w:hAnsiTheme="minorHAnsi"/>
        </w:rPr>
        <w:t xml:space="preserve">Loren, AW, Mangu, PB, Beck, LN, Brennan, L, Magdalinski, AJ, Partridge, AH, Quinn, G, Wallace, WH, Oktay, K &amp; American Society of Clinical, O 2013, 'Fertility preservation for patients with cancer: American Society of Clinical Oncology clinical practice guideline update', </w:t>
      </w:r>
      <w:r w:rsidRPr="00835BA6">
        <w:rPr>
          <w:rFonts w:asciiTheme="minorHAnsi" w:hAnsiTheme="minorHAnsi"/>
          <w:i/>
        </w:rPr>
        <w:t>J Clin Oncol</w:t>
      </w:r>
      <w:r w:rsidRPr="00835BA6">
        <w:rPr>
          <w:rFonts w:asciiTheme="minorHAnsi" w:hAnsiTheme="minorHAnsi"/>
        </w:rPr>
        <w:t>, vol. 31, no. 19, Jul 01, pp. 2500-2510.</w:t>
      </w:r>
    </w:p>
    <w:bookmarkEnd w:id="594"/>
    <w:p w14:paraId="69FA17F9" w14:textId="77777777" w:rsidR="00835BA6" w:rsidRPr="00835BA6" w:rsidRDefault="00835BA6" w:rsidP="00835BA6">
      <w:pPr>
        <w:pStyle w:val="EndNoteBibliography"/>
        <w:spacing w:after="0"/>
        <w:rPr>
          <w:rFonts w:asciiTheme="minorHAnsi" w:hAnsiTheme="minorHAnsi"/>
        </w:rPr>
      </w:pPr>
    </w:p>
    <w:p w14:paraId="1CB12B13" w14:textId="77777777" w:rsidR="00835BA6" w:rsidRPr="00835BA6" w:rsidRDefault="00835BA6" w:rsidP="00835BA6">
      <w:pPr>
        <w:pStyle w:val="EndNoteBibliography"/>
        <w:rPr>
          <w:rFonts w:asciiTheme="minorHAnsi" w:hAnsiTheme="minorHAnsi"/>
        </w:rPr>
      </w:pPr>
      <w:bookmarkStart w:id="595" w:name="_ENREF_40"/>
      <w:r w:rsidRPr="00835BA6">
        <w:rPr>
          <w:rFonts w:asciiTheme="minorHAnsi" w:hAnsiTheme="minorHAnsi"/>
        </w:rPr>
        <w:t xml:space="preserve">Lunsford, AJ, Whelan, K, McCormick, K &amp; McLaren, JF 2014, 'Antimullerian hormone as a measure of reproductive function in female childhood cancer survivors', </w:t>
      </w:r>
      <w:r w:rsidRPr="00835BA6">
        <w:rPr>
          <w:rFonts w:asciiTheme="minorHAnsi" w:hAnsiTheme="minorHAnsi"/>
          <w:i/>
        </w:rPr>
        <w:t>Fertil Steril</w:t>
      </w:r>
      <w:r w:rsidRPr="00835BA6">
        <w:rPr>
          <w:rFonts w:asciiTheme="minorHAnsi" w:hAnsiTheme="minorHAnsi"/>
        </w:rPr>
        <w:t>, vol. 101, no. 1, 2014-1-1, pp. 227-231.</w:t>
      </w:r>
    </w:p>
    <w:bookmarkEnd w:id="595"/>
    <w:p w14:paraId="2AD85214" w14:textId="77777777" w:rsidR="00835BA6" w:rsidRPr="00835BA6" w:rsidRDefault="00835BA6" w:rsidP="00835BA6">
      <w:pPr>
        <w:pStyle w:val="EndNoteBibliography"/>
        <w:spacing w:after="0"/>
        <w:rPr>
          <w:rFonts w:asciiTheme="minorHAnsi" w:hAnsiTheme="minorHAnsi"/>
        </w:rPr>
      </w:pPr>
    </w:p>
    <w:p w14:paraId="2D3CDD8B" w14:textId="77777777" w:rsidR="00835BA6" w:rsidRPr="00835BA6" w:rsidRDefault="00835BA6" w:rsidP="00835BA6">
      <w:pPr>
        <w:pStyle w:val="EndNoteBibliography"/>
        <w:rPr>
          <w:rFonts w:asciiTheme="minorHAnsi" w:hAnsiTheme="minorHAnsi"/>
        </w:rPr>
      </w:pPr>
      <w:bookmarkStart w:id="596" w:name="_ENREF_41"/>
      <w:r w:rsidRPr="00835BA6">
        <w:rPr>
          <w:rFonts w:asciiTheme="minorHAnsi" w:hAnsiTheme="minorHAnsi"/>
        </w:rPr>
        <w:lastRenderedPageBreak/>
        <w:t xml:space="preserve">Lutchman Singh, K, Muttukrishna, S, Stein, RC, McGarrigle, HH, Patel, A, Parikh, B, Groome, NP, Davies, MC &amp; Chatterjee, R 2007, 'Predictors of ovarian reserve in young women with breast cancer', </w:t>
      </w:r>
      <w:r w:rsidRPr="00835BA6">
        <w:rPr>
          <w:rFonts w:asciiTheme="minorHAnsi" w:hAnsiTheme="minorHAnsi"/>
          <w:i/>
        </w:rPr>
        <w:t>Br J Cancer</w:t>
      </w:r>
      <w:r w:rsidRPr="00835BA6">
        <w:rPr>
          <w:rFonts w:asciiTheme="minorHAnsi" w:hAnsiTheme="minorHAnsi"/>
        </w:rPr>
        <w:t>, vol. 96, no. 12, 2007-1-1, pp. 1808-1816.</w:t>
      </w:r>
    </w:p>
    <w:bookmarkEnd w:id="596"/>
    <w:p w14:paraId="4890444A" w14:textId="77777777" w:rsidR="00835BA6" w:rsidRPr="00835BA6" w:rsidRDefault="00835BA6" w:rsidP="00835BA6">
      <w:pPr>
        <w:pStyle w:val="EndNoteBibliography"/>
        <w:spacing w:after="0"/>
        <w:rPr>
          <w:rFonts w:asciiTheme="minorHAnsi" w:hAnsiTheme="minorHAnsi"/>
        </w:rPr>
      </w:pPr>
    </w:p>
    <w:p w14:paraId="26E81D78" w14:textId="77777777" w:rsidR="00835BA6" w:rsidRPr="00835BA6" w:rsidRDefault="00835BA6" w:rsidP="00835BA6">
      <w:pPr>
        <w:pStyle w:val="EndNoteBibliography"/>
        <w:rPr>
          <w:rFonts w:asciiTheme="minorHAnsi" w:hAnsiTheme="minorHAnsi"/>
        </w:rPr>
      </w:pPr>
      <w:bookmarkStart w:id="597" w:name="_ENREF_42"/>
      <w:r w:rsidRPr="00835BA6">
        <w:rPr>
          <w:rFonts w:asciiTheme="minorHAnsi" w:hAnsiTheme="minorHAnsi"/>
        </w:rPr>
        <w:t xml:space="preserve">Manno, M, Tomei, F, Puglisi, F, Zaja, F, Metus, P, Tozzoli, R, Mascarin, M &amp; Manno, M 2016, 'Ovarian reserve biomarkers usefulness for optimization of counselling in a public network for fertility preservation in oncological patients', </w:t>
      </w:r>
      <w:r w:rsidRPr="00835BA6">
        <w:rPr>
          <w:rFonts w:asciiTheme="minorHAnsi" w:hAnsiTheme="minorHAnsi"/>
          <w:i/>
        </w:rPr>
        <w:t>Italian Journal of Gynaecology and Obstetrics</w:t>
      </w:r>
      <w:r w:rsidRPr="00835BA6">
        <w:rPr>
          <w:rFonts w:asciiTheme="minorHAnsi" w:hAnsiTheme="minorHAnsi"/>
        </w:rPr>
        <w:t>, vol. 28, no. 5, 2016-1-1, pp. 15-22.</w:t>
      </w:r>
    </w:p>
    <w:bookmarkEnd w:id="597"/>
    <w:p w14:paraId="10CE1118" w14:textId="77777777" w:rsidR="00835BA6" w:rsidRPr="00835BA6" w:rsidRDefault="00835BA6" w:rsidP="00835BA6">
      <w:pPr>
        <w:pStyle w:val="EndNoteBibliography"/>
        <w:spacing w:after="0"/>
        <w:rPr>
          <w:rFonts w:asciiTheme="minorHAnsi" w:hAnsiTheme="minorHAnsi"/>
        </w:rPr>
      </w:pPr>
    </w:p>
    <w:p w14:paraId="59268F9F" w14:textId="77777777" w:rsidR="00835BA6" w:rsidRPr="00835BA6" w:rsidRDefault="00835BA6" w:rsidP="00835BA6">
      <w:pPr>
        <w:pStyle w:val="EndNoteBibliography"/>
        <w:rPr>
          <w:rFonts w:asciiTheme="minorHAnsi" w:hAnsiTheme="minorHAnsi"/>
        </w:rPr>
      </w:pPr>
      <w:bookmarkStart w:id="598" w:name="_ENREF_43"/>
      <w:r w:rsidRPr="00835BA6">
        <w:rPr>
          <w:rFonts w:asciiTheme="minorHAnsi" w:hAnsiTheme="minorHAnsi"/>
        </w:rPr>
        <w:t xml:space="preserve">Miyoshi, Y, Ohta, H, Namba, N, Tachibana, M, Miyamura, T, Miyashita, E, Hashii, Y, Oue, T, Isobe, A, Tsutsui, T, Kimura, T &amp; Ozono, K 2013, 'Low serum concentrations of anti-müllerian hormone are common in 53 female childhood cancer survivors', </w:t>
      </w:r>
      <w:r w:rsidRPr="00835BA6">
        <w:rPr>
          <w:rFonts w:asciiTheme="minorHAnsi" w:hAnsiTheme="minorHAnsi"/>
          <w:i/>
        </w:rPr>
        <w:t>Hormone Research in Paediatrics</w:t>
      </w:r>
      <w:r w:rsidRPr="00835BA6">
        <w:rPr>
          <w:rFonts w:asciiTheme="minorHAnsi" w:hAnsiTheme="minorHAnsi"/>
        </w:rPr>
        <w:t>, vol. 79, no. 1, 2013-1-1, pp. 17-21.</w:t>
      </w:r>
    </w:p>
    <w:bookmarkEnd w:id="598"/>
    <w:p w14:paraId="13316C46" w14:textId="77777777" w:rsidR="00835BA6" w:rsidRPr="00835BA6" w:rsidRDefault="00835BA6" w:rsidP="00835BA6">
      <w:pPr>
        <w:pStyle w:val="EndNoteBibliography"/>
        <w:spacing w:after="0"/>
        <w:rPr>
          <w:rFonts w:asciiTheme="minorHAnsi" w:hAnsiTheme="minorHAnsi"/>
        </w:rPr>
      </w:pPr>
    </w:p>
    <w:p w14:paraId="05E4165B" w14:textId="00840CDF" w:rsidR="00835BA6" w:rsidRPr="00835BA6" w:rsidRDefault="00835BA6" w:rsidP="00835BA6">
      <w:pPr>
        <w:pStyle w:val="EndNoteBibliography"/>
        <w:rPr>
          <w:rFonts w:asciiTheme="minorHAnsi" w:hAnsiTheme="minorHAnsi"/>
        </w:rPr>
      </w:pPr>
      <w:bookmarkStart w:id="599" w:name="_ENREF_44"/>
      <w:r w:rsidRPr="00835BA6">
        <w:rPr>
          <w:rFonts w:asciiTheme="minorHAnsi" w:hAnsiTheme="minorHAnsi"/>
        </w:rPr>
        <w:t xml:space="preserve">Monash IVF 2017, </w:t>
      </w:r>
      <w:r w:rsidRPr="00835BA6">
        <w:rPr>
          <w:rFonts w:asciiTheme="minorHAnsi" w:hAnsiTheme="minorHAnsi"/>
          <w:i/>
        </w:rPr>
        <w:t>Understanding the Egg Timer Test – what is Ovarian Reserve &amp; AMH?</w:t>
      </w:r>
      <w:r w:rsidRPr="00835BA6">
        <w:rPr>
          <w:rFonts w:asciiTheme="minorHAnsi" w:hAnsiTheme="minorHAnsi"/>
        </w:rPr>
        <w:t>, viewed 2 November 2017, &lt;</w:t>
      </w:r>
      <w:hyperlink r:id="rId111" w:tooltip="Link to Monash IVF" w:history="1">
        <w:r w:rsidRPr="00835BA6">
          <w:rPr>
            <w:rStyle w:val="Hyperlink"/>
            <w:rFonts w:asciiTheme="minorHAnsi" w:hAnsiTheme="minorHAnsi"/>
          </w:rPr>
          <w:t>https://monashivf.com/understanding-egg-timer-test-ovarian-reserve-amh/</w:t>
        </w:r>
      </w:hyperlink>
      <w:r w:rsidR="00177003">
        <w:rPr>
          <w:rFonts w:asciiTheme="minorHAnsi" w:hAnsiTheme="minorHAnsi"/>
        </w:rPr>
        <w:t>&gt;.</w:t>
      </w:r>
    </w:p>
    <w:bookmarkEnd w:id="599"/>
    <w:p w14:paraId="48B8F53D" w14:textId="77777777" w:rsidR="00835BA6" w:rsidRPr="00835BA6" w:rsidRDefault="00835BA6" w:rsidP="00835BA6">
      <w:pPr>
        <w:pStyle w:val="EndNoteBibliography"/>
        <w:spacing w:after="0"/>
        <w:rPr>
          <w:rFonts w:asciiTheme="minorHAnsi" w:hAnsiTheme="minorHAnsi"/>
        </w:rPr>
      </w:pPr>
    </w:p>
    <w:p w14:paraId="6BFBA5A6" w14:textId="77777777" w:rsidR="00835BA6" w:rsidRPr="00835BA6" w:rsidRDefault="00835BA6" w:rsidP="00835BA6">
      <w:pPr>
        <w:pStyle w:val="EndNoteBibliography"/>
        <w:rPr>
          <w:rFonts w:asciiTheme="minorHAnsi" w:hAnsiTheme="minorHAnsi"/>
        </w:rPr>
      </w:pPr>
      <w:bookmarkStart w:id="600" w:name="_ENREF_45"/>
      <w:r w:rsidRPr="00835BA6">
        <w:rPr>
          <w:rFonts w:asciiTheme="minorHAnsi" w:hAnsiTheme="minorHAnsi"/>
        </w:rPr>
        <w:t xml:space="preserve">MSAC 2005, </w:t>
      </w:r>
      <w:r w:rsidRPr="00835BA6">
        <w:rPr>
          <w:rFonts w:asciiTheme="minorHAnsi" w:hAnsiTheme="minorHAnsi"/>
          <w:i/>
        </w:rPr>
        <w:t>Guidelines for the assessment of diagnostic technologies</w:t>
      </w:r>
      <w:r w:rsidRPr="00835BA6">
        <w:rPr>
          <w:rFonts w:asciiTheme="minorHAnsi" w:hAnsiTheme="minorHAnsi"/>
        </w:rPr>
        <w:t>, Commonwealth of Australia, Canberra, ACT.</w:t>
      </w:r>
    </w:p>
    <w:bookmarkEnd w:id="600"/>
    <w:p w14:paraId="40777D5B" w14:textId="77777777" w:rsidR="00835BA6" w:rsidRPr="00835BA6" w:rsidRDefault="00835BA6" w:rsidP="00835BA6">
      <w:pPr>
        <w:pStyle w:val="EndNoteBibliography"/>
        <w:spacing w:after="0"/>
        <w:rPr>
          <w:rFonts w:asciiTheme="minorHAnsi" w:hAnsiTheme="minorHAnsi"/>
        </w:rPr>
      </w:pPr>
    </w:p>
    <w:p w14:paraId="690B9C80" w14:textId="77777777" w:rsidR="00835BA6" w:rsidRPr="00835BA6" w:rsidRDefault="00835BA6" w:rsidP="00835BA6">
      <w:pPr>
        <w:pStyle w:val="EndNoteBibliography"/>
        <w:rPr>
          <w:rFonts w:asciiTheme="minorHAnsi" w:hAnsiTheme="minorHAnsi"/>
        </w:rPr>
      </w:pPr>
      <w:bookmarkStart w:id="601" w:name="_ENREF_46"/>
      <w:r w:rsidRPr="00835BA6">
        <w:rPr>
          <w:rFonts w:asciiTheme="minorHAnsi" w:hAnsiTheme="minorHAnsi"/>
        </w:rPr>
        <w:t xml:space="preserve">Munoz, M, Santaballa, A, Segui, MA, Beato, C, de la Cruz, S, Espinosa, J, Fonseca, PJ, Perez, J, Quintanar, T &amp; Blasco, A 2016, 'SEOM Clinical Guideline of fertility preservation and reproduction in cancer patients (2016)', </w:t>
      </w:r>
      <w:r w:rsidRPr="00835BA6">
        <w:rPr>
          <w:rFonts w:asciiTheme="minorHAnsi" w:hAnsiTheme="minorHAnsi"/>
          <w:i/>
        </w:rPr>
        <w:t>Clin Transl Oncol</w:t>
      </w:r>
      <w:r w:rsidRPr="00835BA6">
        <w:rPr>
          <w:rFonts w:asciiTheme="minorHAnsi" w:hAnsiTheme="minorHAnsi"/>
        </w:rPr>
        <w:t>, vol. 18, no. 12, Dec, pp. 1229-1236.</w:t>
      </w:r>
    </w:p>
    <w:bookmarkEnd w:id="601"/>
    <w:p w14:paraId="27B4B997" w14:textId="77777777" w:rsidR="00835BA6" w:rsidRPr="00835BA6" w:rsidRDefault="00835BA6" w:rsidP="00835BA6">
      <w:pPr>
        <w:pStyle w:val="EndNoteBibliography"/>
        <w:spacing w:after="0"/>
        <w:rPr>
          <w:rFonts w:asciiTheme="minorHAnsi" w:hAnsiTheme="minorHAnsi"/>
        </w:rPr>
      </w:pPr>
    </w:p>
    <w:p w14:paraId="55B762BE" w14:textId="77777777" w:rsidR="00835BA6" w:rsidRPr="00835BA6" w:rsidRDefault="00835BA6" w:rsidP="00835BA6">
      <w:pPr>
        <w:pStyle w:val="EndNoteBibliography"/>
        <w:rPr>
          <w:rFonts w:asciiTheme="minorHAnsi" w:hAnsiTheme="minorHAnsi"/>
        </w:rPr>
      </w:pPr>
      <w:bookmarkStart w:id="602" w:name="_ENREF_47"/>
      <w:r w:rsidRPr="00835BA6">
        <w:rPr>
          <w:rFonts w:asciiTheme="minorHAnsi" w:hAnsiTheme="minorHAnsi"/>
        </w:rPr>
        <w:t xml:space="preserve">Nelson, SM &amp; La Marca, A 2011, 'The journey from the old to the new AMH assay: how to avoid getting lost in the values', </w:t>
      </w:r>
      <w:r w:rsidRPr="00835BA6">
        <w:rPr>
          <w:rFonts w:asciiTheme="minorHAnsi" w:hAnsiTheme="minorHAnsi"/>
          <w:i/>
        </w:rPr>
        <w:t>Reprod Biomed Online</w:t>
      </w:r>
      <w:r w:rsidRPr="00835BA6">
        <w:rPr>
          <w:rFonts w:asciiTheme="minorHAnsi" w:hAnsiTheme="minorHAnsi"/>
        </w:rPr>
        <w:t>, vol. 23, no. 4, Oct, pp. 411-420.</w:t>
      </w:r>
    </w:p>
    <w:bookmarkEnd w:id="602"/>
    <w:p w14:paraId="69D80A46" w14:textId="77777777" w:rsidR="00835BA6" w:rsidRPr="00835BA6" w:rsidRDefault="00835BA6" w:rsidP="00835BA6">
      <w:pPr>
        <w:pStyle w:val="EndNoteBibliography"/>
        <w:spacing w:after="0"/>
        <w:rPr>
          <w:rFonts w:asciiTheme="minorHAnsi" w:hAnsiTheme="minorHAnsi"/>
        </w:rPr>
      </w:pPr>
    </w:p>
    <w:p w14:paraId="56B6F3CF" w14:textId="77777777" w:rsidR="00835BA6" w:rsidRPr="00835BA6" w:rsidRDefault="00835BA6" w:rsidP="00835BA6">
      <w:pPr>
        <w:pStyle w:val="EndNoteBibliography"/>
        <w:rPr>
          <w:rFonts w:asciiTheme="minorHAnsi" w:hAnsiTheme="minorHAnsi"/>
        </w:rPr>
      </w:pPr>
      <w:bookmarkStart w:id="603" w:name="_ENREF_48"/>
      <w:r w:rsidRPr="00835BA6">
        <w:rPr>
          <w:rFonts w:asciiTheme="minorHAnsi" w:hAnsiTheme="minorHAnsi"/>
        </w:rPr>
        <w:t xml:space="preserve">Nielsen, SN, Andersen, AN, Schmidt, KT, Rechnitzer, C, Schmiegelow, K, Bentzen, JG &amp; Larsen, EC 2013, 'A 10-year follow up of reproductive function in women treated for childhood cancer', </w:t>
      </w:r>
      <w:r w:rsidRPr="00835BA6">
        <w:rPr>
          <w:rFonts w:asciiTheme="minorHAnsi" w:hAnsiTheme="minorHAnsi"/>
          <w:i/>
        </w:rPr>
        <w:t>Reproductive BioMedicine Online</w:t>
      </w:r>
      <w:r w:rsidRPr="00835BA6">
        <w:rPr>
          <w:rFonts w:asciiTheme="minorHAnsi" w:hAnsiTheme="minorHAnsi"/>
        </w:rPr>
        <w:t>, vol. 27, no. 2, 2013-1-1, pp. 192-200.</w:t>
      </w:r>
    </w:p>
    <w:bookmarkEnd w:id="603"/>
    <w:p w14:paraId="74FB3313" w14:textId="77777777" w:rsidR="00835BA6" w:rsidRPr="00835BA6" w:rsidRDefault="00835BA6" w:rsidP="00835BA6">
      <w:pPr>
        <w:pStyle w:val="EndNoteBibliography"/>
        <w:spacing w:after="0"/>
        <w:rPr>
          <w:rFonts w:asciiTheme="minorHAnsi" w:hAnsiTheme="minorHAnsi"/>
        </w:rPr>
      </w:pPr>
    </w:p>
    <w:p w14:paraId="72D7FAED" w14:textId="77777777" w:rsidR="00835BA6" w:rsidRPr="00835BA6" w:rsidRDefault="00835BA6" w:rsidP="00835BA6">
      <w:pPr>
        <w:pStyle w:val="EndNoteBibliography"/>
        <w:rPr>
          <w:rFonts w:asciiTheme="minorHAnsi" w:hAnsiTheme="minorHAnsi"/>
        </w:rPr>
      </w:pPr>
      <w:bookmarkStart w:id="604" w:name="_ENREF_49"/>
      <w:r w:rsidRPr="00835BA6">
        <w:rPr>
          <w:rFonts w:asciiTheme="minorHAnsi" w:hAnsiTheme="minorHAnsi"/>
        </w:rPr>
        <w:t xml:space="preserve">Nyboe Andersen, A, Nelson, SM, Fauser, BC, Garcia-Velasco, JA, Klein, BM, Arce, JC &amp; group, E-s 2017, 'Individualized versus conventional ovarian stimulation for in vitro fertilization: a multicenter, randomized, controlled, assessor-blinded, phase 3 noninferiority trial', </w:t>
      </w:r>
      <w:r w:rsidRPr="00835BA6">
        <w:rPr>
          <w:rFonts w:asciiTheme="minorHAnsi" w:hAnsiTheme="minorHAnsi"/>
          <w:i/>
        </w:rPr>
        <w:t>Fertil Steril</w:t>
      </w:r>
      <w:r w:rsidRPr="00835BA6">
        <w:rPr>
          <w:rFonts w:asciiTheme="minorHAnsi" w:hAnsiTheme="minorHAnsi"/>
        </w:rPr>
        <w:t>, vol. 107, no. 2, Feb, pp. 387-396 e384.</w:t>
      </w:r>
    </w:p>
    <w:bookmarkEnd w:id="604"/>
    <w:p w14:paraId="5389E453" w14:textId="77777777" w:rsidR="00835BA6" w:rsidRPr="00835BA6" w:rsidRDefault="00835BA6" w:rsidP="00835BA6">
      <w:pPr>
        <w:pStyle w:val="EndNoteBibliography"/>
        <w:spacing w:after="0"/>
        <w:rPr>
          <w:rFonts w:asciiTheme="minorHAnsi" w:hAnsiTheme="minorHAnsi"/>
        </w:rPr>
      </w:pPr>
    </w:p>
    <w:p w14:paraId="7D9D1294" w14:textId="77777777" w:rsidR="00835BA6" w:rsidRPr="00835BA6" w:rsidRDefault="00835BA6" w:rsidP="00835BA6">
      <w:pPr>
        <w:pStyle w:val="EndNoteBibliography"/>
        <w:rPr>
          <w:rFonts w:asciiTheme="minorHAnsi" w:hAnsiTheme="minorHAnsi"/>
        </w:rPr>
      </w:pPr>
      <w:bookmarkStart w:id="605" w:name="_ENREF_50"/>
      <w:r w:rsidRPr="00835BA6">
        <w:rPr>
          <w:rFonts w:asciiTheme="minorHAnsi" w:hAnsiTheme="minorHAnsi"/>
        </w:rPr>
        <w:t xml:space="preserve">O'Brien, Y, Wingfield, M &amp; Kelleher, C 2016, 'The psychological impact of ovarian reserve testing: a qualitative analysis', </w:t>
      </w:r>
      <w:r w:rsidRPr="00835BA6">
        <w:rPr>
          <w:rFonts w:asciiTheme="minorHAnsi" w:hAnsiTheme="minorHAnsi"/>
          <w:i/>
        </w:rPr>
        <w:t>Fertility and Sterility</w:t>
      </w:r>
      <w:r w:rsidRPr="00835BA6">
        <w:rPr>
          <w:rFonts w:asciiTheme="minorHAnsi" w:hAnsiTheme="minorHAnsi"/>
        </w:rPr>
        <w:t>, vol. 106, no. 3, Supplement, 2016/09/01/, p. e47.</w:t>
      </w:r>
    </w:p>
    <w:bookmarkEnd w:id="605"/>
    <w:p w14:paraId="32F4260C" w14:textId="77777777" w:rsidR="00835BA6" w:rsidRPr="00835BA6" w:rsidRDefault="00835BA6" w:rsidP="00835BA6">
      <w:pPr>
        <w:pStyle w:val="EndNoteBibliography"/>
        <w:spacing w:after="0"/>
        <w:rPr>
          <w:rFonts w:asciiTheme="minorHAnsi" w:hAnsiTheme="minorHAnsi"/>
        </w:rPr>
      </w:pPr>
    </w:p>
    <w:p w14:paraId="3754BF81" w14:textId="77777777" w:rsidR="00835BA6" w:rsidRPr="00835BA6" w:rsidRDefault="00835BA6" w:rsidP="00835BA6">
      <w:pPr>
        <w:pStyle w:val="EndNoteBibliography"/>
        <w:rPr>
          <w:rFonts w:asciiTheme="minorHAnsi" w:hAnsiTheme="minorHAnsi"/>
        </w:rPr>
      </w:pPr>
      <w:bookmarkStart w:id="606" w:name="_ENREF_51"/>
      <w:r w:rsidRPr="00835BA6">
        <w:rPr>
          <w:rFonts w:asciiTheme="minorHAnsi" w:hAnsiTheme="minorHAnsi"/>
        </w:rPr>
        <w:t xml:space="preserve">Oktay, K &amp; Sonmezer, M 2008, 'Chemotherapy and amenorrhea: risks and treatment options', </w:t>
      </w:r>
      <w:r w:rsidRPr="00835BA6">
        <w:rPr>
          <w:rFonts w:asciiTheme="minorHAnsi" w:hAnsiTheme="minorHAnsi"/>
          <w:i/>
        </w:rPr>
        <w:t>Curr Opin Obstet Gynecol</w:t>
      </w:r>
      <w:r w:rsidRPr="00835BA6">
        <w:rPr>
          <w:rFonts w:asciiTheme="minorHAnsi" w:hAnsiTheme="minorHAnsi"/>
        </w:rPr>
        <w:t>, vol. 20, no. 4, Aug, pp. 408-415.</w:t>
      </w:r>
    </w:p>
    <w:bookmarkEnd w:id="606"/>
    <w:p w14:paraId="3CBB8049" w14:textId="77777777" w:rsidR="00835BA6" w:rsidRPr="00835BA6" w:rsidRDefault="00835BA6" w:rsidP="00835BA6">
      <w:pPr>
        <w:pStyle w:val="EndNoteBibliography"/>
        <w:spacing w:after="0"/>
        <w:rPr>
          <w:rFonts w:asciiTheme="minorHAnsi" w:hAnsiTheme="minorHAnsi"/>
        </w:rPr>
      </w:pPr>
    </w:p>
    <w:p w14:paraId="03380AE6" w14:textId="77777777" w:rsidR="00835BA6" w:rsidRPr="00835BA6" w:rsidRDefault="00835BA6" w:rsidP="00835BA6">
      <w:pPr>
        <w:pStyle w:val="EndNoteBibliography"/>
        <w:rPr>
          <w:rFonts w:asciiTheme="minorHAnsi" w:hAnsiTheme="minorHAnsi"/>
        </w:rPr>
      </w:pPr>
      <w:bookmarkStart w:id="607" w:name="_ENREF_52"/>
      <w:r w:rsidRPr="00835BA6">
        <w:rPr>
          <w:rFonts w:asciiTheme="minorHAnsi" w:hAnsiTheme="minorHAnsi"/>
        </w:rPr>
        <w:lastRenderedPageBreak/>
        <w:t xml:space="preserve">Ozaki, R, Kumakiri, J, Tinelli, A, Grimbizis, GF, Kitade, M &amp; Takeda, S 2016, 'Evaluation of factors predicting diminished ovarian reserve before and after laparoscopic cystectomy for ovarian endometriomas: A prospective cohort study', </w:t>
      </w:r>
      <w:r w:rsidRPr="00835BA6">
        <w:rPr>
          <w:rFonts w:asciiTheme="minorHAnsi" w:hAnsiTheme="minorHAnsi"/>
          <w:i/>
        </w:rPr>
        <w:t>Journal of Ovarian Research</w:t>
      </w:r>
      <w:r w:rsidRPr="00835BA6">
        <w:rPr>
          <w:rFonts w:asciiTheme="minorHAnsi" w:hAnsiTheme="minorHAnsi"/>
        </w:rPr>
        <w:t>, vol. 9, no. 1, 2016-1-1.</w:t>
      </w:r>
    </w:p>
    <w:bookmarkEnd w:id="607"/>
    <w:p w14:paraId="584441FE" w14:textId="77777777" w:rsidR="00835BA6" w:rsidRPr="00835BA6" w:rsidRDefault="00835BA6" w:rsidP="00835BA6">
      <w:pPr>
        <w:pStyle w:val="EndNoteBibliography"/>
        <w:spacing w:after="0"/>
        <w:rPr>
          <w:rFonts w:asciiTheme="minorHAnsi" w:hAnsiTheme="minorHAnsi"/>
        </w:rPr>
      </w:pPr>
    </w:p>
    <w:p w14:paraId="15C0F71F" w14:textId="77777777" w:rsidR="00835BA6" w:rsidRPr="00835BA6" w:rsidRDefault="00835BA6" w:rsidP="00835BA6">
      <w:pPr>
        <w:pStyle w:val="EndNoteBibliography"/>
        <w:rPr>
          <w:rFonts w:asciiTheme="minorHAnsi" w:hAnsiTheme="minorHAnsi"/>
        </w:rPr>
      </w:pPr>
      <w:bookmarkStart w:id="608" w:name="_ENREF_53"/>
      <w:r w:rsidRPr="00835BA6">
        <w:rPr>
          <w:rFonts w:asciiTheme="minorHAnsi" w:hAnsiTheme="minorHAnsi"/>
        </w:rPr>
        <w:t xml:space="preserve">Pacheco, F &amp; Oktay, K 2017, 'Current Success and Efficiency of Autologous Ovarian Transplantation: A Meta-Analysis', </w:t>
      </w:r>
      <w:r w:rsidRPr="00835BA6">
        <w:rPr>
          <w:rFonts w:asciiTheme="minorHAnsi" w:hAnsiTheme="minorHAnsi"/>
          <w:i/>
        </w:rPr>
        <w:t>Reprod Sci</w:t>
      </w:r>
      <w:r w:rsidRPr="00835BA6">
        <w:rPr>
          <w:rFonts w:asciiTheme="minorHAnsi" w:hAnsiTheme="minorHAnsi"/>
        </w:rPr>
        <w:t>, vol. 24, no. 8, Aug, pp. 1111-1120.</w:t>
      </w:r>
    </w:p>
    <w:bookmarkEnd w:id="608"/>
    <w:p w14:paraId="5B70BCA5" w14:textId="77777777" w:rsidR="00835BA6" w:rsidRPr="00835BA6" w:rsidRDefault="00835BA6" w:rsidP="00835BA6">
      <w:pPr>
        <w:pStyle w:val="EndNoteBibliography"/>
        <w:spacing w:after="0"/>
        <w:rPr>
          <w:rFonts w:asciiTheme="minorHAnsi" w:hAnsiTheme="minorHAnsi"/>
        </w:rPr>
      </w:pPr>
    </w:p>
    <w:p w14:paraId="762A2B34" w14:textId="77777777" w:rsidR="00835BA6" w:rsidRPr="00835BA6" w:rsidRDefault="00835BA6" w:rsidP="00835BA6">
      <w:pPr>
        <w:pStyle w:val="EndNoteBibliography"/>
        <w:rPr>
          <w:rFonts w:asciiTheme="minorHAnsi" w:hAnsiTheme="minorHAnsi"/>
        </w:rPr>
      </w:pPr>
      <w:bookmarkStart w:id="609" w:name="_ENREF_54"/>
      <w:r w:rsidRPr="00835BA6">
        <w:rPr>
          <w:rFonts w:asciiTheme="minorHAnsi" w:hAnsiTheme="minorHAnsi"/>
        </w:rPr>
        <w:t xml:space="preserve">Papaleo, E, Zaffagnini, S, Munaretto, M, Vanni, VS, Rebonato, G, Grisendi, V, Di Paola, R &amp; La Marca, A 2016, 'Clinical application of a nomogram based on age, serum FSH and AMH to select the FSH starting dose in IVF/ICSI cycles: a retrospective two-centres study', </w:t>
      </w:r>
      <w:r w:rsidRPr="00835BA6">
        <w:rPr>
          <w:rFonts w:asciiTheme="minorHAnsi" w:hAnsiTheme="minorHAnsi"/>
          <w:i/>
        </w:rPr>
        <w:t>Eur J Obstet Gynecol Reprod Biol</w:t>
      </w:r>
      <w:r w:rsidRPr="00835BA6">
        <w:rPr>
          <w:rFonts w:asciiTheme="minorHAnsi" w:hAnsiTheme="minorHAnsi"/>
        </w:rPr>
        <w:t>, vol. 207, Dec, pp. 94-99.</w:t>
      </w:r>
    </w:p>
    <w:bookmarkEnd w:id="609"/>
    <w:p w14:paraId="041F7D8A" w14:textId="77777777" w:rsidR="00835BA6" w:rsidRPr="00835BA6" w:rsidRDefault="00835BA6" w:rsidP="00835BA6">
      <w:pPr>
        <w:pStyle w:val="EndNoteBibliography"/>
        <w:spacing w:after="0"/>
        <w:rPr>
          <w:rFonts w:asciiTheme="minorHAnsi" w:hAnsiTheme="minorHAnsi"/>
        </w:rPr>
      </w:pPr>
    </w:p>
    <w:p w14:paraId="2D0624F2" w14:textId="77777777" w:rsidR="00835BA6" w:rsidRPr="00835BA6" w:rsidRDefault="00835BA6" w:rsidP="00835BA6">
      <w:pPr>
        <w:pStyle w:val="EndNoteBibliography"/>
        <w:rPr>
          <w:rFonts w:asciiTheme="minorHAnsi" w:hAnsiTheme="minorHAnsi"/>
        </w:rPr>
      </w:pPr>
      <w:bookmarkStart w:id="610" w:name="_ENREF_55"/>
      <w:r w:rsidRPr="00835BA6">
        <w:rPr>
          <w:rFonts w:asciiTheme="minorHAnsi" w:hAnsiTheme="minorHAnsi"/>
        </w:rPr>
        <w:t xml:space="preserve">Paradisi, R, Macciocca, M, Vicenti, R, Rossi, S, Morselli-Labate, AM, Mastroroberto, M, Seracchioli, R &amp; Fabbri, R 2016, 'New insights in the selection and management of cancer patients applicants for ovarian tissue cryopreservation', </w:t>
      </w:r>
      <w:r w:rsidRPr="00835BA6">
        <w:rPr>
          <w:rFonts w:asciiTheme="minorHAnsi" w:hAnsiTheme="minorHAnsi"/>
          <w:i/>
        </w:rPr>
        <w:t>Gynecol Endocrinol</w:t>
      </w:r>
      <w:r w:rsidRPr="00835BA6">
        <w:rPr>
          <w:rFonts w:asciiTheme="minorHAnsi" w:hAnsiTheme="minorHAnsi"/>
        </w:rPr>
        <w:t>, vol. 32, no. 11, 2016-1-1, pp. 881-885.</w:t>
      </w:r>
    </w:p>
    <w:bookmarkEnd w:id="610"/>
    <w:p w14:paraId="0020BF8E" w14:textId="77777777" w:rsidR="00835BA6" w:rsidRPr="00835BA6" w:rsidRDefault="00835BA6" w:rsidP="00835BA6">
      <w:pPr>
        <w:pStyle w:val="EndNoteBibliography"/>
        <w:spacing w:after="0"/>
        <w:rPr>
          <w:rFonts w:asciiTheme="minorHAnsi" w:hAnsiTheme="minorHAnsi"/>
        </w:rPr>
      </w:pPr>
    </w:p>
    <w:p w14:paraId="5FCE6416" w14:textId="77777777" w:rsidR="00835BA6" w:rsidRPr="00835BA6" w:rsidRDefault="00835BA6" w:rsidP="00835BA6">
      <w:pPr>
        <w:pStyle w:val="EndNoteBibliography"/>
        <w:rPr>
          <w:rFonts w:asciiTheme="minorHAnsi" w:hAnsiTheme="minorHAnsi"/>
        </w:rPr>
      </w:pPr>
      <w:bookmarkStart w:id="611" w:name="_ENREF_56"/>
      <w:r w:rsidRPr="00835BA6">
        <w:rPr>
          <w:rFonts w:asciiTheme="minorHAnsi" w:hAnsiTheme="minorHAnsi"/>
        </w:rPr>
        <w:t xml:space="preserve">Partridge, AH, Ruddy, KJ, Gelber, S, Schapira, L, Abusief, M, Meyer, M &amp; Ginsburg, E 2010, 'Ovarian reserve in women who remain premenopausal after chemotherapy for early stage breast cancer', </w:t>
      </w:r>
      <w:r w:rsidRPr="00835BA6">
        <w:rPr>
          <w:rFonts w:asciiTheme="minorHAnsi" w:hAnsiTheme="minorHAnsi"/>
          <w:i/>
        </w:rPr>
        <w:t>Fertility and Sterility</w:t>
      </w:r>
      <w:r w:rsidRPr="00835BA6">
        <w:rPr>
          <w:rFonts w:asciiTheme="minorHAnsi" w:hAnsiTheme="minorHAnsi"/>
        </w:rPr>
        <w:t>, vol. 94, no. 2, 2010-1-1, pp. 638-644.</w:t>
      </w:r>
    </w:p>
    <w:bookmarkEnd w:id="611"/>
    <w:p w14:paraId="0ABEEE2D" w14:textId="77777777" w:rsidR="00835BA6" w:rsidRPr="00835BA6" w:rsidRDefault="00835BA6" w:rsidP="00835BA6">
      <w:pPr>
        <w:pStyle w:val="EndNoteBibliography"/>
        <w:spacing w:after="0"/>
        <w:rPr>
          <w:rFonts w:asciiTheme="minorHAnsi" w:hAnsiTheme="minorHAnsi"/>
        </w:rPr>
      </w:pPr>
    </w:p>
    <w:p w14:paraId="5737B5A9" w14:textId="77777777" w:rsidR="00835BA6" w:rsidRPr="00835BA6" w:rsidRDefault="00835BA6" w:rsidP="00835BA6">
      <w:pPr>
        <w:pStyle w:val="EndNoteBibliography"/>
        <w:rPr>
          <w:rFonts w:asciiTheme="minorHAnsi" w:hAnsiTheme="minorHAnsi"/>
        </w:rPr>
      </w:pPr>
      <w:bookmarkStart w:id="612" w:name="_ENREF_57"/>
      <w:r w:rsidRPr="00835BA6">
        <w:rPr>
          <w:rFonts w:asciiTheme="minorHAnsi" w:hAnsiTheme="minorHAnsi"/>
        </w:rPr>
        <w:t xml:space="preserve">Pup, LD, Zanet, E, Rupolo, M, Talamini, R, Tirelli, U, Mazzucato, M, Steffan, A, Zanussi, S, Doretto, P &amp; Michieli, M 2014, 'Which tools may help physicians in female fertility prediction after autologous bone marrow transplantation for lymphoma? A pilot study', </w:t>
      </w:r>
      <w:r w:rsidRPr="00835BA6">
        <w:rPr>
          <w:rFonts w:asciiTheme="minorHAnsi" w:hAnsiTheme="minorHAnsi"/>
          <w:i/>
        </w:rPr>
        <w:t>J Chemother</w:t>
      </w:r>
      <w:r w:rsidRPr="00835BA6">
        <w:rPr>
          <w:rFonts w:asciiTheme="minorHAnsi" w:hAnsiTheme="minorHAnsi"/>
        </w:rPr>
        <w:t>, vol. 26, no. 5, 2014-1-1, pp. 293-299.</w:t>
      </w:r>
    </w:p>
    <w:bookmarkEnd w:id="612"/>
    <w:p w14:paraId="4C0582AE" w14:textId="77777777" w:rsidR="00835BA6" w:rsidRPr="00835BA6" w:rsidRDefault="00835BA6" w:rsidP="00835BA6">
      <w:pPr>
        <w:pStyle w:val="EndNoteBibliography"/>
        <w:spacing w:after="0"/>
        <w:rPr>
          <w:rFonts w:asciiTheme="minorHAnsi" w:hAnsiTheme="minorHAnsi"/>
        </w:rPr>
      </w:pPr>
    </w:p>
    <w:p w14:paraId="7F350950" w14:textId="77777777" w:rsidR="00835BA6" w:rsidRPr="00835BA6" w:rsidRDefault="00835BA6" w:rsidP="00835BA6">
      <w:pPr>
        <w:pStyle w:val="EndNoteBibliography"/>
        <w:rPr>
          <w:rFonts w:asciiTheme="minorHAnsi" w:hAnsiTheme="minorHAnsi"/>
        </w:rPr>
      </w:pPr>
      <w:bookmarkStart w:id="613" w:name="_ENREF_58"/>
      <w:r w:rsidRPr="00835BA6">
        <w:rPr>
          <w:rFonts w:asciiTheme="minorHAnsi" w:hAnsiTheme="minorHAnsi"/>
        </w:rPr>
        <w:t xml:space="preserve">Roberts, J, Ronn, R, Tallon, N &amp; Holzer, H 2015, 'Fertility preservation in reproductive-age women facing gonadotoxic treatments', </w:t>
      </w:r>
      <w:r w:rsidRPr="00835BA6">
        <w:rPr>
          <w:rFonts w:asciiTheme="minorHAnsi" w:hAnsiTheme="minorHAnsi"/>
          <w:i/>
        </w:rPr>
        <w:t>Curr Oncol</w:t>
      </w:r>
      <w:r w:rsidRPr="00835BA6">
        <w:rPr>
          <w:rFonts w:asciiTheme="minorHAnsi" w:hAnsiTheme="minorHAnsi"/>
        </w:rPr>
        <w:t>, vol. 22, no. 4, Aug, pp. e294-304.</w:t>
      </w:r>
    </w:p>
    <w:bookmarkEnd w:id="613"/>
    <w:p w14:paraId="67A8E062" w14:textId="77777777" w:rsidR="00835BA6" w:rsidRPr="00835BA6" w:rsidRDefault="00835BA6" w:rsidP="00835BA6">
      <w:pPr>
        <w:pStyle w:val="EndNoteBibliography"/>
        <w:spacing w:after="0"/>
        <w:rPr>
          <w:rFonts w:asciiTheme="minorHAnsi" w:hAnsiTheme="minorHAnsi"/>
        </w:rPr>
      </w:pPr>
    </w:p>
    <w:p w14:paraId="1934883E" w14:textId="3991BE5B" w:rsidR="00835BA6" w:rsidRPr="00835BA6" w:rsidRDefault="00835BA6" w:rsidP="00835BA6">
      <w:pPr>
        <w:pStyle w:val="EndNoteBibliography"/>
        <w:rPr>
          <w:rFonts w:asciiTheme="minorHAnsi" w:hAnsiTheme="minorHAnsi"/>
        </w:rPr>
      </w:pPr>
      <w:bookmarkStart w:id="614" w:name="_ENREF_59"/>
      <w:r w:rsidRPr="00835BA6">
        <w:rPr>
          <w:rFonts w:asciiTheme="minorHAnsi" w:hAnsiTheme="minorHAnsi"/>
        </w:rPr>
        <w:t>Ruddy, K, O'Neill, A, Miller, K, Schneider, B, Baker, E, Sparano, J, Dang, C, Northfelt, D, Sledge, G &amp; Partridge, A 2014, 'Biomarker prediction of chemotherapy-related amenorrhea in premenopausal women with breast cancer participating in E5103', vol. 144, no. 3, pp. 591-597, viewed 2014-1-1, &lt;</w:t>
      </w:r>
      <w:hyperlink r:id="rId112" w:tooltip="Link to article" w:history="1">
        <w:r w:rsidRPr="00835BA6">
          <w:rPr>
            <w:rStyle w:val="Hyperlink"/>
            <w:rFonts w:asciiTheme="minorHAnsi" w:hAnsiTheme="minorHAnsi"/>
          </w:rPr>
          <w:t>http://onlinelibrary.wiley.com/o/cochrane/clcentral/articles/585/CN-00988585/frame.html</w:t>
        </w:r>
      </w:hyperlink>
      <w:r w:rsidR="00B03DE3">
        <w:rPr>
          <w:rFonts w:asciiTheme="minorHAnsi" w:hAnsiTheme="minorHAnsi"/>
        </w:rPr>
        <w:t>/</w:t>
      </w:r>
      <w:hyperlink r:id="rId113" w:history="1">
        <w:r w:rsidRPr="00835BA6">
          <w:rPr>
            <w:rStyle w:val="Hyperlink"/>
            <w:rFonts w:asciiTheme="minorHAnsi" w:hAnsiTheme="minorHAnsi"/>
          </w:rPr>
          <w:t>https://link.springer.com/content/pdf/10.1007%2Fs10549-014-2891-0.pdf</w:t>
        </w:r>
      </w:hyperlink>
      <w:r w:rsidR="00177003">
        <w:rPr>
          <w:rFonts w:asciiTheme="minorHAnsi" w:hAnsiTheme="minorHAnsi"/>
        </w:rPr>
        <w:t>&gt;.</w:t>
      </w:r>
    </w:p>
    <w:bookmarkEnd w:id="614"/>
    <w:p w14:paraId="40989D58" w14:textId="77777777" w:rsidR="00835BA6" w:rsidRPr="00835BA6" w:rsidRDefault="00835BA6" w:rsidP="00835BA6">
      <w:pPr>
        <w:pStyle w:val="EndNoteBibliography"/>
        <w:spacing w:after="0"/>
        <w:rPr>
          <w:rFonts w:asciiTheme="minorHAnsi" w:hAnsiTheme="minorHAnsi"/>
        </w:rPr>
      </w:pPr>
    </w:p>
    <w:p w14:paraId="274BB957" w14:textId="1F3BEFBD" w:rsidR="00835BA6" w:rsidRPr="00835BA6" w:rsidRDefault="00835BA6" w:rsidP="00835BA6">
      <w:pPr>
        <w:pStyle w:val="EndNoteBibliography"/>
        <w:rPr>
          <w:rFonts w:asciiTheme="minorHAnsi" w:hAnsiTheme="minorHAnsi"/>
        </w:rPr>
      </w:pPr>
      <w:bookmarkStart w:id="615" w:name="_ENREF_60"/>
      <w:r w:rsidRPr="00835BA6">
        <w:rPr>
          <w:rFonts w:asciiTheme="minorHAnsi" w:hAnsiTheme="minorHAnsi"/>
        </w:rPr>
        <w:t xml:space="preserve">Somigliana, E,, B, a, N, Benaglia, L, Viganò, P, Vercellini, P &amp; Fedele, L 2012, 'Surgical excision of endometriomas and ovarian reserve: A systematic review on serum antimüllerian hormone level modifications', </w:t>
      </w:r>
      <w:r w:rsidRPr="00835BA6">
        <w:rPr>
          <w:rFonts w:asciiTheme="minorHAnsi" w:hAnsiTheme="minorHAnsi"/>
          <w:i/>
        </w:rPr>
        <w:t>Fertility and Sterility</w:t>
      </w:r>
      <w:r w:rsidRPr="00835BA6">
        <w:rPr>
          <w:rFonts w:asciiTheme="minorHAnsi" w:hAnsiTheme="minorHAnsi"/>
        </w:rPr>
        <w:t>, vol. 98, no. 6, 2012-1-1, pp. 1531-1538.</w:t>
      </w:r>
    </w:p>
    <w:bookmarkEnd w:id="615"/>
    <w:p w14:paraId="14158107" w14:textId="77777777" w:rsidR="00835BA6" w:rsidRPr="00835BA6" w:rsidRDefault="00835BA6" w:rsidP="00835BA6">
      <w:pPr>
        <w:pStyle w:val="EndNoteBibliography"/>
        <w:spacing w:after="0"/>
        <w:rPr>
          <w:rFonts w:asciiTheme="minorHAnsi" w:hAnsiTheme="minorHAnsi"/>
        </w:rPr>
      </w:pPr>
    </w:p>
    <w:p w14:paraId="59C3833B" w14:textId="77777777" w:rsidR="00835BA6" w:rsidRPr="00835BA6" w:rsidRDefault="00835BA6" w:rsidP="00835BA6">
      <w:pPr>
        <w:pStyle w:val="EndNoteBibliography"/>
        <w:rPr>
          <w:rFonts w:asciiTheme="minorHAnsi" w:hAnsiTheme="minorHAnsi"/>
        </w:rPr>
      </w:pPr>
      <w:bookmarkStart w:id="616" w:name="_ENREF_61"/>
      <w:r w:rsidRPr="00835BA6">
        <w:rPr>
          <w:rFonts w:asciiTheme="minorHAnsi" w:hAnsiTheme="minorHAnsi"/>
        </w:rPr>
        <w:t xml:space="preserve">Sonigo, C, Simon, C, Boubaya, M, Benoit, A, Sifer, C, Sermondade, N &amp; Grynberg, M 2016, 'What threshold values of antral follicle count and serum AMH levels should be considered for oocyte cryopreservation after in vitro maturation?', </w:t>
      </w:r>
      <w:r w:rsidRPr="00835BA6">
        <w:rPr>
          <w:rFonts w:asciiTheme="minorHAnsi" w:hAnsiTheme="minorHAnsi"/>
          <w:i/>
        </w:rPr>
        <w:t>Hum Reprod</w:t>
      </w:r>
      <w:r w:rsidRPr="00835BA6">
        <w:rPr>
          <w:rFonts w:asciiTheme="minorHAnsi" w:hAnsiTheme="minorHAnsi"/>
        </w:rPr>
        <w:t>, vol. 31, no. 7, 2016-1-1, pp. 1493-1500.</w:t>
      </w:r>
    </w:p>
    <w:bookmarkEnd w:id="616"/>
    <w:p w14:paraId="3D76C910" w14:textId="77777777" w:rsidR="00835BA6" w:rsidRPr="00835BA6" w:rsidRDefault="00835BA6" w:rsidP="00835BA6">
      <w:pPr>
        <w:pStyle w:val="EndNoteBibliography"/>
        <w:spacing w:after="0"/>
        <w:rPr>
          <w:rFonts w:asciiTheme="minorHAnsi" w:hAnsiTheme="minorHAnsi"/>
        </w:rPr>
      </w:pPr>
    </w:p>
    <w:p w14:paraId="42FCF935" w14:textId="77777777" w:rsidR="00835BA6" w:rsidRPr="00835BA6" w:rsidRDefault="00835BA6" w:rsidP="00835BA6">
      <w:pPr>
        <w:pStyle w:val="EndNoteBibliography"/>
        <w:rPr>
          <w:rFonts w:asciiTheme="minorHAnsi" w:hAnsiTheme="minorHAnsi"/>
        </w:rPr>
      </w:pPr>
      <w:bookmarkStart w:id="617" w:name="_ENREF_62"/>
      <w:r w:rsidRPr="00835BA6">
        <w:rPr>
          <w:rFonts w:asciiTheme="minorHAnsi" w:hAnsiTheme="minorHAnsi"/>
        </w:rPr>
        <w:lastRenderedPageBreak/>
        <w:t xml:space="preserve">Stochino-Loi, E, Darwish, B, Mircea, O, Touleimat, S, Millochau, JC, Abo, C, Angioni, S &amp; Roman, H 2017, 'Does preoperative antimullerian hormone level influence postoperative pregnancy rate in women undergoing surgery for severe endometriosis?', </w:t>
      </w:r>
      <w:r w:rsidRPr="00835BA6">
        <w:rPr>
          <w:rFonts w:asciiTheme="minorHAnsi" w:hAnsiTheme="minorHAnsi"/>
          <w:i/>
        </w:rPr>
        <w:t>Fertil Steril</w:t>
      </w:r>
      <w:r w:rsidRPr="00835BA6">
        <w:rPr>
          <w:rFonts w:asciiTheme="minorHAnsi" w:hAnsiTheme="minorHAnsi"/>
        </w:rPr>
        <w:t>, vol. 107, no. 3, 2017-1-1, pp. 707-713 e703.</w:t>
      </w:r>
    </w:p>
    <w:bookmarkEnd w:id="617"/>
    <w:p w14:paraId="2DAA2E12" w14:textId="77777777" w:rsidR="00835BA6" w:rsidRPr="00835BA6" w:rsidRDefault="00835BA6" w:rsidP="00835BA6">
      <w:pPr>
        <w:pStyle w:val="EndNoteBibliography"/>
        <w:spacing w:after="0"/>
        <w:rPr>
          <w:rFonts w:asciiTheme="minorHAnsi" w:hAnsiTheme="minorHAnsi"/>
        </w:rPr>
      </w:pPr>
    </w:p>
    <w:p w14:paraId="6BF1F1FD" w14:textId="77777777" w:rsidR="00835BA6" w:rsidRPr="00835BA6" w:rsidRDefault="00835BA6" w:rsidP="00835BA6">
      <w:pPr>
        <w:pStyle w:val="EndNoteBibliography"/>
        <w:rPr>
          <w:rFonts w:asciiTheme="minorHAnsi" w:hAnsiTheme="minorHAnsi"/>
        </w:rPr>
      </w:pPr>
      <w:bookmarkStart w:id="618" w:name="_ENREF_63"/>
      <w:r w:rsidRPr="00835BA6">
        <w:rPr>
          <w:rFonts w:asciiTheme="minorHAnsi" w:hAnsiTheme="minorHAnsi"/>
        </w:rPr>
        <w:t xml:space="preserve">Su, HC, Haunschild, C, Chung, K, Komrokian, S, Boles, S, Sammel, MD &amp; DeMichele, A 2014, 'Prechemotherapy antimullerian hormone, age, and body size predict timing of return of ovarian function in young breast cancer patients', </w:t>
      </w:r>
      <w:r w:rsidRPr="00835BA6">
        <w:rPr>
          <w:rFonts w:asciiTheme="minorHAnsi" w:hAnsiTheme="minorHAnsi"/>
          <w:i/>
        </w:rPr>
        <w:t>Cancer</w:t>
      </w:r>
      <w:r w:rsidRPr="00835BA6">
        <w:rPr>
          <w:rFonts w:asciiTheme="minorHAnsi" w:hAnsiTheme="minorHAnsi"/>
        </w:rPr>
        <w:t>, vol. 120, no. 23, 2014-1-1, pp. 3691-3698.</w:t>
      </w:r>
    </w:p>
    <w:bookmarkEnd w:id="618"/>
    <w:p w14:paraId="3A4F03EF" w14:textId="77777777" w:rsidR="00835BA6" w:rsidRPr="00835BA6" w:rsidRDefault="00835BA6" w:rsidP="00835BA6">
      <w:pPr>
        <w:pStyle w:val="EndNoteBibliography"/>
        <w:spacing w:after="0"/>
        <w:rPr>
          <w:rFonts w:asciiTheme="minorHAnsi" w:hAnsiTheme="minorHAnsi"/>
        </w:rPr>
      </w:pPr>
    </w:p>
    <w:p w14:paraId="104A7D2E" w14:textId="77777777" w:rsidR="00835BA6" w:rsidRPr="00835BA6" w:rsidRDefault="00835BA6" w:rsidP="00835BA6">
      <w:pPr>
        <w:pStyle w:val="EndNoteBibliography"/>
        <w:rPr>
          <w:rFonts w:asciiTheme="minorHAnsi" w:hAnsiTheme="minorHAnsi"/>
        </w:rPr>
      </w:pPr>
      <w:bookmarkStart w:id="619" w:name="_ENREF_64"/>
      <w:r w:rsidRPr="00835BA6">
        <w:rPr>
          <w:rFonts w:asciiTheme="minorHAnsi" w:hAnsiTheme="minorHAnsi"/>
        </w:rPr>
        <w:t xml:space="preserve">Su, HI 2010, 'Measuring ovarian function in young cancer survivors', </w:t>
      </w:r>
      <w:r w:rsidRPr="00835BA6">
        <w:rPr>
          <w:rFonts w:asciiTheme="minorHAnsi" w:hAnsiTheme="minorHAnsi"/>
          <w:i/>
        </w:rPr>
        <w:t>Minerva Endocrinologica</w:t>
      </w:r>
      <w:r w:rsidRPr="00835BA6">
        <w:rPr>
          <w:rFonts w:asciiTheme="minorHAnsi" w:hAnsiTheme="minorHAnsi"/>
        </w:rPr>
        <w:t>, vol. 35, no. 4, 2010-1-1, pp. 259-270.</w:t>
      </w:r>
    </w:p>
    <w:bookmarkEnd w:id="619"/>
    <w:p w14:paraId="6939158F" w14:textId="77777777" w:rsidR="00835BA6" w:rsidRPr="00835BA6" w:rsidRDefault="00835BA6" w:rsidP="00835BA6">
      <w:pPr>
        <w:pStyle w:val="EndNoteBibliography"/>
        <w:spacing w:after="0"/>
        <w:rPr>
          <w:rFonts w:asciiTheme="minorHAnsi" w:hAnsiTheme="minorHAnsi"/>
        </w:rPr>
      </w:pPr>
    </w:p>
    <w:p w14:paraId="7F055F48" w14:textId="77777777" w:rsidR="00835BA6" w:rsidRPr="00835BA6" w:rsidRDefault="00835BA6" w:rsidP="00835BA6">
      <w:pPr>
        <w:pStyle w:val="EndNoteBibliography"/>
        <w:rPr>
          <w:rFonts w:asciiTheme="minorHAnsi" w:hAnsiTheme="minorHAnsi"/>
        </w:rPr>
      </w:pPr>
      <w:bookmarkStart w:id="620" w:name="_ENREF_65"/>
      <w:r w:rsidRPr="00835BA6">
        <w:rPr>
          <w:rFonts w:asciiTheme="minorHAnsi" w:hAnsiTheme="minorHAnsi"/>
        </w:rPr>
        <w:t xml:space="preserve">Su, HI, Chung, K, Sammel, MD, Gracia, CR &amp; DeMichele, A 2011, 'Antral follicle count provides additive information to hormone measures for determining ovarian function in breast cancer survivors', </w:t>
      </w:r>
      <w:r w:rsidRPr="00835BA6">
        <w:rPr>
          <w:rFonts w:asciiTheme="minorHAnsi" w:hAnsiTheme="minorHAnsi"/>
          <w:i/>
        </w:rPr>
        <w:t>Fertil Steril</w:t>
      </w:r>
      <w:r w:rsidRPr="00835BA6">
        <w:rPr>
          <w:rFonts w:asciiTheme="minorHAnsi" w:hAnsiTheme="minorHAnsi"/>
        </w:rPr>
        <w:t>, vol. 95, no. 5, 2011-1-1, pp. 1857-1859.</w:t>
      </w:r>
    </w:p>
    <w:bookmarkEnd w:id="620"/>
    <w:p w14:paraId="0DAE18D4" w14:textId="77777777" w:rsidR="00835BA6" w:rsidRPr="00835BA6" w:rsidRDefault="00835BA6" w:rsidP="00835BA6">
      <w:pPr>
        <w:pStyle w:val="EndNoteBibliography"/>
        <w:spacing w:after="0"/>
        <w:rPr>
          <w:rFonts w:asciiTheme="minorHAnsi" w:hAnsiTheme="minorHAnsi"/>
        </w:rPr>
      </w:pPr>
    </w:p>
    <w:p w14:paraId="1B1681CE" w14:textId="77777777" w:rsidR="00835BA6" w:rsidRPr="00835BA6" w:rsidRDefault="00835BA6" w:rsidP="00835BA6">
      <w:pPr>
        <w:pStyle w:val="EndNoteBibliography"/>
        <w:rPr>
          <w:rFonts w:asciiTheme="minorHAnsi" w:hAnsiTheme="minorHAnsi"/>
        </w:rPr>
      </w:pPr>
      <w:bookmarkStart w:id="621" w:name="_ENREF_66"/>
      <w:r w:rsidRPr="00835BA6">
        <w:rPr>
          <w:rFonts w:asciiTheme="minorHAnsi" w:hAnsiTheme="minorHAnsi"/>
        </w:rPr>
        <w:t xml:space="preserve">Su, HI, Sammel, MD, Green, J, Velders, L, Stankiewicz, C, Matro, J, Freeman, EW, Gracia, CR &amp; DeMichele, A 2010, 'Antimullerian hormone and inhibin B are hormone measures of ovarian function in late reproductive-aged breast cancer survivors', </w:t>
      </w:r>
      <w:r w:rsidRPr="00835BA6">
        <w:rPr>
          <w:rFonts w:asciiTheme="minorHAnsi" w:hAnsiTheme="minorHAnsi"/>
          <w:i/>
        </w:rPr>
        <w:t>Cancer</w:t>
      </w:r>
      <w:r w:rsidRPr="00835BA6">
        <w:rPr>
          <w:rFonts w:asciiTheme="minorHAnsi" w:hAnsiTheme="minorHAnsi"/>
        </w:rPr>
        <w:t>, vol. 116, no. 3, 2010-1-1, pp. 592-599.</w:t>
      </w:r>
    </w:p>
    <w:bookmarkEnd w:id="621"/>
    <w:p w14:paraId="12DFFD78" w14:textId="77777777" w:rsidR="00835BA6" w:rsidRPr="00835BA6" w:rsidRDefault="00835BA6" w:rsidP="00835BA6">
      <w:pPr>
        <w:pStyle w:val="EndNoteBibliography"/>
        <w:spacing w:after="0"/>
        <w:rPr>
          <w:rFonts w:asciiTheme="minorHAnsi" w:hAnsiTheme="minorHAnsi"/>
        </w:rPr>
      </w:pPr>
    </w:p>
    <w:p w14:paraId="6C12222F" w14:textId="77777777" w:rsidR="00835BA6" w:rsidRPr="00835BA6" w:rsidRDefault="00835BA6" w:rsidP="00835BA6">
      <w:pPr>
        <w:pStyle w:val="EndNoteBibliography"/>
        <w:rPr>
          <w:rFonts w:asciiTheme="minorHAnsi" w:hAnsiTheme="minorHAnsi"/>
        </w:rPr>
      </w:pPr>
      <w:bookmarkStart w:id="622" w:name="_ENREF_67"/>
      <w:r w:rsidRPr="00835BA6">
        <w:rPr>
          <w:rFonts w:asciiTheme="minorHAnsi" w:hAnsiTheme="minorHAnsi"/>
        </w:rPr>
        <w:t xml:space="preserve">Su, HI, Sammel, MD, Homer, MV, Bui, K, Haunschild, C &amp; Stanczyk, FZ 2014, 'Comparability of antimullerian hormone levels among commercially available immunoassays', </w:t>
      </w:r>
      <w:r w:rsidRPr="00835BA6">
        <w:rPr>
          <w:rFonts w:asciiTheme="minorHAnsi" w:hAnsiTheme="minorHAnsi"/>
          <w:i/>
        </w:rPr>
        <w:t>Fertility and Sterility</w:t>
      </w:r>
      <w:r w:rsidRPr="00835BA6">
        <w:rPr>
          <w:rFonts w:asciiTheme="minorHAnsi" w:hAnsiTheme="minorHAnsi"/>
        </w:rPr>
        <w:t>, vol. 101, no. 6, 2014-1-1, pp. 1766-U1352.</w:t>
      </w:r>
    </w:p>
    <w:bookmarkEnd w:id="622"/>
    <w:p w14:paraId="05D9AC3C" w14:textId="77777777" w:rsidR="00835BA6" w:rsidRPr="00835BA6" w:rsidRDefault="00835BA6" w:rsidP="00835BA6">
      <w:pPr>
        <w:pStyle w:val="EndNoteBibliography"/>
        <w:spacing w:after="0"/>
        <w:rPr>
          <w:rFonts w:asciiTheme="minorHAnsi" w:hAnsiTheme="minorHAnsi"/>
        </w:rPr>
      </w:pPr>
    </w:p>
    <w:p w14:paraId="60E73338" w14:textId="77777777" w:rsidR="00835BA6" w:rsidRPr="00835BA6" w:rsidRDefault="00835BA6" w:rsidP="00835BA6">
      <w:pPr>
        <w:pStyle w:val="EndNoteBibliography"/>
        <w:rPr>
          <w:rFonts w:asciiTheme="minorHAnsi" w:hAnsiTheme="minorHAnsi"/>
        </w:rPr>
      </w:pPr>
      <w:bookmarkStart w:id="623" w:name="_ENREF_68"/>
      <w:r w:rsidRPr="00835BA6">
        <w:rPr>
          <w:rFonts w:asciiTheme="minorHAnsi" w:hAnsiTheme="minorHAnsi"/>
        </w:rPr>
        <w:t xml:space="preserve">Takae, S, Sugishita, Y, Yoshioka, N, Hoshina, M, Horage, Y, Sato, Y, Nishijima, C, Kawamura, K &amp; Suzuki, N 2015, 'The role of menstrual cycle phase and AMH levels in breast cancer patients whose ovarian tissue was cryopreserved for oncofertility treatment', </w:t>
      </w:r>
      <w:r w:rsidRPr="00835BA6">
        <w:rPr>
          <w:rFonts w:asciiTheme="minorHAnsi" w:hAnsiTheme="minorHAnsi"/>
          <w:i/>
        </w:rPr>
        <w:t>J Assist Reprod Genet</w:t>
      </w:r>
      <w:r w:rsidRPr="00835BA6">
        <w:rPr>
          <w:rFonts w:asciiTheme="minorHAnsi" w:hAnsiTheme="minorHAnsi"/>
        </w:rPr>
        <w:t>, vol. 32, no. 2, 2015-1-1, pp. 305-312.</w:t>
      </w:r>
    </w:p>
    <w:bookmarkEnd w:id="623"/>
    <w:p w14:paraId="6F0A6CC4" w14:textId="77777777" w:rsidR="00835BA6" w:rsidRPr="00835BA6" w:rsidRDefault="00835BA6" w:rsidP="00835BA6">
      <w:pPr>
        <w:pStyle w:val="EndNoteBibliography"/>
        <w:spacing w:after="0"/>
        <w:rPr>
          <w:rFonts w:asciiTheme="minorHAnsi" w:hAnsiTheme="minorHAnsi"/>
        </w:rPr>
      </w:pPr>
    </w:p>
    <w:p w14:paraId="51C5BA3D" w14:textId="77777777" w:rsidR="00835BA6" w:rsidRPr="00835BA6" w:rsidRDefault="00835BA6" w:rsidP="00835BA6">
      <w:pPr>
        <w:pStyle w:val="EndNoteBibliography"/>
        <w:rPr>
          <w:rFonts w:asciiTheme="minorHAnsi" w:hAnsiTheme="minorHAnsi"/>
        </w:rPr>
      </w:pPr>
      <w:bookmarkStart w:id="624" w:name="_ENREF_69"/>
      <w:r w:rsidRPr="00835BA6">
        <w:rPr>
          <w:rFonts w:asciiTheme="minorHAnsi" w:hAnsiTheme="minorHAnsi"/>
        </w:rPr>
        <w:t xml:space="preserve">Taniguchi, F, Sakamoto, Y, Yabuta, Y, Azuma, Y, Hirakawa, E, Nagira, K, Uegaki, T, Deura, I, Hata, K &amp; Harada, T 2016, 'Analysis of pregnancy outcome and decline of anti-Müllerian hormone after laparoscopic cystectomy for ovarian endometriomas', </w:t>
      </w:r>
      <w:r w:rsidRPr="00835BA6">
        <w:rPr>
          <w:rFonts w:asciiTheme="minorHAnsi" w:hAnsiTheme="minorHAnsi"/>
          <w:i/>
        </w:rPr>
        <w:t>Journal of Obstetrics and Gynaecology Research</w:t>
      </w:r>
      <w:r w:rsidRPr="00835BA6">
        <w:rPr>
          <w:rFonts w:asciiTheme="minorHAnsi" w:hAnsiTheme="minorHAnsi"/>
        </w:rPr>
        <w:t>, vol. 42, no. 11, 2016-1-1, pp. 1534-1540.</w:t>
      </w:r>
    </w:p>
    <w:bookmarkEnd w:id="624"/>
    <w:p w14:paraId="297D4B1D" w14:textId="77777777" w:rsidR="00835BA6" w:rsidRPr="00835BA6" w:rsidRDefault="00835BA6" w:rsidP="00835BA6">
      <w:pPr>
        <w:pStyle w:val="EndNoteBibliography"/>
        <w:spacing w:after="0"/>
        <w:rPr>
          <w:rFonts w:asciiTheme="minorHAnsi" w:hAnsiTheme="minorHAnsi"/>
        </w:rPr>
      </w:pPr>
    </w:p>
    <w:p w14:paraId="474274C3" w14:textId="77777777" w:rsidR="00835BA6" w:rsidRPr="00835BA6" w:rsidRDefault="00835BA6" w:rsidP="00835BA6">
      <w:pPr>
        <w:pStyle w:val="EndNoteBibliography"/>
        <w:rPr>
          <w:rFonts w:asciiTheme="minorHAnsi" w:hAnsiTheme="minorHAnsi"/>
        </w:rPr>
      </w:pPr>
      <w:bookmarkStart w:id="625" w:name="_ENREF_70"/>
      <w:r w:rsidRPr="00835BA6">
        <w:rPr>
          <w:rFonts w:asciiTheme="minorHAnsi" w:hAnsiTheme="minorHAnsi"/>
        </w:rPr>
        <w:t xml:space="preserve">Tobler, KJ, Shoham, G, Christianson, MS, Zhao, Y, Leong, M &amp; Shoham, Z 2015, 'Use of anti-mullerian hormone for testing ovarian reserve: a survey of 796 infertility clinics worldwide', </w:t>
      </w:r>
      <w:r w:rsidRPr="00835BA6">
        <w:rPr>
          <w:rFonts w:asciiTheme="minorHAnsi" w:hAnsiTheme="minorHAnsi"/>
          <w:i/>
        </w:rPr>
        <w:t>J Assist Reprod Genet</w:t>
      </w:r>
      <w:r w:rsidRPr="00835BA6">
        <w:rPr>
          <w:rFonts w:asciiTheme="minorHAnsi" w:hAnsiTheme="minorHAnsi"/>
        </w:rPr>
        <w:t>, vol. 32, no. 10, Oct, pp. 1441-1448.</w:t>
      </w:r>
    </w:p>
    <w:bookmarkEnd w:id="625"/>
    <w:p w14:paraId="460C4CF8" w14:textId="77777777" w:rsidR="00835BA6" w:rsidRPr="00835BA6" w:rsidRDefault="00835BA6" w:rsidP="00835BA6">
      <w:pPr>
        <w:pStyle w:val="EndNoteBibliography"/>
        <w:spacing w:after="0"/>
        <w:rPr>
          <w:rFonts w:asciiTheme="minorHAnsi" w:hAnsiTheme="minorHAnsi"/>
        </w:rPr>
      </w:pPr>
    </w:p>
    <w:p w14:paraId="50A555F8" w14:textId="77777777" w:rsidR="00835BA6" w:rsidRPr="00835BA6" w:rsidRDefault="00835BA6" w:rsidP="00835BA6">
      <w:pPr>
        <w:pStyle w:val="EndNoteBibliography"/>
        <w:rPr>
          <w:rFonts w:asciiTheme="minorHAnsi" w:hAnsiTheme="minorHAnsi"/>
        </w:rPr>
      </w:pPr>
      <w:bookmarkStart w:id="626" w:name="_ENREF_71"/>
      <w:r w:rsidRPr="00835BA6">
        <w:rPr>
          <w:rFonts w:asciiTheme="minorHAnsi" w:hAnsiTheme="minorHAnsi"/>
        </w:rPr>
        <w:t xml:space="preserve">van Beek, RD, van den Heuvel-Eibrink, MM, Laven, JSE, de Jong, FH, Themmen, APN, Hakvoort-Cammel, FG, van den Bos, C, van den Berg, H, Pieters, R &amp; Keizer-Schrama, S 2007, 'Anti-mullerian hormone is a sensitive serum marker for gonadal function in women treated for Hodgkin's </w:t>
      </w:r>
      <w:r w:rsidRPr="00835BA6">
        <w:rPr>
          <w:rFonts w:asciiTheme="minorHAnsi" w:hAnsiTheme="minorHAnsi"/>
        </w:rPr>
        <w:lastRenderedPageBreak/>
        <w:t xml:space="preserve">lymphoma during childhood', </w:t>
      </w:r>
      <w:r w:rsidRPr="00835BA6">
        <w:rPr>
          <w:rFonts w:asciiTheme="minorHAnsi" w:hAnsiTheme="minorHAnsi"/>
          <w:i/>
        </w:rPr>
        <w:t>Journal of Clinical Endocrinology &amp; Metabolism</w:t>
      </w:r>
      <w:r w:rsidRPr="00835BA6">
        <w:rPr>
          <w:rFonts w:asciiTheme="minorHAnsi" w:hAnsiTheme="minorHAnsi"/>
        </w:rPr>
        <w:t>, vol. 92, no. 10, 2007-1-1, pp. 3869-3874.</w:t>
      </w:r>
    </w:p>
    <w:bookmarkEnd w:id="626"/>
    <w:p w14:paraId="386F3331" w14:textId="77777777" w:rsidR="00835BA6" w:rsidRPr="00835BA6" w:rsidRDefault="00835BA6" w:rsidP="00835BA6">
      <w:pPr>
        <w:pStyle w:val="EndNoteBibliography"/>
        <w:spacing w:after="0"/>
        <w:rPr>
          <w:rFonts w:asciiTheme="minorHAnsi" w:hAnsiTheme="minorHAnsi"/>
        </w:rPr>
      </w:pPr>
    </w:p>
    <w:p w14:paraId="378E13EE" w14:textId="77777777" w:rsidR="00835BA6" w:rsidRPr="00835BA6" w:rsidRDefault="00835BA6" w:rsidP="00835BA6">
      <w:pPr>
        <w:pStyle w:val="EndNoteBibliography"/>
        <w:rPr>
          <w:rFonts w:asciiTheme="minorHAnsi" w:hAnsiTheme="minorHAnsi"/>
        </w:rPr>
      </w:pPr>
      <w:bookmarkStart w:id="627" w:name="_ENREF_72"/>
      <w:r w:rsidRPr="00835BA6">
        <w:rPr>
          <w:rFonts w:asciiTheme="minorHAnsi" w:hAnsiTheme="minorHAnsi"/>
        </w:rPr>
        <w:t xml:space="preserve">van der Kooi, ALF, van den Heuvel-Eibrink, MM, van Noortwijk, A, Neggers, S, Pluijm, SMF, vAn Dulmen-den Broeder, E, van Dorp, W &amp; Laven, JSE 2017, 'Longitudinal follow-up in female Childhood Cancer Survivors: no signs of accelerated ovarian function loss', </w:t>
      </w:r>
      <w:r w:rsidRPr="00835BA6">
        <w:rPr>
          <w:rFonts w:asciiTheme="minorHAnsi" w:hAnsiTheme="minorHAnsi"/>
          <w:i/>
        </w:rPr>
        <w:t>Human Reproduction</w:t>
      </w:r>
      <w:r w:rsidRPr="00835BA6">
        <w:rPr>
          <w:rFonts w:asciiTheme="minorHAnsi" w:hAnsiTheme="minorHAnsi"/>
        </w:rPr>
        <w:t>, vol. 32, no. 1, 2017-1-1, pp. 193-200.</w:t>
      </w:r>
    </w:p>
    <w:bookmarkEnd w:id="627"/>
    <w:p w14:paraId="5B9160EC" w14:textId="77777777" w:rsidR="00835BA6" w:rsidRPr="00835BA6" w:rsidRDefault="00835BA6" w:rsidP="00835BA6">
      <w:pPr>
        <w:pStyle w:val="EndNoteBibliography"/>
        <w:spacing w:after="0"/>
        <w:rPr>
          <w:rFonts w:asciiTheme="minorHAnsi" w:hAnsiTheme="minorHAnsi"/>
        </w:rPr>
      </w:pPr>
    </w:p>
    <w:p w14:paraId="44CDDE57" w14:textId="77777777" w:rsidR="00835BA6" w:rsidRPr="00835BA6" w:rsidRDefault="00835BA6" w:rsidP="00835BA6">
      <w:pPr>
        <w:pStyle w:val="EndNoteBibliography"/>
        <w:rPr>
          <w:rFonts w:asciiTheme="minorHAnsi" w:hAnsiTheme="minorHAnsi"/>
        </w:rPr>
      </w:pPr>
      <w:bookmarkStart w:id="628" w:name="_ENREF_73"/>
      <w:r w:rsidRPr="00835BA6">
        <w:rPr>
          <w:rFonts w:asciiTheme="minorHAnsi" w:hAnsiTheme="minorHAnsi"/>
        </w:rPr>
        <w:t xml:space="preserve">van Tilborg, TC, Oudshoorn, SC, Eijkemans, MJC, Mochtar, MH, van Golde, RJT, Hoek, A, Kuchenbecker, WKH, Fleischer, K, de Bruin, JP, Groen, H, van Wely, M, Lambalk, CB, Laven, JSE, Mol, BWJ, Broekmans, FJM, Torrance, HL &amp; group, Os 2017, 'Individualized FSH dosing based on ovarian reserve testing in women starting IVF/ICSI: a multicentre trial and cost-effectiveness analysis', </w:t>
      </w:r>
      <w:r w:rsidRPr="00835BA6">
        <w:rPr>
          <w:rFonts w:asciiTheme="minorHAnsi" w:hAnsiTheme="minorHAnsi"/>
          <w:i/>
        </w:rPr>
        <w:t>Hum Reprod</w:t>
      </w:r>
      <w:r w:rsidRPr="00835BA6">
        <w:rPr>
          <w:rFonts w:asciiTheme="minorHAnsi" w:hAnsiTheme="minorHAnsi"/>
        </w:rPr>
        <w:t>, vol. 32, no. 12, Dec 1, pp. 2485-2495.</w:t>
      </w:r>
    </w:p>
    <w:bookmarkEnd w:id="628"/>
    <w:p w14:paraId="6D95F082" w14:textId="77777777" w:rsidR="00835BA6" w:rsidRPr="00835BA6" w:rsidRDefault="00835BA6" w:rsidP="00835BA6">
      <w:pPr>
        <w:pStyle w:val="EndNoteBibliography"/>
        <w:spacing w:after="0"/>
        <w:rPr>
          <w:rFonts w:asciiTheme="minorHAnsi" w:hAnsiTheme="minorHAnsi"/>
        </w:rPr>
      </w:pPr>
    </w:p>
    <w:p w14:paraId="4134D372" w14:textId="77777777" w:rsidR="00835BA6" w:rsidRPr="00835BA6" w:rsidRDefault="00835BA6" w:rsidP="00835BA6">
      <w:pPr>
        <w:pStyle w:val="EndNoteBibliography"/>
        <w:rPr>
          <w:rFonts w:asciiTheme="minorHAnsi" w:hAnsiTheme="minorHAnsi"/>
        </w:rPr>
      </w:pPr>
      <w:bookmarkStart w:id="629" w:name="_ENREF_74"/>
      <w:r w:rsidRPr="00835BA6">
        <w:rPr>
          <w:rFonts w:asciiTheme="minorHAnsi" w:hAnsiTheme="minorHAnsi"/>
        </w:rPr>
        <w:t xml:space="preserve">Visser, JA, Schipper, I, Laven, JS &amp; Themmen, AP 2012, 'Anti-Mullerian hormone: an ovarian reserve marker in primary ovarian insufficiency', </w:t>
      </w:r>
      <w:r w:rsidRPr="00835BA6">
        <w:rPr>
          <w:rFonts w:asciiTheme="minorHAnsi" w:hAnsiTheme="minorHAnsi"/>
          <w:i/>
        </w:rPr>
        <w:t>Nat Rev Endocrinol</w:t>
      </w:r>
      <w:r w:rsidRPr="00835BA6">
        <w:rPr>
          <w:rFonts w:asciiTheme="minorHAnsi" w:hAnsiTheme="minorHAnsi"/>
        </w:rPr>
        <w:t>, vol. 8, no. 6, Jan 10, pp. 331-341.</w:t>
      </w:r>
    </w:p>
    <w:bookmarkEnd w:id="629"/>
    <w:p w14:paraId="068B8376" w14:textId="77777777" w:rsidR="00835BA6" w:rsidRPr="00835BA6" w:rsidRDefault="00835BA6" w:rsidP="00835BA6">
      <w:pPr>
        <w:pStyle w:val="EndNoteBibliography"/>
        <w:spacing w:after="0"/>
        <w:rPr>
          <w:rFonts w:asciiTheme="minorHAnsi" w:hAnsiTheme="minorHAnsi"/>
        </w:rPr>
      </w:pPr>
    </w:p>
    <w:p w14:paraId="7A4310CE" w14:textId="77777777" w:rsidR="00835BA6" w:rsidRPr="00835BA6" w:rsidRDefault="00835BA6" w:rsidP="00835BA6">
      <w:pPr>
        <w:pStyle w:val="EndNoteBibliography"/>
        <w:rPr>
          <w:rFonts w:asciiTheme="minorHAnsi" w:hAnsiTheme="minorHAnsi"/>
        </w:rPr>
      </w:pPr>
      <w:bookmarkStart w:id="630" w:name="_ENREF_75"/>
      <w:r w:rsidRPr="00835BA6">
        <w:rPr>
          <w:rFonts w:asciiTheme="minorHAnsi" w:hAnsiTheme="minorHAnsi"/>
        </w:rPr>
        <w:t xml:space="preserve">Whiting, PF, Rutjes, AW, Westwood, ME, Mallett, S, Deeks, JJ, Reitsma, JB, Leeflang, MM, Sterne, JA &amp; Bossuyt, PM 2011, 'QUADAS-2: a revised tool for the quality assessment of diagnostic accuracy studies', </w:t>
      </w:r>
      <w:r w:rsidRPr="00835BA6">
        <w:rPr>
          <w:rFonts w:asciiTheme="minorHAnsi" w:hAnsiTheme="minorHAnsi"/>
          <w:i/>
        </w:rPr>
        <w:t>Ann Intern Med</w:t>
      </w:r>
      <w:r w:rsidRPr="00835BA6">
        <w:rPr>
          <w:rFonts w:asciiTheme="minorHAnsi" w:hAnsiTheme="minorHAnsi"/>
        </w:rPr>
        <w:t>, vol. 155, no. 8, Oct 18, pp. 529-536.</w:t>
      </w:r>
    </w:p>
    <w:bookmarkEnd w:id="630"/>
    <w:p w14:paraId="6D84907B" w14:textId="77777777" w:rsidR="00835BA6" w:rsidRPr="00835BA6" w:rsidRDefault="00835BA6" w:rsidP="00835BA6">
      <w:pPr>
        <w:pStyle w:val="EndNoteBibliography"/>
        <w:spacing w:after="0"/>
        <w:rPr>
          <w:rFonts w:asciiTheme="minorHAnsi" w:hAnsiTheme="minorHAnsi"/>
        </w:rPr>
      </w:pPr>
    </w:p>
    <w:p w14:paraId="286BE8B7" w14:textId="77777777" w:rsidR="00835BA6" w:rsidRPr="00835BA6" w:rsidRDefault="00835BA6" w:rsidP="00835BA6">
      <w:pPr>
        <w:pStyle w:val="EndNoteBibliography"/>
        <w:rPr>
          <w:rFonts w:asciiTheme="minorHAnsi" w:hAnsiTheme="minorHAnsi"/>
        </w:rPr>
      </w:pPr>
      <w:bookmarkStart w:id="631" w:name="_ENREF_76"/>
      <w:r w:rsidRPr="00835BA6">
        <w:rPr>
          <w:rFonts w:asciiTheme="minorHAnsi" w:hAnsiTheme="minorHAnsi"/>
        </w:rPr>
        <w:t xml:space="preserve">Yates, AP, Roberts, SA &amp; Nardo, LG 2012, 'Anti-Mullerian hormone-tailored stimulation protocols improve outcomes whilst reducing adverse effects and costs of IVF', </w:t>
      </w:r>
      <w:r w:rsidRPr="00835BA6">
        <w:rPr>
          <w:rFonts w:asciiTheme="minorHAnsi" w:hAnsiTheme="minorHAnsi"/>
          <w:i/>
        </w:rPr>
        <w:t>Hum Reprod</w:t>
      </w:r>
      <w:r w:rsidRPr="00835BA6">
        <w:rPr>
          <w:rFonts w:asciiTheme="minorHAnsi" w:hAnsiTheme="minorHAnsi"/>
        </w:rPr>
        <w:t>, vol. 27, no. 2, Feb, p. 629.</w:t>
      </w:r>
    </w:p>
    <w:bookmarkEnd w:id="631"/>
    <w:p w14:paraId="6E261F3D" w14:textId="77777777" w:rsidR="00835BA6" w:rsidRPr="00835BA6" w:rsidRDefault="00835BA6" w:rsidP="00835BA6">
      <w:pPr>
        <w:pStyle w:val="EndNoteBibliography"/>
        <w:spacing w:after="0"/>
        <w:rPr>
          <w:rFonts w:asciiTheme="minorHAnsi" w:hAnsiTheme="minorHAnsi"/>
        </w:rPr>
      </w:pPr>
    </w:p>
    <w:p w14:paraId="539F8CE3" w14:textId="77777777" w:rsidR="00835BA6" w:rsidRPr="00835BA6" w:rsidRDefault="00835BA6" w:rsidP="00835BA6">
      <w:pPr>
        <w:pStyle w:val="EndNoteBibliography"/>
        <w:rPr>
          <w:rFonts w:asciiTheme="minorHAnsi" w:hAnsiTheme="minorHAnsi"/>
        </w:rPr>
      </w:pPr>
      <w:bookmarkStart w:id="632" w:name="_ENREF_77"/>
      <w:r w:rsidRPr="00835BA6">
        <w:rPr>
          <w:rFonts w:asciiTheme="minorHAnsi" w:hAnsiTheme="minorHAnsi"/>
        </w:rPr>
        <w:t xml:space="preserve">Yates, AP, Rustamov, O, Roberts, SA, Lim, HY, Pemberton, PW, Smith, A &amp; Nardo, LG 2011, 'Anti-Mullerian hormone-tailored stimulation protocols improve outcomes whilst reducing adverse effects and costs of IVF', </w:t>
      </w:r>
      <w:r w:rsidRPr="00835BA6">
        <w:rPr>
          <w:rFonts w:asciiTheme="minorHAnsi" w:hAnsiTheme="minorHAnsi"/>
          <w:i/>
        </w:rPr>
        <w:t>Hum Reprod</w:t>
      </w:r>
      <w:r w:rsidRPr="00835BA6">
        <w:rPr>
          <w:rFonts w:asciiTheme="minorHAnsi" w:hAnsiTheme="minorHAnsi"/>
        </w:rPr>
        <w:t>, vol. 26, no. 9, Sep, pp. 2353-2362.</w:t>
      </w:r>
    </w:p>
    <w:bookmarkEnd w:id="632"/>
    <w:p w14:paraId="5A90E785" w14:textId="77777777" w:rsidR="00835BA6" w:rsidRPr="00835BA6" w:rsidRDefault="00835BA6" w:rsidP="00835BA6">
      <w:pPr>
        <w:pStyle w:val="EndNoteBibliography"/>
        <w:spacing w:after="0"/>
        <w:rPr>
          <w:rFonts w:asciiTheme="minorHAnsi" w:hAnsiTheme="minorHAnsi"/>
        </w:rPr>
      </w:pPr>
    </w:p>
    <w:p w14:paraId="136F3151" w14:textId="77777777" w:rsidR="00835BA6" w:rsidRPr="00835BA6" w:rsidRDefault="00835BA6" w:rsidP="00835BA6">
      <w:pPr>
        <w:pStyle w:val="EndNoteBibliography"/>
        <w:rPr>
          <w:rFonts w:asciiTheme="minorHAnsi" w:hAnsiTheme="minorHAnsi"/>
        </w:rPr>
      </w:pPr>
      <w:bookmarkStart w:id="633" w:name="_ENREF_78"/>
      <w:r w:rsidRPr="00835BA6">
        <w:rPr>
          <w:rFonts w:asciiTheme="minorHAnsi" w:hAnsiTheme="minorHAnsi"/>
        </w:rPr>
        <w:t xml:space="preserve">Yu, B, Douglas, N, Ferin, MJ, Nakhuda, GS, Crew, K, Lobo, RA &amp; Hershman, DL 2010, 'Changes in markers of ovarian reserve and endocrine function in young women with breast cancer undergoing adjuvant chemotherapy', </w:t>
      </w:r>
      <w:r w:rsidRPr="00835BA6">
        <w:rPr>
          <w:rFonts w:asciiTheme="minorHAnsi" w:hAnsiTheme="minorHAnsi"/>
          <w:i/>
        </w:rPr>
        <w:t>Cancer</w:t>
      </w:r>
      <w:r w:rsidRPr="00835BA6">
        <w:rPr>
          <w:rFonts w:asciiTheme="minorHAnsi" w:hAnsiTheme="minorHAnsi"/>
        </w:rPr>
        <w:t>, vol. 116, no. 9, 2010-1-1, pp. 2099-2105.</w:t>
      </w:r>
    </w:p>
    <w:bookmarkEnd w:id="633"/>
    <w:p w14:paraId="0AB8CF00" w14:textId="77777777" w:rsidR="00835BA6" w:rsidRPr="00835BA6" w:rsidRDefault="00835BA6" w:rsidP="00835BA6">
      <w:pPr>
        <w:pStyle w:val="EndNoteBibliography"/>
      </w:pPr>
    </w:p>
    <w:p w14:paraId="64CF6738" w14:textId="2BC39F08" w:rsidR="00D44BDA" w:rsidRPr="00D414D9" w:rsidRDefault="00FC3198" w:rsidP="00DF343F">
      <w:pPr>
        <w:pStyle w:val="References"/>
        <w:ind w:left="0" w:firstLine="0"/>
        <w:jc w:val="both"/>
      </w:pPr>
      <w:r>
        <w:fldChar w:fldCharType="end"/>
      </w:r>
    </w:p>
    <w:sectPr w:rsidR="00D44BDA" w:rsidRPr="00D414D9" w:rsidSect="0080059D">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23CE9" w14:textId="77777777" w:rsidR="004D6D0A" w:rsidRDefault="004D6D0A" w:rsidP="00A23645">
      <w:r>
        <w:separator/>
      </w:r>
    </w:p>
  </w:endnote>
  <w:endnote w:type="continuationSeparator" w:id="0">
    <w:p w14:paraId="7CD9374A" w14:textId="77777777" w:rsidR="004D6D0A" w:rsidRDefault="004D6D0A"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umanist521BT-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FD8C7" w14:textId="530B2BB6" w:rsidR="004D6D0A" w:rsidRPr="00C843FF" w:rsidRDefault="004D6D0A" w:rsidP="00631D7C">
    <w:pPr>
      <w:pStyle w:val="Footer"/>
      <w:tabs>
        <w:tab w:val="clear" w:pos="9000"/>
        <w:tab w:val="right" w:pos="8931"/>
      </w:tabs>
      <w:rPr>
        <w:rStyle w:val="PageNumber"/>
        <w:rFonts w:ascii="Arial" w:hAnsi="Arial" w:cs="Arial"/>
        <w:sz w:val="20"/>
      </w:rPr>
    </w:pPr>
    <w:r>
      <w:t>Anti-M</w:t>
    </w:r>
    <w:r>
      <w:rPr>
        <w:rFonts w:cs="Arial"/>
      </w:rPr>
      <w:t>ϋ</w:t>
    </w:r>
    <w:r>
      <w:t>llerian hormone testing before or after gonadotoxic treatment – MSAC CA 1434</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AC4BE5">
      <w:rPr>
        <w:rStyle w:val="PageNumber"/>
        <w:rFonts w:ascii="Arial" w:hAnsi="Arial" w:cs="Arial"/>
        <w:noProof/>
        <w:sz w:val="20"/>
      </w:rPr>
      <w:t>16</w:t>
    </w:r>
    <w:r w:rsidRPr="00C843FF">
      <w:rPr>
        <w:rStyle w:val="PageNumber"/>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C152E" w14:textId="77777777" w:rsidR="00AC4BE5" w:rsidRPr="00F568FA" w:rsidRDefault="00AC4BE5"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t xml:space="preserve"> of </w:t>
    </w:r>
    <w:r>
      <w:rPr>
        <w:rStyle w:val="PageNumber"/>
        <w:rFonts w:ascii="Arial" w:hAnsi="Arial" w:cs="Arial"/>
        <w:b/>
        <w:noProof/>
        <w:snapToGrid w:val="0"/>
        <w:sz w:val="20"/>
        <w:lang w:eastAsia="en-US"/>
      </w:rPr>
      <w:t>188</w:t>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23D4" w14:textId="77777777" w:rsidR="004D6D0A" w:rsidRPr="00F568FA" w:rsidRDefault="004D6D0A"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AC4BE5">
      <w:rPr>
        <w:rStyle w:val="PageNumber"/>
        <w:rFonts w:ascii="Arial" w:hAnsi="Arial" w:cs="Arial"/>
        <w:b/>
        <w:noProof/>
        <w:snapToGrid w:val="0"/>
        <w:sz w:val="20"/>
        <w:lang w:eastAsia="en-US"/>
      </w:rPr>
      <w:t>188</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43D66" w14:textId="77777777" w:rsidR="004D6D0A" w:rsidRPr="00F568FA" w:rsidRDefault="004D6D0A"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AC4BE5">
      <w:rPr>
        <w:rStyle w:val="PageNumber"/>
        <w:rFonts w:ascii="Arial" w:hAnsi="Arial" w:cs="Arial"/>
        <w:b/>
        <w:noProof/>
        <w:snapToGrid w:val="0"/>
        <w:sz w:val="20"/>
        <w:lang w:eastAsia="en-US"/>
      </w:rPr>
      <w:t>188</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67DB7" w14:textId="77777777" w:rsidR="004D6D0A" w:rsidRDefault="004D6D0A">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1D978" w14:textId="77777777" w:rsidR="004D6D0A" w:rsidRDefault="004D6D0A" w:rsidP="00A23645">
      <w:r>
        <w:separator/>
      </w:r>
    </w:p>
  </w:footnote>
  <w:footnote w:type="continuationSeparator" w:id="0">
    <w:p w14:paraId="1C9BBAD8" w14:textId="77777777" w:rsidR="004D6D0A" w:rsidRDefault="004D6D0A" w:rsidP="00A23645">
      <w:r>
        <w:continuationSeparator/>
      </w:r>
    </w:p>
  </w:footnote>
  <w:footnote w:id="1">
    <w:p w14:paraId="081B3B17" w14:textId="0C019FA0" w:rsidR="004D6D0A" w:rsidRDefault="004D6D0A">
      <w:pPr>
        <w:pStyle w:val="FootnoteText"/>
      </w:pPr>
      <w:r>
        <w:rPr>
          <w:rStyle w:val="FootnoteReference"/>
        </w:rPr>
        <w:footnoteRef/>
      </w:r>
      <w:r>
        <w:t xml:space="preserve"> Population, Intervention/Investigation/Index test, Comparator, Outcomes</w:t>
      </w:r>
    </w:p>
  </w:footnote>
  <w:footnote w:id="2">
    <w:p w14:paraId="2913C972" w14:textId="39F7ED98" w:rsidR="004D6D0A" w:rsidRPr="003C2616" w:rsidRDefault="004D6D0A" w:rsidP="00DB23B2">
      <w:pPr>
        <w:pStyle w:val="PlainText"/>
        <w:rPr>
          <w:rFonts w:asciiTheme="minorHAnsi" w:hAnsiTheme="minorHAnsi"/>
        </w:rPr>
      </w:pPr>
      <w:r w:rsidRPr="003C2616">
        <w:rPr>
          <w:rStyle w:val="FootnoteReference"/>
          <w:rFonts w:asciiTheme="minorHAnsi" w:hAnsiTheme="minorHAnsi"/>
        </w:rPr>
        <w:footnoteRef/>
      </w:r>
      <w:r w:rsidRPr="003C2616">
        <w:rPr>
          <w:rFonts w:asciiTheme="minorHAnsi" w:hAnsiTheme="minorHAnsi"/>
        </w:rPr>
        <w:t xml:space="preserve"> See websites (access date: 2 November 2017): IVF Australia (</w:t>
      </w:r>
      <w:hyperlink r:id="rId1" w:tooltip="Link to website of IVF Australia" w:history="1">
        <w:r w:rsidRPr="003C2616">
          <w:rPr>
            <w:rStyle w:val="Hyperlink"/>
            <w:rFonts w:asciiTheme="minorHAnsi" w:hAnsiTheme="minorHAnsi"/>
          </w:rPr>
          <w:t>https</w:t>
        </w:r>
        <w:r w:rsidRPr="003C2616">
          <w:rPr>
            <w:rStyle w:val="Hyperlink"/>
            <w:rFonts w:asciiTheme="minorHAnsi" w:hAnsiTheme="minorHAnsi"/>
            <w:u w:val="none"/>
          </w:rPr>
          <w:t>:</w:t>
        </w:r>
        <w:r w:rsidRPr="003C2616">
          <w:rPr>
            <w:rStyle w:val="Hyperlink"/>
            <w:rFonts w:asciiTheme="minorHAnsi" w:hAnsiTheme="minorHAnsi"/>
          </w:rPr>
          <w:t>//www.ivf.com.au/ovarian-reserve-amh-test</w:t>
        </w:r>
      </w:hyperlink>
      <w:r w:rsidRPr="003C2616">
        <w:rPr>
          <w:rFonts w:asciiTheme="minorHAnsi" w:hAnsiTheme="minorHAnsi"/>
        </w:rPr>
        <w:t>), $80; Fertility North (</w:t>
      </w:r>
      <w:hyperlink r:id="rId2" w:tooltip="Link to Fertility North Website" w:history="1">
        <w:r w:rsidRPr="003C2616">
          <w:rPr>
            <w:rStyle w:val="Hyperlink"/>
            <w:rFonts w:asciiTheme="minorHAnsi" w:hAnsiTheme="minorHAnsi"/>
          </w:rPr>
          <w:t>http</w:t>
        </w:r>
        <w:r w:rsidRPr="003C2616">
          <w:rPr>
            <w:rStyle w:val="Hyperlink"/>
            <w:rFonts w:asciiTheme="minorHAnsi" w:hAnsiTheme="minorHAnsi"/>
            <w:u w:val="none"/>
          </w:rPr>
          <w:t>:</w:t>
        </w:r>
        <w:r w:rsidRPr="003C2616">
          <w:rPr>
            <w:rStyle w:val="Hyperlink"/>
            <w:rFonts w:asciiTheme="minorHAnsi" w:hAnsiTheme="minorHAnsi"/>
          </w:rPr>
          <w:t>//www.fertilitynorth.com.au/amh-test/</w:t>
        </w:r>
      </w:hyperlink>
      <w:r w:rsidRPr="003C2616">
        <w:rPr>
          <w:rFonts w:asciiTheme="minorHAnsi" w:hAnsiTheme="minorHAnsi"/>
        </w:rPr>
        <w:t>), $55; Repromed (</w:t>
      </w:r>
      <w:hyperlink r:id="rId3" w:tooltip="Link to Repromed Website" w:history="1">
        <w:r w:rsidRPr="003C2616">
          <w:rPr>
            <w:rStyle w:val="Hyperlink"/>
            <w:rFonts w:asciiTheme="minorHAnsi" w:hAnsiTheme="minorHAnsi"/>
          </w:rPr>
          <w:t>http</w:t>
        </w:r>
        <w:r w:rsidRPr="003C2616">
          <w:rPr>
            <w:rStyle w:val="Hyperlink"/>
            <w:rFonts w:asciiTheme="minorHAnsi" w:hAnsiTheme="minorHAnsi"/>
            <w:u w:val="none"/>
          </w:rPr>
          <w:t>:</w:t>
        </w:r>
        <w:r w:rsidRPr="003C2616">
          <w:rPr>
            <w:rStyle w:val="Hyperlink"/>
            <w:rFonts w:asciiTheme="minorHAnsi" w:hAnsiTheme="minorHAnsi"/>
          </w:rPr>
          <w:t>//repromed.com.au/what-to-expect/preliminary-investigations/amh-blood-test/</w:t>
        </w:r>
      </w:hyperlink>
      <w:r w:rsidRPr="003C2616">
        <w:rPr>
          <w:rFonts w:asciiTheme="minorHAnsi" w:hAnsiTheme="minorHAnsi"/>
        </w:rPr>
        <w:t>), $98; Clinpath Pathology (</w:t>
      </w:r>
      <w:hyperlink r:id="rId4" w:tooltip="Link to Clinpath Pathology " w:history="1">
        <w:r w:rsidRPr="003C2616">
          <w:rPr>
            <w:rStyle w:val="Hyperlink"/>
            <w:rFonts w:asciiTheme="minorHAnsi" w:hAnsiTheme="minorHAnsi"/>
          </w:rPr>
          <w:t>http</w:t>
        </w:r>
        <w:r w:rsidRPr="003C2616">
          <w:rPr>
            <w:rStyle w:val="Hyperlink"/>
            <w:rFonts w:asciiTheme="minorHAnsi" w:hAnsiTheme="minorHAnsi"/>
            <w:u w:val="none"/>
          </w:rPr>
          <w:t>:</w:t>
        </w:r>
        <w:r w:rsidRPr="003C2616">
          <w:rPr>
            <w:rStyle w:val="Hyperlink"/>
            <w:rFonts w:asciiTheme="minorHAnsi" w:hAnsiTheme="minorHAnsi"/>
          </w:rPr>
          <w:t>//www.clinipathpathology.com.au/media/96085/anti-mullerian%20hormone%20(amh).pdf)</w:t>
        </w:r>
      </w:hyperlink>
      <w:r w:rsidRPr="003C2616">
        <w:rPr>
          <w:rFonts w:asciiTheme="minorHAnsi" w:hAnsiTheme="minorHAnsi"/>
        </w:rPr>
        <w:t>, $60; i-screen (</w:t>
      </w:r>
      <w:hyperlink r:id="rId5" w:tooltip="Link to i-screen " w:history="1">
        <w:r w:rsidRPr="003C2616">
          <w:rPr>
            <w:rStyle w:val="Hyperlink"/>
            <w:rFonts w:asciiTheme="minorHAnsi" w:hAnsiTheme="minorHAnsi"/>
          </w:rPr>
          <w:t>https</w:t>
        </w:r>
        <w:r w:rsidRPr="003C2616">
          <w:rPr>
            <w:rStyle w:val="Hyperlink"/>
            <w:rFonts w:asciiTheme="minorHAnsi" w:hAnsiTheme="minorHAnsi"/>
            <w:u w:val="none"/>
          </w:rPr>
          <w:t>:</w:t>
        </w:r>
        <w:r w:rsidRPr="003C2616">
          <w:rPr>
            <w:rStyle w:val="Hyperlink"/>
            <w:rFonts w:asciiTheme="minorHAnsi" w:hAnsiTheme="minorHAnsi"/>
          </w:rPr>
          <w:t>//www.i-screen.com.au/app/register/amh-test</w:t>
        </w:r>
      </w:hyperlink>
      <w:r w:rsidRPr="003C2616">
        <w:rPr>
          <w:rFonts w:asciiTheme="minorHAnsi" w:hAnsiTheme="minorHAnsi"/>
        </w:rPr>
        <w:t>), $85.</w:t>
      </w:r>
    </w:p>
  </w:footnote>
  <w:footnote w:id="3">
    <w:p w14:paraId="274F34CF" w14:textId="3109203C" w:rsidR="004D6D0A" w:rsidRPr="00D813A0" w:rsidRDefault="004D6D0A" w:rsidP="00170274">
      <w:pPr>
        <w:pStyle w:val="References"/>
        <w:spacing w:after="0" w:line="240" w:lineRule="auto"/>
        <w:ind w:left="0" w:firstLine="0"/>
        <w:rPr>
          <w:rFonts w:asciiTheme="minorHAnsi" w:hAnsiTheme="minorHAnsi"/>
          <w:noProof/>
          <w:sz w:val="20"/>
          <w:szCs w:val="20"/>
        </w:rPr>
      </w:pPr>
      <w:r w:rsidRPr="00D813A0">
        <w:rPr>
          <w:rStyle w:val="FootnoteReference"/>
          <w:rFonts w:asciiTheme="minorHAnsi" w:hAnsiTheme="minorHAnsi"/>
          <w:sz w:val="20"/>
          <w:szCs w:val="20"/>
        </w:rPr>
        <w:footnoteRef/>
      </w:r>
      <w:r w:rsidRPr="00D813A0">
        <w:rPr>
          <w:rFonts w:asciiTheme="minorHAnsi" w:hAnsiTheme="minorHAnsi"/>
          <w:sz w:val="20"/>
          <w:szCs w:val="20"/>
        </w:rPr>
        <w:t xml:space="preserve"> </w:t>
      </w:r>
      <w:r w:rsidRPr="00D813A0">
        <w:rPr>
          <w:rFonts w:asciiTheme="minorHAnsi" w:hAnsiTheme="minorHAnsi"/>
          <w:noProof/>
          <w:sz w:val="20"/>
          <w:szCs w:val="20"/>
        </w:rPr>
        <w:t xml:space="preserve">Armitage, P, Berry, G &amp; Matthews, JNS 2002, </w:t>
      </w:r>
      <w:r w:rsidRPr="00D813A0">
        <w:rPr>
          <w:rFonts w:asciiTheme="minorHAnsi" w:hAnsiTheme="minorHAnsi"/>
          <w:i/>
          <w:noProof/>
          <w:sz w:val="20"/>
          <w:szCs w:val="20"/>
        </w:rPr>
        <w:t>Statistical methods in medical research</w:t>
      </w:r>
      <w:r w:rsidRPr="00D813A0">
        <w:rPr>
          <w:rFonts w:asciiTheme="minorHAnsi" w:hAnsiTheme="minorHAnsi"/>
          <w:noProof/>
          <w:sz w:val="20"/>
          <w:szCs w:val="20"/>
        </w:rPr>
        <w:t>, fourth edn, Blackwell Science, Oxford.</w:t>
      </w:r>
    </w:p>
    <w:p w14:paraId="24A9BBD9" w14:textId="77777777" w:rsidR="004D6D0A" w:rsidRPr="00D813A0" w:rsidRDefault="004D6D0A" w:rsidP="00170274">
      <w:pPr>
        <w:pStyle w:val="References"/>
        <w:spacing w:after="0" w:line="240" w:lineRule="auto"/>
        <w:ind w:left="0" w:firstLine="0"/>
        <w:rPr>
          <w:rFonts w:asciiTheme="minorHAnsi" w:hAnsiTheme="minorHAnsi"/>
          <w:noProof/>
          <w:sz w:val="20"/>
          <w:szCs w:val="20"/>
        </w:rPr>
      </w:pPr>
      <w:r w:rsidRPr="00D813A0">
        <w:rPr>
          <w:rFonts w:asciiTheme="minorHAnsi" w:hAnsiTheme="minorHAnsi"/>
          <w:noProof/>
          <w:sz w:val="20"/>
          <w:szCs w:val="20"/>
        </w:rPr>
        <w:t xml:space="preserve">Deeks, JJ 2001, 'Systematic reviews of evaluations of diagnostic and screening tests', in M Egger, G Davey Smith &amp; DG Altman (eds), </w:t>
      </w:r>
      <w:r w:rsidRPr="00D813A0">
        <w:rPr>
          <w:rFonts w:asciiTheme="minorHAnsi" w:hAnsiTheme="minorHAnsi"/>
          <w:i/>
          <w:noProof/>
          <w:sz w:val="20"/>
          <w:szCs w:val="20"/>
        </w:rPr>
        <w:t>Systematic Reviews in Healthcare: Meta-Analysis in Context</w:t>
      </w:r>
      <w:r w:rsidRPr="00D813A0">
        <w:rPr>
          <w:rFonts w:asciiTheme="minorHAnsi" w:hAnsiTheme="minorHAnsi"/>
          <w:noProof/>
          <w:sz w:val="20"/>
          <w:szCs w:val="20"/>
        </w:rPr>
        <w:t>, second edn, BMJ Publishing Group, London, pp. 248–282.</w:t>
      </w:r>
    </w:p>
  </w:footnote>
  <w:footnote w:id="4">
    <w:p w14:paraId="5C9965B9" w14:textId="46265D43" w:rsidR="004D6D0A" w:rsidRDefault="004D6D0A" w:rsidP="00924B48">
      <w:pPr>
        <w:pStyle w:val="References"/>
        <w:spacing w:after="120" w:line="240" w:lineRule="auto"/>
        <w:ind w:left="0" w:firstLine="0"/>
        <w:rPr>
          <w:rFonts w:ascii="Arial Narrow" w:hAnsi="Arial Narrow"/>
          <w:noProof/>
          <w:sz w:val="20"/>
          <w:szCs w:val="20"/>
        </w:rPr>
      </w:pPr>
      <w:r w:rsidRPr="00CF1D26">
        <w:rPr>
          <w:rStyle w:val="FootnoteReference"/>
          <w:rFonts w:ascii="Arial Narrow" w:hAnsi="Arial Narrow"/>
          <w:sz w:val="20"/>
          <w:szCs w:val="20"/>
        </w:rPr>
        <w:footnoteRef/>
      </w:r>
      <w:r w:rsidRPr="00CF1D26">
        <w:rPr>
          <w:rFonts w:ascii="Arial Narrow" w:hAnsi="Arial Narrow"/>
          <w:sz w:val="20"/>
          <w:szCs w:val="20"/>
        </w:rPr>
        <w:t xml:space="preserve"> </w:t>
      </w:r>
      <w:r w:rsidRPr="00CF1D26">
        <w:rPr>
          <w:rFonts w:ascii="Arial Narrow" w:hAnsi="Arial Narrow"/>
          <w:noProof/>
          <w:sz w:val="20"/>
          <w:szCs w:val="20"/>
        </w:rPr>
        <w:t xml:space="preserve">Armitage, P, Berry, G &amp; Matthews, JNS 2002, </w:t>
      </w:r>
      <w:r w:rsidRPr="00CF1D26">
        <w:rPr>
          <w:rFonts w:ascii="Arial Narrow" w:hAnsi="Arial Narrow"/>
          <w:i/>
          <w:noProof/>
          <w:sz w:val="20"/>
          <w:szCs w:val="20"/>
        </w:rPr>
        <w:t>Statistical methods in medical research</w:t>
      </w:r>
      <w:r w:rsidRPr="00CF1D26">
        <w:rPr>
          <w:rFonts w:ascii="Arial Narrow" w:hAnsi="Arial Narrow"/>
          <w:noProof/>
          <w:sz w:val="20"/>
          <w:szCs w:val="20"/>
        </w:rPr>
        <w:t>, fourth edn, Blackwell Science, Oxford.</w:t>
      </w:r>
    </w:p>
    <w:p w14:paraId="03E05DFA" w14:textId="77777777" w:rsidR="004D6D0A" w:rsidRPr="00907BDB" w:rsidRDefault="004D6D0A" w:rsidP="00924B48">
      <w:pPr>
        <w:pStyle w:val="References"/>
        <w:spacing w:after="120" w:line="240" w:lineRule="auto"/>
        <w:ind w:left="0" w:firstLine="0"/>
        <w:rPr>
          <w:rFonts w:ascii="Arial Narrow" w:hAnsi="Arial Narrow"/>
          <w:noProof/>
          <w:sz w:val="20"/>
          <w:szCs w:val="20"/>
        </w:rPr>
      </w:pPr>
      <w:r w:rsidRPr="00CF1D26">
        <w:rPr>
          <w:rFonts w:ascii="Arial Narrow" w:hAnsi="Arial Narrow"/>
          <w:noProof/>
          <w:sz w:val="20"/>
          <w:szCs w:val="20"/>
        </w:rPr>
        <w:t xml:space="preserve">Deeks, JJ 2001, 'Systematic reviews of evaluations of diagnostic and screening tests', in M Egger, G Davey Smith &amp; DG Altman (eds), </w:t>
      </w:r>
      <w:r w:rsidRPr="00CF1D26">
        <w:rPr>
          <w:rFonts w:ascii="Arial Narrow" w:hAnsi="Arial Narrow"/>
          <w:i/>
          <w:noProof/>
          <w:sz w:val="20"/>
          <w:szCs w:val="20"/>
        </w:rPr>
        <w:t>Systematic Reviews in Healthcare: Meta-Analysis in Context</w:t>
      </w:r>
      <w:r w:rsidRPr="00CF1D26">
        <w:rPr>
          <w:rFonts w:ascii="Arial Narrow" w:hAnsi="Arial Narrow"/>
          <w:noProof/>
          <w:sz w:val="20"/>
          <w:szCs w:val="20"/>
        </w:rPr>
        <w:t>, second edn, BMJ Publishing Group, London, pp. 248–282.</w:t>
      </w:r>
    </w:p>
  </w:footnote>
  <w:footnote w:id="5">
    <w:p w14:paraId="6A79ED33" w14:textId="45E794AB" w:rsidR="004D6D0A" w:rsidRDefault="004D6D0A">
      <w:pPr>
        <w:pStyle w:val="FootnoteText"/>
      </w:pPr>
      <w:r>
        <w:rPr>
          <w:rStyle w:val="FootnoteReference"/>
        </w:rPr>
        <w:footnoteRef/>
      </w:r>
      <w:r>
        <w:t xml:space="preserve"> Section B3.5 provides information on ROC curve analysis.</w:t>
      </w:r>
    </w:p>
  </w:footnote>
  <w:footnote w:id="6">
    <w:p w14:paraId="79B2E379" w14:textId="77777777" w:rsidR="004D6D0A" w:rsidRDefault="004D6D0A" w:rsidP="00D45979">
      <w:pPr>
        <w:pStyle w:val="FootnoteText"/>
        <w:spacing w:after="0" w:line="240" w:lineRule="auto"/>
      </w:pPr>
      <w:r>
        <w:rPr>
          <w:rStyle w:val="FootnoteReference"/>
        </w:rPr>
        <w:footnoteRef/>
      </w:r>
      <w:r>
        <w:t xml:space="preserve"> Personal communication with A/Prof Kate Stern, email received on 27</w:t>
      </w:r>
      <w:r w:rsidRPr="00BD326C">
        <w:rPr>
          <w:vertAlign w:val="superscript"/>
        </w:rPr>
        <w:t>th</w:t>
      </w:r>
      <w:r>
        <w:t xml:space="preserve"> August 2017.</w:t>
      </w:r>
    </w:p>
  </w:footnote>
  <w:footnote w:id="7">
    <w:p w14:paraId="5ECD8A9F" w14:textId="77777777" w:rsidR="004D6D0A" w:rsidRDefault="004D6D0A" w:rsidP="00D45979">
      <w:pPr>
        <w:pStyle w:val="FootnoteText"/>
        <w:spacing w:after="0" w:line="240" w:lineRule="auto"/>
      </w:pPr>
      <w:r>
        <w:rPr>
          <w:rStyle w:val="FootnoteReference"/>
        </w:rPr>
        <w:footnoteRef/>
      </w:r>
      <w:r>
        <w:t xml:space="preserve"> Personal communication with A/Prof Kate Stern, email received on 13</w:t>
      </w:r>
      <w:r w:rsidRPr="00477081">
        <w:rPr>
          <w:vertAlign w:val="superscript"/>
        </w:rPr>
        <w:t>th</w:t>
      </w:r>
      <w:r>
        <w:t xml:space="preserve"> October 2017.</w:t>
      </w:r>
    </w:p>
  </w:footnote>
  <w:footnote w:id="8">
    <w:p w14:paraId="0E4BE4BC" w14:textId="77777777" w:rsidR="004D6D0A" w:rsidRDefault="004D6D0A" w:rsidP="009118ED">
      <w:pPr>
        <w:pStyle w:val="FootnoteText"/>
        <w:spacing w:after="0"/>
      </w:pPr>
      <w:r>
        <w:rPr>
          <w:rStyle w:val="FootnoteReference"/>
        </w:rPr>
        <w:footnoteRef/>
      </w:r>
      <w:r>
        <w:t xml:space="preserve"> Personal communication with A/Prof Kate Stern, email received on 27</w:t>
      </w:r>
      <w:r w:rsidRPr="00BD326C">
        <w:rPr>
          <w:vertAlign w:val="superscript"/>
        </w:rPr>
        <w:t>th</w:t>
      </w:r>
      <w:r>
        <w:t xml:space="preserve"> August 2017.</w:t>
      </w:r>
    </w:p>
  </w:footnote>
  <w:footnote w:id="9">
    <w:p w14:paraId="1092B427" w14:textId="77777777" w:rsidR="004D6D0A" w:rsidRDefault="004D6D0A" w:rsidP="00AE748A">
      <w:pPr>
        <w:pStyle w:val="FootnoteText"/>
        <w:spacing w:after="0" w:line="240" w:lineRule="auto"/>
      </w:pPr>
      <w:r>
        <w:rPr>
          <w:rStyle w:val="FootnoteReference"/>
        </w:rPr>
        <w:footnoteRef/>
      </w:r>
      <w:r>
        <w:t xml:space="preserve"> Personal communication with A/Prof Kate Stern, email received on 13</w:t>
      </w:r>
      <w:r w:rsidRPr="00477081">
        <w:rPr>
          <w:vertAlign w:val="superscript"/>
        </w:rPr>
        <w:t>th</w:t>
      </w:r>
      <w:r>
        <w:t xml:space="preserve"> October 2017.</w:t>
      </w:r>
    </w:p>
  </w:footnote>
  <w:footnote w:id="10">
    <w:p w14:paraId="6715E3F4" w14:textId="6AC7C7FB" w:rsidR="004D6D0A" w:rsidRDefault="004D6D0A" w:rsidP="001E4DF5">
      <w:pPr>
        <w:pStyle w:val="FootnoteText"/>
        <w:spacing w:after="0" w:line="240" w:lineRule="auto"/>
        <w:jc w:val="both"/>
      </w:pPr>
      <w:r>
        <w:rPr>
          <w:rStyle w:val="FootnoteReference"/>
        </w:rPr>
        <w:footnoteRef/>
      </w:r>
      <w:r>
        <w:t xml:space="preserve"> Data provided by Australian Government Department of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BE19E" w14:textId="3DB088A1" w:rsidR="004D6D0A" w:rsidRDefault="004D6D0A" w:rsidP="00B426FF">
    <w:pPr>
      <w:pStyle w:val="Header"/>
      <w:tabs>
        <w:tab w:val="clear" w:pos="8306"/>
        <w:tab w:val="right" w:pos="8931"/>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485FF" w14:textId="3F7E0425" w:rsidR="004D6D0A" w:rsidRDefault="004D6D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99F69" w14:textId="77777777" w:rsidR="00AC4BE5" w:rsidRDefault="00AC4B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6225F" w14:textId="77777777" w:rsidR="00AC4BE5" w:rsidRDefault="00AC4B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2FBC2" w14:textId="77777777" w:rsidR="00AC4BE5" w:rsidRDefault="00AC4B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05810" w14:textId="246363B7" w:rsidR="004D6D0A" w:rsidRDefault="004D6D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498F4" w14:textId="13F52AF7" w:rsidR="004D6D0A" w:rsidRDefault="004D6D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0D29D" w14:textId="4470546B" w:rsidR="004D6D0A" w:rsidRDefault="004D6D0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8C8BE" w14:textId="6071E50B" w:rsidR="004D6D0A" w:rsidRDefault="004D6D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71E26" w14:textId="0C6CBC87" w:rsidR="004D6D0A" w:rsidRDefault="004D6D0A" w:rsidP="00006961">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66FE"/>
    <w:multiLevelType w:val="multilevel"/>
    <w:tmpl w:val="E922455C"/>
    <w:lvl w:ilvl="0">
      <w:start w:val="2"/>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6A0C1A"/>
    <w:multiLevelType w:val="hybridMultilevel"/>
    <w:tmpl w:val="E14A7CC8"/>
    <w:lvl w:ilvl="0" w:tplc="0D82AA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6A70AF"/>
    <w:multiLevelType w:val="hybridMultilevel"/>
    <w:tmpl w:val="4F70D96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EF204C5"/>
    <w:multiLevelType w:val="hybridMultilevel"/>
    <w:tmpl w:val="E14A7CC8"/>
    <w:lvl w:ilvl="0" w:tplc="0D82AA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5C4F9C"/>
    <w:multiLevelType w:val="hybridMultilevel"/>
    <w:tmpl w:val="9EFEF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7284EDC">
      <w:start w:val="10"/>
      <w:numFmt w:val="bullet"/>
      <w:lvlText w:val="-"/>
      <w:lvlJc w:val="left"/>
      <w:pPr>
        <w:ind w:left="2160" w:hanging="360"/>
      </w:pPr>
      <w:rPr>
        <w:rFonts w:ascii="Arial Narrow" w:eastAsia="Times New Roman" w:hAnsi="Arial Narrow" w:cs="Tahoma"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CD2F86"/>
    <w:multiLevelType w:val="multilevel"/>
    <w:tmpl w:val="268AE644"/>
    <w:lvl w:ilvl="0">
      <w:start w:val="1"/>
      <w:numFmt w:val="none"/>
      <w:lvlText w:val="A.1"/>
      <w:lvlJc w:val="left"/>
      <w:pPr>
        <w:ind w:left="1134" w:hanging="1134"/>
      </w:pPr>
      <w:rPr>
        <w:rFonts w:ascii="Calibri" w:hAnsi="Calibri" w:hint="default"/>
        <w:b/>
        <w:i w:val="0"/>
        <w:color w:val="auto"/>
        <w:sz w:val="24"/>
      </w:rPr>
    </w:lvl>
    <w:lvl w:ilvl="1">
      <w:start w:val="4"/>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6">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7">
    <w:nsid w:val="13DF0D6F"/>
    <w:multiLevelType w:val="multilevel"/>
    <w:tmpl w:val="9DBCBF8E"/>
    <w:lvl w:ilvl="0">
      <w:start w:val="1"/>
      <w:numFmt w:val="none"/>
      <w:lvlText w:val="A.1"/>
      <w:lvlJc w:val="left"/>
      <w:pPr>
        <w:ind w:left="1134" w:hanging="1134"/>
      </w:pPr>
      <w:rPr>
        <w:rFonts w:ascii="Calibri" w:hAnsi="Calibri" w:hint="default"/>
        <w:b/>
        <w:i w:val="0"/>
        <w:color w:val="auto"/>
        <w:sz w:val="24"/>
      </w:rPr>
    </w:lvl>
    <w:lvl w:ilvl="1">
      <w:start w:val="1"/>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
    <w:nsid w:val="15092334"/>
    <w:multiLevelType w:val="hybridMultilevel"/>
    <w:tmpl w:val="50D447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7430932"/>
    <w:multiLevelType w:val="hybridMultilevel"/>
    <w:tmpl w:val="5044B5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A614319"/>
    <w:multiLevelType w:val="hybridMultilevel"/>
    <w:tmpl w:val="8AC642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EC817FE"/>
    <w:multiLevelType w:val="hybridMultilevel"/>
    <w:tmpl w:val="3020CBB6"/>
    <w:lvl w:ilvl="0" w:tplc="5E626C12">
      <w:numFmt w:val="bullet"/>
      <w:lvlText w:val="•"/>
      <w:lvlJc w:val="left"/>
      <w:pPr>
        <w:ind w:left="1290" w:hanging="570"/>
      </w:pPr>
      <w:rPr>
        <w:rFonts w:ascii="Calibri" w:eastAsia="Times New Roman" w:hAnsi="Calibri"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21F61239"/>
    <w:multiLevelType w:val="hybridMultilevel"/>
    <w:tmpl w:val="79C05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2055F35"/>
    <w:multiLevelType w:val="multilevel"/>
    <w:tmpl w:val="9DBCBF8E"/>
    <w:lvl w:ilvl="0">
      <w:start w:val="1"/>
      <w:numFmt w:val="none"/>
      <w:lvlText w:val="A.1"/>
      <w:lvlJc w:val="left"/>
      <w:pPr>
        <w:ind w:left="1134" w:hanging="1134"/>
      </w:pPr>
      <w:rPr>
        <w:rFonts w:ascii="Calibri" w:hAnsi="Calibri" w:hint="default"/>
        <w:b/>
        <w:i w:val="0"/>
        <w:color w:val="auto"/>
        <w:sz w:val="24"/>
      </w:rPr>
    </w:lvl>
    <w:lvl w:ilvl="1">
      <w:start w:val="1"/>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4">
    <w:nsid w:val="220A07EC"/>
    <w:multiLevelType w:val="singleLevel"/>
    <w:tmpl w:val="FC24B238"/>
    <w:lvl w:ilvl="0">
      <w:start w:val="1"/>
      <w:numFmt w:val="decimal"/>
      <w:pStyle w:val="ESNumberedSectionHeading"/>
      <w:lvlText w:val="A.%1"/>
      <w:lvlJc w:val="left"/>
      <w:pPr>
        <w:ind w:left="360" w:hanging="360"/>
      </w:pPr>
      <w:rPr>
        <w:rFonts w:ascii="Calibri" w:hAnsi="Calibri" w:hint="default"/>
        <w:b/>
        <w:i w:val="0"/>
        <w:color w:val="auto"/>
        <w:sz w:val="24"/>
      </w:rPr>
    </w:lvl>
  </w:abstractNum>
  <w:abstractNum w:abstractNumId="15">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6">
    <w:nsid w:val="240806FD"/>
    <w:multiLevelType w:val="hybridMultilevel"/>
    <w:tmpl w:val="F468E53A"/>
    <w:lvl w:ilvl="0" w:tplc="6F2C4C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B46A43"/>
    <w:multiLevelType w:val="hybridMultilevel"/>
    <w:tmpl w:val="AC90A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8A429A4E">
      <w:start w:val="3"/>
      <w:numFmt w:val="bullet"/>
      <w:lvlText w:val="-"/>
      <w:lvlJc w:val="left"/>
      <w:pPr>
        <w:ind w:left="2880" w:hanging="360"/>
      </w:pPr>
      <w:rPr>
        <w:rFonts w:ascii="Arial Narrow" w:eastAsia="Times New Roman" w:hAnsi="Arial Narrow" w:cs="Tahoma" w:hint="default"/>
      </w:rPr>
    </w:lvl>
    <w:lvl w:ilvl="4" w:tplc="4462DBA2">
      <w:start w:val="3"/>
      <w:numFmt w:val="bullet"/>
      <w:lvlText w:val=""/>
      <w:lvlJc w:val="left"/>
      <w:pPr>
        <w:ind w:left="3600" w:hanging="360"/>
      </w:pPr>
      <w:rPr>
        <w:rFonts w:ascii="Wingdings" w:eastAsia="Times New Roman" w:hAnsi="Wingdings" w:cs="Tahom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B610E1"/>
    <w:multiLevelType w:val="hybridMultilevel"/>
    <w:tmpl w:val="AF8624D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C54498A"/>
    <w:multiLevelType w:val="hybridMultilevel"/>
    <w:tmpl w:val="D6CE231E"/>
    <w:lvl w:ilvl="0" w:tplc="A648C0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CDF2907"/>
    <w:multiLevelType w:val="hybridMultilevel"/>
    <w:tmpl w:val="3B522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CE21ADE"/>
    <w:multiLevelType w:val="hybridMultilevel"/>
    <w:tmpl w:val="50007E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30A86162"/>
    <w:multiLevelType w:val="hybridMultilevel"/>
    <w:tmpl w:val="8680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355714E"/>
    <w:multiLevelType w:val="hybridMultilevel"/>
    <w:tmpl w:val="1B063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3C969FE"/>
    <w:multiLevelType w:val="hybridMultilevel"/>
    <w:tmpl w:val="0B30A500"/>
    <w:lvl w:ilvl="0" w:tplc="ED48A662">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3D702F1F"/>
    <w:multiLevelType w:val="hybridMultilevel"/>
    <w:tmpl w:val="F1D0385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EE81051"/>
    <w:multiLevelType w:val="hybridMultilevel"/>
    <w:tmpl w:val="60B0AE8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2550BF6"/>
    <w:multiLevelType w:val="multilevel"/>
    <w:tmpl w:val="DDACB91C"/>
    <w:lvl w:ilvl="0">
      <w:start w:val="1"/>
      <w:numFmt w:val="none"/>
      <w:lvlText w:val="A.1"/>
      <w:lvlJc w:val="left"/>
      <w:pPr>
        <w:ind w:left="1134" w:hanging="1134"/>
      </w:pPr>
      <w:rPr>
        <w:rFonts w:ascii="Calibri" w:hAnsi="Calibri" w:hint="default"/>
        <w:b/>
        <w:i w:val="0"/>
        <w:color w:val="auto"/>
        <w:sz w:val="24"/>
      </w:rPr>
    </w:lvl>
    <w:lvl w:ilvl="1">
      <w:start w:val="1"/>
      <w:numFmt w:val="decimal"/>
      <w:lvlText w:val="B3.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8">
    <w:nsid w:val="440825DD"/>
    <w:multiLevelType w:val="multilevel"/>
    <w:tmpl w:val="1E0AA6B2"/>
    <w:lvl w:ilvl="0">
      <w:start w:val="1"/>
      <w:numFmt w:val="none"/>
      <w:lvlText w:val="A.1"/>
      <w:lvlJc w:val="left"/>
      <w:pPr>
        <w:ind w:left="1134" w:hanging="1134"/>
      </w:pPr>
      <w:rPr>
        <w:rFonts w:ascii="Calibri" w:hAnsi="Calibri" w:hint="default"/>
        <w:b/>
        <w:i w:val="0"/>
        <w:color w:val="auto"/>
        <w:sz w:val="24"/>
      </w:rPr>
    </w:lvl>
    <w:lvl w:ilvl="1">
      <w:start w:val="1"/>
      <w:numFmt w:val="decimal"/>
      <w:lvlText w:val="B5.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9">
    <w:nsid w:val="463E7329"/>
    <w:multiLevelType w:val="hybridMultilevel"/>
    <w:tmpl w:val="9C26DCC0"/>
    <w:lvl w:ilvl="0" w:tplc="5E626C12">
      <w:numFmt w:val="bullet"/>
      <w:lvlText w:val="•"/>
      <w:lvlJc w:val="left"/>
      <w:pPr>
        <w:ind w:left="930" w:hanging="57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9823BEC"/>
    <w:multiLevelType w:val="multilevel"/>
    <w:tmpl w:val="9DBCBF8E"/>
    <w:lvl w:ilvl="0">
      <w:start w:val="1"/>
      <w:numFmt w:val="none"/>
      <w:lvlText w:val="A.1"/>
      <w:lvlJc w:val="left"/>
      <w:pPr>
        <w:ind w:left="1134" w:hanging="1134"/>
      </w:pPr>
      <w:rPr>
        <w:rFonts w:ascii="Calibri" w:hAnsi="Calibri" w:hint="default"/>
        <w:b/>
        <w:i w:val="0"/>
        <w:color w:val="auto"/>
        <w:sz w:val="24"/>
      </w:rPr>
    </w:lvl>
    <w:lvl w:ilvl="1">
      <w:start w:val="1"/>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1">
    <w:nsid w:val="4A3F0B76"/>
    <w:multiLevelType w:val="multilevel"/>
    <w:tmpl w:val="C87CB6F6"/>
    <w:lvl w:ilvl="0">
      <w:start w:val="1"/>
      <w:numFmt w:val="none"/>
      <w:lvlText w:val="A.1"/>
      <w:lvlJc w:val="left"/>
      <w:pPr>
        <w:ind w:left="1134" w:hanging="1134"/>
      </w:pPr>
      <w:rPr>
        <w:rFonts w:ascii="Calibri" w:hAnsi="Calibri" w:hint="default"/>
        <w:b/>
        <w:i w:val="0"/>
        <w:color w:val="auto"/>
        <w:sz w:val="24"/>
      </w:rPr>
    </w:lvl>
    <w:lvl w:ilvl="1">
      <w:start w:val="1"/>
      <w:numFmt w:val="decimal"/>
      <w:lvlText w:val="B5.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2">
    <w:nsid w:val="4B3743B8"/>
    <w:multiLevelType w:val="multilevel"/>
    <w:tmpl w:val="59F8E8EC"/>
    <w:lvl w:ilvl="0">
      <w:start w:val="1"/>
      <w:numFmt w:val="decimal"/>
      <w:lvlText w:val="B3.%1"/>
      <w:lvlJc w:val="left"/>
      <w:pPr>
        <w:ind w:left="1134" w:hanging="1134"/>
      </w:pPr>
      <w:rPr>
        <w:rFonts w:hint="default"/>
        <w:b/>
        <w:i w:val="0"/>
        <w:color w:val="auto"/>
        <w:sz w:val="24"/>
      </w:rPr>
    </w:lvl>
    <w:lvl w:ilvl="1">
      <w:start w:val="7"/>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3">
    <w:nsid w:val="4B8E5391"/>
    <w:multiLevelType w:val="multilevel"/>
    <w:tmpl w:val="9DBCBF8E"/>
    <w:lvl w:ilvl="0">
      <w:start w:val="1"/>
      <w:numFmt w:val="none"/>
      <w:lvlText w:val="A.1"/>
      <w:lvlJc w:val="left"/>
      <w:pPr>
        <w:ind w:left="1134" w:hanging="1134"/>
      </w:pPr>
      <w:rPr>
        <w:rFonts w:ascii="Calibri" w:hAnsi="Calibri" w:hint="default"/>
        <w:b/>
        <w:i w:val="0"/>
        <w:color w:val="auto"/>
        <w:sz w:val="24"/>
      </w:rPr>
    </w:lvl>
    <w:lvl w:ilvl="1">
      <w:start w:val="1"/>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4">
    <w:nsid w:val="4E794635"/>
    <w:multiLevelType w:val="hybridMultilevel"/>
    <w:tmpl w:val="B0B6CDF4"/>
    <w:lvl w:ilvl="0" w:tplc="B114D2E2">
      <w:numFmt w:val="bullet"/>
      <w:lvlText w:val=""/>
      <w:lvlJc w:val="left"/>
      <w:pPr>
        <w:ind w:left="720" w:hanging="360"/>
      </w:pPr>
      <w:rPr>
        <w:rFonts w:ascii="Wingdings" w:eastAsia="Times New Roman" w:hAnsi="Wingdings"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A2656C"/>
    <w:multiLevelType w:val="hybridMultilevel"/>
    <w:tmpl w:val="73E47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208398B"/>
    <w:multiLevelType w:val="hybridMultilevel"/>
    <w:tmpl w:val="F2AA0338"/>
    <w:lvl w:ilvl="0" w:tplc="F1DADC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3B74FD6"/>
    <w:multiLevelType w:val="hybridMultilevel"/>
    <w:tmpl w:val="AA946D2E"/>
    <w:lvl w:ilvl="0" w:tplc="3BD60A26">
      <w:numFmt w:val="bullet"/>
      <w:lvlText w:val=""/>
      <w:lvlJc w:val="left"/>
      <w:pPr>
        <w:ind w:left="720" w:hanging="360"/>
      </w:pPr>
      <w:rPr>
        <w:rFonts w:ascii="Wingdings" w:eastAsia="Times New Roman" w:hAnsi="Wingdings"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55D2A37"/>
    <w:multiLevelType w:val="hybridMultilevel"/>
    <w:tmpl w:val="5DD2BE4A"/>
    <w:lvl w:ilvl="0" w:tplc="4CC6B89C">
      <w:start w:val="4"/>
      <w:numFmt w:val="decimal"/>
      <w:lvlText w:val="%1."/>
      <w:lvlJc w:val="left"/>
      <w:pPr>
        <w:ind w:left="720" w:hanging="360"/>
      </w:pPr>
      <w:rPr>
        <w:rFonts w:ascii="Arial Narrow" w:eastAsia="Times New Roman" w:hAnsi="Arial Narrow" w:cs="Arial Narro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6891D8A"/>
    <w:multiLevelType w:val="multilevel"/>
    <w:tmpl w:val="FEE071C8"/>
    <w:numStyleLink w:val="ESSectionheading-numbered"/>
  </w:abstractNum>
  <w:abstractNum w:abstractNumId="40">
    <w:nsid w:val="572F5B70"/>
    <w:multiLevelType w:val="multilevel"/>
    <w:tmpl w:val="453A222A"/>
    <w:lvl w:ilvl="0">
      <w:start w:val="1"/>
      <w:numFmt w:val="none"/>
      <w:lvlText w:val="A.1"/>
      <w:lvlJc w:val="left"/>
      <w:pPr>
        <w:ind w:left="1134" w:hanging="1134"/>
      </w:pPr>
      <w:rPr>
        <w:rFonts w:ascii="Calibri" w:hAnsi="Calibri" w:hint="default"/>
        <w:b/>
        <w:i w:val="0"/>
        <w:color w:val="auto"/>
        <w:sz w:val="24"/>
      </w:rPr>
    </w:lvl>
    <w:lvl w:ilvl="1">
      <w:start w:val="1"/>
      <w:numFmt w:val="decimal"/>
      <w:lvlText w:val="B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1">
    <w:nsid w:val="58601969"/>
    <w:multiLevelType w:val="multilevel"/>
    <w:tmpl w:val="07A492D4"/>
    <w:lvl w:ilvl="0">
      <w:start w:val="9"/>
      <w:numFmt w:val="decimal"/>
      <w:lvlText w:val="B3.%1"/>
      <w:lvlJc w:val="left"/>
      <w:pPr>
        <w:ind w:left="1134" w:hanging="1134"/>
      </w:pPr>
      <w:rPr>
        <w:rFonts w:hint="default"/>
        <w:b/>
        <w:i w:val="0"/>
        <w:color w:val="auto"/>
        <w:sz w:val="24"/>
      </w:rPr>
    </w:lvl>
    <w:lvl w:ilvl="1">
      <w:start w:val="10"/>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2">
    <w:nsid w:val="5D2F1035"/>
    <w:multiLevelType w:val="hybridMultilevel"/>
    <w:tmpl w:val="CD945E44"/>
    <w:lvl w:ilvl="0" w:tplc="0C090017">
      <w:start w:val="1"/>
      <w:numFmt w:val="lowerLetter"/>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44">
    <w:nsid w:val="5E0C2B6A"/>
    <w:multiLevelType w:val="hybridMultilevel"/>
    <w:tmpl w:val="EC2E6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02B0C36"/>
    <w:multiLevelType w:val="hybridMultilevel"/>
    <w:tmpl w:val="352060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60F71E0D"/>
    <w:multiLevelType w:val="hybridMultilevel"/>
    <w:tmpl w:val="0C92A7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62257F47"/>
    <w:multiLevelType w:val="multilevel"/>
    <w:tmpl w:val="2CAAC190"/>
    <w:lvl w:ilvl="0">
      <w:start w:val="1"/>
      <w:numFmt w:val="none"/>
      <w:lvlText w:val="A.1"/>
      <w:lvlJc w:val="left"/>
      <w:pPr>
        <w:ind w:left="1134" w:hanging="1134"/>
      </w:pPr>
      <w:rPr>
        <w:rFonts w:ascii="Calibri" w:hAnsi="Calibri" w:hint="default"/>
        <w:b/>
        <w:i w:val="0"/>
        <w:color w:val="auto"/>
        <w:sz w:val="24"/>
      </w:rPr>
    </w:lvl>
    <w:lvl w:ilvl="1">
      <w:start w:val="1"/>
      <w:numFmt w:val="decimal"/>
      <w:lvlText w:val="B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8">
    <w:nsid w:val="636150F0"/>
    <w:multiLevelType w:val="hybridMultilevel"/>
    <w:tmpl w:val="9BFEFA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50">
    <w:nsid w:val="67090509"/>
    <w:multiLevelType w:val="hybridMultilevel"/>
    <w:tmpl w:val="3EF6E71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C252901"/>
    <w:multiLevelType w:val="multilevel"/>
    <w:tmpl w:val="9AB80672"/>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52">
    <w:nsid w:val="702168AE"/>
    <w:multiLevelType w:val="hybridMultilevel"/>
    <w:tmpl w:val="6EC280D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73C466A0"/>
    <w:multiLevelType w:val="hybridMultilevel"/>
    <w:tmpl w:val="A9F6F70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4">
    <w:nsid w:val="74302CB8"/>
    <w:multiLevelType w:val="hybridMultilevel"/>
    <w:tmpl w:val="D6CE231E"/>
    <w:lvl w:ilvl="0" w:tplc="A648C0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60C6A04"/>
    <w:multiLevelType w:val="hybridMultilevel"/>
    <w:tmpl w:val="F20C77F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nsid w:val="761F6372"/>
    <w:multiLevelType w:val="multilevel"/>
    <w:tmpl w:val="EBCEDA8C"/>
    <w:lvl w:ilvl="0">
      <w:start w:val="1"/>
      <w:numFmt w:val="none"/>
      <w:lvlText w:val="A.1"/>
      <w:lvlJc w:val="left"/>
      <w:pPr>
        <w:ind w:left="1134" w:hanging="1134"/>
      </w:pPr>
      <w:rPr>
        <w:rFonts w:ascii="Calibri" w:hAnsi="Calibri" w:hint="default"/>
        <w:b/>
        <w:i w:val="0"/>
        <w:color w:val="auto"/>
        <w:sz w:val="24"/>
      </w:rPr>
    </w:lvl>
    <w:lvl w:ilvl="1">
      <w:start w:val="1"/>
      <w:numFmt w:val="decimal"/>
      <w:lvlText w:val="B4.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7">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8">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43"/>
  </w:num>
  <w:num w:numId="2">
    <w:abstractNumId w:val="6"/>
  </w:num>
  <w:num w:numId="3">
    <w:abstractNumId w:val="58"/>
  </w:num>
  <w:num w:numId="4">
    <w:abstractNumId w:val="49"/>
  </w:num>
  <w:num w:numId="5">
    <w:abstractNumId w:val="15"/>
  </w:num>
  <w:num w:numId="6">
    <w:abstractNumId w:val="57"/>
  </w:num>
  <w:num w:numId="7">
    <w:abstractNumId w:val="14"/>
  </w:num>
  <w:num w:numId="8">
    <w:abstractNumId w:val="51"/>
  </w:num>
  <w:num w:numId="9">
    <w:abstractNumId w:val="39"/>
  </w:num>
  <w:num w:numId="10">
    <w:abstractNumId w:val="9"/>
  </w:num>
  <w:num w:numId="11">
    <w:abstractNumId w:val="44"/>
  </w:num>
  <w:num w:numId="12">
    <w:abstractNumId w:val="31"/>
  </w:num>
  <w:num w:numId="13">
    <w:abstractNumId w:val="47"/>
  </w:num>
  <w:num w:numId="14">
    <w:abstractNumId w:val="0"/>
  </w:num>
  <w:num w:numId="15">
    <w:abstractNumId w:val="40"/>
  </w:num>
  <w:num w:numId="16">
    <w:abstractNumId w:val="7"/>
  </w:num>
  <w:num w:numId="17">
    <w:abstractNumId w:val="28"/>
  </w:num>
  <w:num w:numId="18">
    <w:abstractNumId w:val="56"/>
  </w:num>
  <w:num w:numId="19">
    <w:abstractNumId w:val="5"/>
  </w:num>
  <w:num w:numId="20">
    <w:abstractNumId w:val="27"/>
  </w:num>
  <w:num w:numId="21">
    <w:abstractNumId w:val="32"/>
  </w:num>
  <w:num w:numId="22">
    <w:abstractNumId w:val="41"/>
  </w:num>
  <w:num w:numId="23">
    <w:abstractNumId w:val="4"/>
  </w:num>
  <w:num w:numId="24">
    <w:abstractNumId w:val="17"/>
  </w:num>
  <w:num w:numId="25">
    <w:abstractNumId w:val="12"/>
  </w:num>
  <w:num w:numId="26">
    <w:abstractNumId w:val="16"/>
  </w:num>
  <w:num w:numId="27">
    <w:abstractNumId w:val="18"/>
  </w:num>
  <w:num w:numId="28">
    <w:abstractNumId w:val="54"/>
  </w:num>
  <w:num w:numId="29">
    <w:abstractNumId w:val="1"/>
  </w:num>
  <w:num w:numId="30">
    <w:abstractNumId w:val="3"/>
  </w:num>
  <w:num w:numId="31">
    <w:abstractNumId w:val="36"/>
  </w:num>
  <w:num w:numId="32">
    <w:abstractNumId w:val="50"/>
  </w:num>
  <w:num w:numId="33">
    <w:abstractNumId w:val="38"/>
  </w:num>
  <w:num w:numId="34">
    <w:abstractNumId w:val="11"/>
  </w:num>
  <w:num w:numId="35">
    <w:abstractNumId w:val="29"/>
  </w:num>
  <w:num w:numId="36">
    <w:abstractNumId w:val="19"/>
  </w:num>
  <w:num w:numId="37">
    <w:abstractNumId w:val="22"/>
  </w:num>
  <w:num w:numId="38">
    <w:abstractNumId w:val="53"/>
  </w:num>
  <w:num w:numId="39">
    <w:abstractNumId w:val="21"/>
  </w:num>
  <w:num w:numId="40">
    <w:abstractNumId w:val="20"/>
  </w:num>
  <w:num w:numId="41">
    <w:abstractNumId w:val="35"/>
  </w:num>
  <w:num w:numId="42">
    <w:abstractNumId w:val="46"/>
  </w:num>
  <w:num w:numId="43">
    <w:abstractNumId w:val="10"/>
  </w:num>
  <w:num w:numId="44">
    <w:abstractNumId w:val="52"/>
  </w:num>
  <w:num w:numId="45">
    <w:abstractNumId w:val="8"/>
  </w:num>
  <w:num w:numId="46">
    <w:abstractNumId w:val="2"/>
  </w:num>
  <w:num w:numId="47">
    <w:abstractNumId w:val="26"/>
  </w:num>
  <w:num w:numId="48">
    <w:abstractNumId w:val="42"/>
  </w:num>
  <w:num w:numId="49">
    <w:abstractNumId w:val="48"/>
  </w:num>
  <w:num w:numId="50">
    <w:abstractNumId w:val="45"/>
  </w:num>
  <w:num w:numId="51">
    <w:abstractNumId w:val="24"/>
  </w:num>
  <w:num w:numId="52">
    <w:abstractNumId w:val="25"/>
  </w:num>
  <w:num w:numId="53">
    <w:abstractNumId w:val="55"/>
  </w:num>
  <w:num w:numId="54">
    <w:abstractNumId w:val="34"/>
  </w:num>
  <w:num w:numId="55">
    <w:abstractNumId w:val="37"/>
  </w:num>
  <w:num w:numId="56">
    <w:abstractNumId w:val="23"/>
  </w:num>
  <w:num w:numId="57">
    <w:abstractNumId w:val="13"/>
  </w:num>
  <w:num w:numId="58">
    <w:abstractNumId w:val="33"/>
  </w:num>
  <w:num w:numId="59">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2dftfxw1fvsr1efx58vfvxtvfwzxea0td02&quot;&gt;Final report library AMH&lt;record-ids&gt;&lt;item&gt;9&lt;/item&gt;&lt;item&gt;17&lt;/item&gt;&lt;item&gt;22&lt;/item&gt;&lt;item&gt;25&lt;/item&gt;&lt;item&gt;27&lt;/item&gt;&lt;item&gt;28&lt;/item&gt;&lt;item&gt;31&lt;/item&gt;&lt;item&gt;42&lt;/item&gt;&lt;item&gt;67&lt;/item&gt;&lt;item&gt;68&lt;/item&gt;&lt;item&gt;72&lt;/item&gt;&lt;item&gt;87&lt;/item&gt;&lt;item&gt;88&lt;/item&gt;&lt;item&gt;110&lt;/item&gt;&lt;item&gt;112&lt;/item&gt;&lt;item&gt;113&lt;/item&gt;&lt;item&gt;114&lt;/item&gt;&lt;item&gt;115&lt;/item&gt;&lt;item&gt;117&lt;/item&gt;&lt;item&gt;139&lt;/item&gt;&lt;item&gt;140&lt;/item&gt;&lt;item&gt;146&lt;/item&gt;&lt;item&gt;173&lt;/item&gt;&lt;item&gt;174&lt;/item&gt;&lt;item&gt;175&lt;/item&gt;&lt;item&gt;178&lt;/item&gt;&lt;item&gt;183&lt;/item&gt;&lt;item&gt;187&lt;/item&gt;&lt;item&gt;188&lt;/item&gt;&lt;item&gt;202&lt;/item&gt;&lt;item&gt;204&lt;/item&gt;&lt;item&gt;206&lt;/item&gt;&lt;item&gt;222&lt;/item&gt;&lt;item&gt;234&lt;/item&gt;&lt;item&gt;235&lt;/item&gt;&lt;item&gt;236&lt;/item&gt;&lt;item&gt;239&lt;/item&gt;&lt;item&gt;240&lt;/item&gt;&lt;item&gt;246&lt;/item&gt;&lt;item&gt;251&lt;/item&gt;&lt;item&gt;264&lt;/item&gt;&lt;item&gt;271&lt;/item&gt;&lt;item&gt;273&lt;/item&gt;&lt;item&gt;276&lt;/item&gt;&lt;item&gt;277&lt;/item&gt;&lt;item&gt;278&lt;/item&gt;&lt;item&gt;279&lt;/item&gt;&lt;item&gt;280&lt;/item&gt;&lt;item&gt;281&lt;/item&gt;&lt;item&gt;286&lt;/item&gt;&lt;item&gt;289&lt;/item&gt;&lt;item&gt;291&lt;/item&gt;&lt;item&gt;293&lt;/item&gt;&lt;item&gt;304&lt;/item&gt;&lt;item&gt;324&lt;/item&gt;&lt;item&gt;329&lt;/item&gt;&lt;item&gt;332&lt;/item&gt;&lt;item&gt;333&lt;/item&gt;&lt;item&gt;334&lt;/item&gt;&lt;item&gt;335&lt;/item&gt;&lt;item&gt;336&lt;/item&gt;&lt;item&gt;337&lt;/item&gt;&lt;item&gt;340&lt;/item&gt;&lt;item&gt;345&lt;/item&gt;&lt;item&gt;349&lt;/item&gt;&lt;item&gt;355&lt;/item&gt;&lt;item&gt;361&lt;/item&gt;&lt;item&gt;371&lt;/item&gt;&lt;item&gt;372&lt;/item&gt;&lt;item&gt;374&lt;/item&gt;&lt;item&gt;398&lt;/item&gt;&lt;item&gt;399&lt;/item&gt;&lt;item&gt;402&lt;/item&gt;&lt;item&gt;403&lt;/item&gt;&lt;item&gt;407&lt;/item&gt;&lt;item&gt;408&lt;/item&gt;&lt;item&gt;410&lt;/item&gt;&lt;item&gt;412&lt;/item&gt;&lt;/record-ids&gt;&lt;/item&gt;&lt;/Libraries&gt;"/>
  </w:docVars>
  <w:rsids>
    <w:rsidRoot w:val="00B379FB"/>
    <w:rsid w:val="000006B5"/>
    <w:rsid w:val="00000B2B"/>
    <w:rsid w:val="00000B9C"/>
    <w:rsid w:val="00000BEB"/>
    <w:rsid w:val="00000C42"/>
    <w:rsid w:val="00000FA9"/>
    <w:rsid w:val="000010CA"/>
    <w:rsid w:val="0000127D"/>
    <w:rsid w:val="0000136D"/>
    <w:rsid w:val="0000190C"/>
    <w:rsid w:val="00001C3C"/>
    <w:rsid w:val="00001E31"/>
    <w:rsid w:val="00001F98"/>
    <w:rsid w:val="0000226A"/>
    <w:rsid w:val="0000227B"/>
    <w:rsid w:val="0000228D"/>
    <w:rsid w:val="00002531"/>
    <w:rsid w:val="00002552"/>
    <w:rsid w:val="000029C6"/>
    <w:rsid w:val="000029F2"/>
    <w:rsid w:val="00003287"/>
    <w:rsid w:val="00003796"/>
    <w:rsid w:val="000038EC"/>
    <w:rsid w:val="00003BEF"/>
    <w:rsid w:val="00003E07"/>
    <w:rsid w:val="0000430A"/>
    <w:rsid w:val="00004D16"/>
    <w:rsid w:val="00005109"/>
    <w:rsid w:val="00005257"/>
    <w:rsid w:val="0000536A"/>
    <w:rsid w:val="000055D4"/>
    <w:rsid w:val="000056FA"/>
    <w:rsid w:val="00006627"/>
    <w:rsid w:val="00006641"/>
    <w:rsid w:val="00006961"/>
    <w:rsid w:val="000069A7"/>
    <w:rsid w:val="00006C74"/>
    <w:rsid w:val="0000750D"/>
    <w:rsid w:val="000078F6"/>
    <w:rsid w:val="00007948"/>
    <w:rsid w:val="00007A44"/>
    <w:rsid w:val="00007A4C"/>
    <w:rsid w:val="00007BE0"/>
    <w:rsid w:val="00007D81"/>
    <w:rsid w:val="00007DC0"/>
    <w:rsid w:val="000106F7"/>
    <w:rsid w:val="0001085B"/>
    <w:rsid w:val="0001088E"/>
    <w:rsid w:val="000108EE"/>
    <w:rsid w:val="000109F3"/>
    <w:rsid w:val="00010BE0"/>
    <w:rsid w:val="00010BE1"/>
    <w:rsid w:val="00010BF8"/>
    <w:rsid w:val="00010FB8"/>
    <w:rsid w:val="000111D2"/>
    <w:rsid w:val="00011502"/>
    <w:rsid w:val="00011550"/>
    <w:rsid w:val="00011758"/>
    <w:rsid w:val="00011772"/>
    <w:rsid w:val="00011BB4"/>
    <w:rsid w:val="00012330"/>
    <w:rsid w:val="00012EA4"/>
    <w:rsid w:val="00012EA6"/>
    <w:rsid w:val="0001307B"/>
    <w:rsid w:val="000130D3"/>
    <w:rsid w:val="000133F9"/>
    <w:rsid w:val="000134C1"/>
    <w:rsid w:val="0001357B"/>
    <w:rsid w:val="00013791"/>
    <w:rsid w:val="000137DC"/>
    <w:rsid w:val="0001388D"/>
    <w:rsid w:val="00013934"/>
    <w:rsid w:val="000139D1"/>
    <w:rsid w:val="000139EB"/>
    <w:rsid w:val="00013B46"/>
    <w:rsid w:val="00013BF1"/>
    <w:rsid w:val="00013FA1"/>
    <w:rsid w:val="00014736"/>
    <w:rsid w:val="00014776"/>
    <w:rsid w:val="00014917"/>
    <w:rsid w:val="000149C2"/>
    <w:rsid w:val="00014A66"/>
    <w:rsid w:val="00014AAE"/>
    <w:rsid w:val="00014D6D"/>
    <w:rsid w:val="00014EC1"/>
    <w:rsid w:val="00015282"/>
    <w:rsid w:val="000155E6"/>
    <w:rsid w:val="0001563F"/>
    <w:rsid w:val="00015787"/>
    <w:rsid w:val="00015C26"/>
    <w:rsid w:val="00015E03"/>
    <w:rsid w:val="000160B3"/>
    <w:rsid w:val="0001628E"/>
    <w:rsid w:val="00016333"/>
    <w:rsid w:val="0001667E"/>
    <w:rsid w:val="00016792"/>
    <w:rsid w:val="000167CF"/>
    <w:rsid w:val="00016FDF"/>
    <w:rsid w:val="000171FD"/>
    <w:rsid w:val="00017891"/>
    <w:rsid w:val="00017B2B"/>
    <w:rsid w:val="00017BFF"/>
    <w:rsid w:val="00017CAB"/>
    <w:rsid w:val="00017D44"/>
    <w:rsid w:val="0002062A"/>
    <w:rsid w:val="00020A61"/>
    <w:rsid w:val="00020C59"/>
    <w:rsid w:val="00020F15"/>
    <w:rsid w:val="00021072"/>
    <w:rsid w:val="000214B4"/>
    <w:rsid w:val="00021FDC"/>
    <w:rsid w:val="0002230A"/>
    <w:rsid w:val="0002256B"/>
    <w:rsid w:val="0002265C"/>
    <w:rsid w:val="00022942"/>
    <w:rsid w:val="00022964"/>
    <w:rsid w:val="000236CF"/>
    <w:rsid w:val="00023792"/>
    <w:rsid w:val="000237FD"/>
    <w:rsid w:val="00023800"/>
    <w:rsid w:val="0002446C"/>
    <w:rsid w:val="00024819"/>
    <w:rsid w:val="0002581D"/>
    <w:rsid w:val="00025C8D"/>
    <w:rsid w:val="00025CD9"/>
    <w:rsid w:val="00025D96"/>
    <w:rsid w:val="00025F1A"/>
    <w:rsid w:val="00026402"/>
    <w:rsid w:val="000266AD"/>
    <w:rsid w:val="0002695E"/>
    <w:rsid w:val="00026D2F"/>
    <w:rsid w:val="00026D6A"/>
    <w:rsid w:val="00027055"/>
    <w:rsid w:val="0002707D"/>
    <w:rsid w:val="00027329"/>
    <w:rsid w:val="0002749F"/>
    <w:rsid w:val="00027611"/>
    <w:rsid w:val="00027B53"/>
    <w:rsid w:val="00027DDF"/>
    <w:rsid w:val="00027F1B"/>
    <w:rsid w:val="00030C76"/>
    <w:rsid w:val="00030DD9"/>
    <w:rsid w:val="00030E6F"/>
    <w:rsid w:val="00030FB4"/>
    <w:rsid w:val="00031143"/>
    <w:rsid w:val="000311A8"/>
    <w:rsid w:val="0003132A"/>
    <w:rsid w:val="00031330"/>
    <w:rsid w:val="0003136E"/>
    <w:rsid w:val="000313F3"/>
    <w:rsid w:val="000314E2"/>
    <w:rsid w:val="00031A2C"/>
    <w:rsid w:val="00031B28"/>
    <w:rsid w:val="000321D9"/>
    <w:rsid w:val="00032528"/>
    <w:rsid w:val="0003260D"/>
    <w:rsid w:val="00033E27"/>
    <w:rsid w:val="000340BA"/>
    <w:rsid w:val="000348AC"/>
    <w:rsid w:val="00034A79"/>
    <w:rsid w:val="00034AE9"/>
    <w:rsid w:val="00034CFE"/>
    <w:rsid w:val="0003587F"/>
    <w:rsid w:val="0003595E"/>
    <w:rsid w:val="00035EEF"/>
    <w:rsid w:val="00035FF2"/>
    <w:rsid w:val="000360FF"/>
    <w:rsid w:val="00036221"/>
    <w:rsid w:val="0003639B"/>
    <w:rsid w:val="0003669F"/>
    <w:rsid w:val="000368B9"/>
    <w:rsid w:val="00036954"/>
    <w:rsid w:val="00036AAB"/>
    <w:rsid w:val="00036F0B"/>
    <w:rsid w:val="000373D6"/>
    <w:rsid w:val="000373E8"/>
    <w:rsid w:val="00037729"/>
    <w:rsid w:val="00037B2B"/>
    <w:rsid w:val="00040305"/>
    <w:rsid w:val="000406B4"/>
    <w:rsid w:val="00040D41"/>
    <w:rsid w:val="00040D6B"/>
    <w:rsid w:val="00040DD2"/>
    <w:rsid w:val="0004109F"/>
    <w:rsid w:val="0004165A"/>
    <w:rsid w:val="00041867"/>
    <w:rsid w:val="00041ADB"/>
    <w:rsid w:val="00041B23"/>
    <w:rsid w:val="00041C6F"/>
    <w:rsid w:val="00041F2B"/>
    <w:rsid w:val="000424B4"/>
    <w:rsid w:val="0004250B"/>
    <w:rsid w:val="000427BC"/>
    <w:rsid w:val="000427F8"/>
    <w:rsid w:val="00043293"/>
    <w:rsid w:val="00043BB9"/>
    <w:rsid w:val="00043C04"/>
    <w:rsid w:val="00043E2F"/>
    <w:rsid w:val="0004468B"/>
    <w:rsid w:val="00044B7A"/>
    <w:rsid w:val="0004536B"/>
    <w:rsid w:val="00045C50"/>
    <w:rsid w:val="0004642F"/>
    <w:rsid w:val="0004647C"/>
    <w:rsid w:val="000464C3"/>
    <w:rsid w:val="000465EF"/>
    <w:rsid w:val="00046E1D"/>
    <w:rsid w:val="000470F1"/>
    <w:rsid w:val="00050356"/>
    <w:rsid w:val="000508A4"/>
    <w:rsid w:val="00050A0E"/>
    <w:rsid w:val="00050C11"/>
    <w:rsid w:val="00050DAA"/>
    <w:rsid w:val="00051060"/>
    <w:rsid w:val="00051085"/>
    <w:rsid w:val="000510B4"/>
    <w:rsid w:val="000512A0"/>
    <w:rsid w:val="0005149D"/>
    <w:rsid w:val="0005156D"/>
    <w:rsid w:val="00051666"/>
    <w:rsid w:val="00051A96"/>
    <w:rsid w:val="00051E25"/>
    <w:rsid w:val="000520C8"/>
    <w:rsid w:val="0005232D"/>
    <w:rsid w:val="00052434"/>
    <w:rsid w:val="0005255F"/>
    <w:rsid w:val="0005272E"/>
    <w:rsid w:val="00052741"/>
    <w:rsid w:val="0005281F"/>
    <w:rsid w:val="0005287C"/>
    <w:rsid w:val="00052935"/>
    <w:rsid w:val="00052C4C"/>
    <w:rsid w:val="00052E3F"/>
    <w:rsid w:val="00052FBC"/>
    <w:rsid w:val="00053A89"/>
    <w:rsid w:val="00054521"/>
    <w:rsid w:val="000549A5"/>
    <w:rsid w:val="00054C2E"/>
    <w:rsid w:val="00054C69"/>
    <w:rsid w:val="000554AA"/>
    <w:rsid w:val="00055E08"/>
    <w:rsid w:val="00056684"/>
    <w:rsid w:val="00056983"/>
    <w:rsid w:val="00056BE2"/>
    <w:rsid w:val="00056DC4"/>
    <w:rsid w:val="00056ED1"/>
    <w:rsid w:val="00057106"/>
    <w:rsid w:val="00057834"/>
    <w:rsid w:val="00060346"/>
    <w:rsid w:val="00060875"/>
    <w:rsid w:val="000608FD"/>
    <w:rsid w:val="000609A2"/>
    <w:rsid w:val="00060B82"/>
    <w:rsid w:val="00060E4F"/>
    <w:rsid w:val="00060E70"/>
    <w:rsid w:val="000613E7"/>
    <w:rsid w:val="00061A1C"/>
    <w:rsid w:val="00061AF5"/>
    <w:rsid w:val="00061DB6"/>
    <w:rsid w:val="00062064"/>
    <w:rsid w:val="000625F7"/>
    <w:rsid w:val="00062F2F"/>
    <w:rsid w:val="0006305D"/>
    <w:rsid w:val="00063167"/>
    <w:rsid w:val="00063311"/>
    <w:rsid w:val="0006338A"/>
    <w:rsid w:val="0006384B"/>
    <w:rsid w:val="00063985"/>
    <w:rsid w:val="00063A3A"/>
    <w:rsid w:val="00063BA5"/>
    <w:rsid w:val="00063C88"/>
    <w:rsid w:val="00063CC4"/>
    <w:rsid w:val="00063F44"/>
    <w:rsid w:val="00063FE3"/>
    <w:rsid w:val="0006406E"/>
    <w:rsid w:val="00064141"/>
    <w:rsid w:val="0006420B"/>
    <w:rsid w:val="0006422B"/>
    <w:rsid w:val="00064269"/>
    <w:rsid w:val="0006454A"/>
    <w:rsid w:val="00064A78"/>
    <w:rsid w:val="000650CB"/>
    <w:rsid w:val="0006531D"/>
    <w:rsid w:val="00065DD7"/>
    <w:rsid w:val="000665A4"/>
    <w:rsid w:val="000665F1"/>
    <w:rsid w:val="00066CD5"/>
    <w:rsid w:val="00066F5D"/>
    <w:rsid w:val="00067442"/>
    <w:rsid w:val="00067767"/>
    <w:rsid w:val="00067A8F"/>
    <w:rsid w:val="00067BF6"/>
    <w:rsid w:val="000701EE"/>
    <w:rsid w:val="000704AA"/>
    <w:rsid w:val="00070B84"/>
    <w:rsid w:val="00071055"/>
    <w:rsid w:val="000714C7"/>
    <w:rsid w:val="000715CB"/>
    <w:rsid w:val="00071847"/>
    <w:rsid w:val="00071963"/>
    <w:rsid w:val="00071B67"/>
    <w:rsid w:val="00071BA0"/>
    <w:rsid w:val="00072199"/>
    <w:rsid w:val="0007284B"/>
    <w:rsid w:val="00072A22"/>
    <w:rsid w:val="00072DC0"/>
    <w:rsid w:val="00073220"/>
    <w:rsid w:val="00073235"/>
    <w:rsid w:val="00073267"/>
    <w:rsid w:val="00073339"/>
    <w:rsid w:val="00073376"/>
    <w:rsid w:val="00073636"/>
    <w:rsid w:val="0007379A"/>
    <w:rsid w:val="00073882"/>
    <w:rsid w:val="000739E5"/>
    <w:rsid w:val="00073A8D"/>
    <w:rsid w:val="00073B69"/>
    <w:rsid w:val="00073EC5"/>
    <w:rsid w:val="000740A9"/>
    <w:rsid w:val="00074ABF"/>
    <w:rsid w:val="00074F92"/>
    <w:rsid w:val="000759C5"/>
    <w:rsid w:val="00075A7C"/>
    <w:rsid w:val="00075C24"/>
    <w:rsid w:val="00075F50"/>
    <w:rsid w:val="000762F9"/>
    <w:rsid w:val="000768BB"/>
    <w:rsid w:val="00076A45"/>
    <w:rsid w:val="00076A70"/>
    <w:rsid w:val="00076F32"/>
    <w:rsid w:val="00077247"/>
    <w:rsid w:val="000774DB"/>
    <w:rsid w:val="00077880"/>
    <w:rsid w:val="00077D75"/>
    <w:rsid w:val="00077EDC"/>
    <w:rsid w:val="0008033F"/>
    <w:rsid w:val="00080706"/>
    <w:rsid w:val="00080986"/>
    <w:rsid w:val="000809D5"/>
    <w:rsid w:val="0008168D"/>
    <w:rsid w:val="000821BD"/>
    <w:rsid w:val="000822EA"/>
    <w:rsid w:val="0008244A"/>
    <w:rsid w:val="0008260B"/>
    <w:rsid w:val="00082712"/>
    <w:rsid w:val="000828FE"/>
    <w:rsid w:val="00082977"/>
    <w:rsid w:val="00082A02"/>
    <w:rsid w:val="00082C5A"/>
    <w:rsid w:val="00082CDD"/>
    <w:rsid w:val="00082E66"/>
    <w:rsid w:val="00082EC5"/>
    <w:rsid w:val="00083498"/>
    <w:rsid w:val="0008367E"/>
    <w:rsid w:val="000838C2"/>
    <w:rsid w:val="000844D9"/>
    <w:rsid w:val="00084CE9"/>
    <w:rsid w:val="00084D5C"/>
    <w:rsid w:val="00084F83"/>
    <w:rsid w:val="00085282"/>
    <w:rsid w:val="00085400"/>
    <w:rsid w:val="00085981"/>
    <w:rsid w:val="00085C31"/>
    <w:rsid w:val="00085E9D"/>
    <w:rsid w:val="0008612D"/>
    <w:rsid w:val="000861FA"/>
    <w:rsid w:val="00086491"/>
    <w:rsid w:val="000868BD"/>
    <w:rsid w:val="00086968"/>
    <w:rsid w:val="000869F6"/>
    <w:rsid w:val="00086D44"/>
    <w:rsid w:val="00086DB8"/>
    <w:rsid w:val="00086E5C"/>
    <w:rsid w:val="000874D3"/>
    <w:rsid w:val="00087F4E"/>
    <w:rsid w:val="00090330"/>
    <w:rsid w:val="000903F9"/>
    <w:rsid w:val="0009046E"/>
    <w:rsid w:val="000905F4"/>
    <w:rsid w:val="00090904"/>
    <w:rsid w:val="00090AA3"/>
    <w:rsid w:val="00090BD2"/>
    <w:rsid w:val="00090DDE"/>
    <w:rsid w:val="00090EF8"/>
    <w:rsid w:val="00091296"/>
    <w:rsid w:val="00091667"/>
    <w:rsid w:val="000917C7"/>
    <w:rsid w:val="00091989"/>
    <w:rsid w:val="00091A2F"/>
    <w:rsid w:val="00092116"/>
    <w:rsid w:val="0009269C"/>
    <w:rsid w:val="00092A35"/>
    <w:rsid w:val="00092C66"/>
    <w:rsid w:val="00092CFA"/>
    <w:rsid w:val="000933E6"/>
    <w:rsid w:val="0009364B"/>
    <w:rsid w:val="000937B3"/>
    <w:rsid w:val="0009386C"/>
    <w:rsid w:val="000939B9"/>
    <w:rsid w:val="00093C9A"/>
    <w:rsid w:val="00093CE9"/>
    <w:rsid w:val="00093DC4"/>
    <w:rsid w:val="00094053"/>
    <w:rsid w:val="000943A1"/>
    <w:rsid w:val="00094878"/>
    <w:rsid w:val="00094977"/>
    <w:rsid w:val="00094DBD"/>
    <w:rsid w:val="000951D0"/>
    <w:rsid w:val="00095BD5"/>
    <w:rsid w:val="00096B92"/>
    <w:rsid w:val="00096BD5"/>
    <w:rsid w:val="00096EBE"/>
    <w:rsid w:val="00097AAC"/>
    <w:rsid w:val="000A0146"/>
    <w:rsid w:val="000A051D"/>
    <w:rsid w:val="000A0790"/>
    <w:rsid w:val="000A07CB"/>
    <w:rsid w:val="000A0B72"/>
    <w:rsid w:val="000A0C9C"/>
    <w:rsid w:val="000A0D18"/>
    <w:rsid w:val="000A1298"/>
    <w:rsid w:val="000A13F7"/>
    <w:rsid w:val="000A1426"/>
    <w:rsid w:val="000A1508"/>
    <w:rsid w:val="000A186E"/>
    <w:rsid w:val="000A1D85"/>
    <w:rsid w:val="000A2278"/>
    <w:rsid w:val="000A2445"/>
    <w:rsid w:val="000A272A"/>
    <w:rsid w:val="000A2C9E"/>
    <w:rsid w:val="000A3041"/>
    <w:rsid w:val="000A32AA"/>
    <w:rsid w:val="000A3454"/>
    <w:rsid w:val="000A375A"/>
    <w:rsid w:val="000A39F4"/>
    <w:rsid w:val="000A3AAF"/>
    <w:rsid w:val="000A3E60"/>
    <w:rsid w:val="000A3F2F"/>
    <w:rsid w:val="000A3F8D"/>
    <w:rsid w:val="000A4DF3"/>
    <w:rsid w:val="000A546E"/>
    <w:rsid w:val="000A54AD"/>
    <w:rsid w:val="000A55B4"/>
    <w:rsid w:val="000A56F0"/>
    <w:rsid w:val="000A5CE8"/>
    <w:rsid w:val="000A5DB5"/>
    <w:rsid w:val="000A612B"/>
    <w:rsid w:val="000A6C01"/>
    <w:rsid w:val="000A7356"/>
    <w:rsid w:val="000A7567"/>
    <w:rsid w:val="000A77C8"/>
    <w:rsid w:val="000A7943"/>
    <w:rsid w:val="000A7D0A"/>
    <w:rsid w:val="000B0305"/>
    <w:rsid w:val="000B0364"/>
    <w:rsid w:val="000B0647"/>
    <w:rsid w:val="000B06C4"/>
    <w:rsid w:val="000B0993"/>
    <w:rsid w:val="000B0F0F"/>
    <w:rsid w:val="000B1434"/>
    <w:rsid w:val="000B164F"/>
    <w:rsid w:val="000B1F56"/>
    <w:rsid w:val="000B21CB"/>
    <w:rsid w:val="000B23EA"/>
    <w:rsid w:val="000B2416"/>
    <w:rsid w:val="000B2675"/>
    <w:rsid w:val="000B2748"/>
    <w:rsid w:val="000B274D"/>
    <w:rsid w:val="000B2896"/>
    <w:rsid w:val="000B2DCA"/>
    <w:rsid w:val="000B2E4B"/>
    <w:rsid w:val="000B2FB9"/>
    <w:rsid w:val="000B30A2"/>
    <w:rsid w:val="000B3610"/>
    <w:rsid w:val="000B3CA5"/>
    <w:rsid w:val="000B4253"/>
    <w:rsid w:val="000B4A87"/>
    <w:rsid w:val="000B4BDC"/>
    <w:rsid w:val="000B4CAD"/>
    <w:rsid w:val="000B508C"/>
    <w:rsid w:val="000B525C"/>
    <w:rsid w:val="000B5C7B"/>
    <w:rsid w:val="000B5D81"/>
    <w:rsid w:val="000B63E1"/>
    <w:rsid w:val="000B688F"/>
    <w:rsid w:val="000B75AA"/>
    <w:rsid w:val="000B7990"/>
    <w:rsid w:val="000B7A2F"/>
    <w:rsid w:val="000B7B78"/>
    <w:rsid w:val="000B7DFE"/>
    <w:rsid w:val="000B7EE2"/>
    <w:rsid w:val="000B7EE7"/>
    <w:rsid w:val="000B7F5D"/>
    <w:rsid w:val="000C0364"/>
    <w:rsid w:val="000C0493"/>
    <w:rsid w:val="000C04C1"/>
    <w:rsid w:val="000C0684"/>
    <w:rsid w:val="000C10BA"/>
    <w:rsid w:val="000C14EF"/>
    <w:rsid w:val="000C1599"/>
    <w:rsid w:val="000C1714"/>
    <w:rsid w:val="000C1747"/>
    <w:rsid w:val="000C1AFE"/>
    <w:rsid w:val="000C1DFE"/>
    <w:rsid w:val="000C226B"/>
    <w:rsid w:val="000C2A53"/>
    <w:rsid w:val="000C2BC6"/>
    <w:rsid w:val="000C32A4"/>
    <w:rsid w:val="000C33DD"/>
    <w:rsid w:val="000C354A"/>
    <w:rsid w:val="000C3CDE"/>
    <w:rsid w:val="000C4137"/>
    <w:rsid w:val="000C4404"/>
    <w:rsid w:val="000C44CA"/>
    <w:rsid w:val="000C53B8"/>
    <w:rsid w:val="000C5752"/>
    <w:rsid w:val="000C5878"/>
    <w:rsid w:val="000C59F8"/>
    <w:rsid w:val="000C5A70"/>
    <w:rsid w:val="000C5D0A"/>
    <w:rsid w:val="000C5F36"/>
    <w:rsid w:val="000C61C5"/>
    <w:rsid w:val="000C651F"/>
    <w:rsid w:val="000C6D10"/>
    <w:rsid w:val="000C7395"/>
    <w:rsid w:val="000C769F"/>
    <w:rsid w:val="000C7B8B"/>
    <w:rsid w:val="000C7C44"/>
    <w:rsid w:val="000C7F6A"/>
    <w:rsid w:val="000D0128"/>
    <w:rsid w:val="000D02CC"/>
    <w:rsid w:val="000D04F4"/>
    <w:rsid w:val="000D0CC8"/>
    <w:rsid w:val="000D0F06"/>
    <w:rsid w:val="000D1258"/>
    <w:rsid w:val="000D1300"/>
    <w:rsid w:val="000D13CD"/>
    <w:rsid w:val="000D180A"/>
    <w:rsid w:val="000D186C"/>
    <w:rsid w:val="000D18A1"/>
    <w:rsid w:val="000D18A2"/>
    <w:rsid w:val="000D1C4C"/>
    <w:rsid w:val="000D2118"/>
    <w:rsid w:val="000D21E3"/>
    <w:rsid w:val="000D262D"/>
    <w:rsid w:val="000D2D78"/>
    <w:rsid w:val="000D2D79"/>
    <w:rsid w:val="000D2D89"/>
    <w:rsid w:val="000D2E96"/>
    <w:rsid w:val="000D2EB6"/>
    <w:rsid w:val="000D2F66"/>
    <w:rsid w:val="000D3024"/>
    <w:rsid w:val="000D328F"/>
    <w:rsid w:val="000D3317"/>
    <w:rsid w:val="000D33CE"/>
    <w:rsid w:val="000D34EB"/>
    <w:rsid w:val="000D3AD0"/>
    <w:rsid w:val="000D3B89"/>
    <w:rsid w:val="000D3E93"/>
    <w:rsid w:val="000D4203"/>
    <w:rsid w:val="000D4324"/>
    <w:rsid w:val="000D4462"/>
    <w:rsid w:val="000D4AB6"/>
    <w:rsid w:val="000D4D6A"/>
    <w:rsid w:val="000D4DFE"/>
    <w:rsid w:val="000D4E1A"/>
    <w:rsid w:val="000D4F8C"/>
    <w:rsid w:val="000D4FCE"/>
    <w:rsid w:val="000D50CD"/>
    <w:rsid w:val="000D5A53"/>
    <w:rsid w:val="000D5AF8"/>
    <w:rsid w:val="000D60AA"/>
    <w:rsid w:val="000D63E0"/>
    <w:rsid w:val="000D6684"/>
    <w:rsid w:val="000D6840"/>
    <w:rsid w:val="000D708E"/>
    <w:rsid w:val="000E02D8"/>
    <w:rsid w:val="000E073C"/>
    <w:rsid w:val="000E09A4"/>
    <w:rsid w:val="000E0B6A"/>
    <w:rsid w:val="000E0D09"/>
    <w:rsid w:val="000E125E"/>
    <w:rsid w:val="000E1439"/>
    <w:rsid w:val="000E145B"/>
    <w:rsid w:val="000E1520"/>
    <w:rsid w:val="000E160C"/>
    <w:rsid w:val="000E1C9D"/>
    <w:rsid w:val="000E1D12"/>
    <w:rsid w:val="000E21A2"/>
    <w:rsid w:val="000E2864"/>
    <w:rsid w:val="000E32A2"/>
    <w:rsid w:val="000E362B"/>
    <w:rsid w:val="000E36F3"/>
    <w:rsid w:val="000E398C"/>
    <w:rsid w:val="000E3D82"/>
    <w:rsid w:val="000E3E96"/>
    <w:rsid w:val="000E405F"/>
    <w:rsid w:val="000E455E"/>
    <w:rsid w:val="000E4D70"/>
    <w:rsid w:val="000E50DC"/>
    <w:rsid w:val="000E54CB"/>
    <w:rsid w:val="000E551B"/>
    <w:rsid w:val="000E5DA6"/>
    <w:rsid w:val="000E5E5C"/>
    <w:rsid w:val="000E5EAC"/>
    <w:rsid w:val="000E6179"/>
    <w:rsid w:val="000E63DD"/>
    <w:rsid w:val="000E6891"/>
    <w:rsid w:val="000E6A1B"/>
    <w:rsid w:val="000E6C55"/>
    <w:rsid w:val="000E7851"/>
    <w:rsid w:val="000E7969"/>
    <w:rsid w:val="000E7A82"/>
    <w:rsid w:val="000E7AC3"/>
    <w:rsid w:val="000E7B84"/>
    <w:rsid w:val="000E7E95"/>
    <w:rsid w:val="000F0016"/>
    <w:rsid w:val="000F01F5"/>
    <w:rsid w:val="000F0975"/>
    <w:rsid w:val="000F0C54"/>
    <w:rsid w:val="000F0D08"/>
    <w:rsid w:val="000F127E"/>
    <w:rsid w:val="000F1319"/>
    <w:rsid w:val="000F1647"/>
    <w:rsid w:val="000F18E1"/>
    <w:rsid w:val="000F1B86"/>
    <w:rsid w:val="000F1FA8"/>
    <w:rsid w:val="000F1FE9"/>
    <w:rsid w:val="000F204E"/>
    <w:rsid w:val="000F219E"/>
    <w:rsid w:val="000F2321"/>
    <w:rsid w:val="000F236B"/>
    <w:rsid w:val="000F285B"/>
    <w:rsid w:val="000F2BD8"/>
    <w:rsid w:val="000F3B50"/>
    <w:rsid w:val="000F404E"/>
    <w:rsid w:val="000F426F"/>
    <w:rsid w:val="000F4B7F"/>
    <w:rsid w:val="000F4CB0"/>
    <w:rsid w:val="000F508A"/>
    <w:rsid w:val="000F50C5"/>
    <w:rsid w:val="000F5F2C"/>
    <w:rsid w:val="000F5FC9"/>
    <w:rsid w:val="000F640C"/>
    <w:rsid w:val="000F649F"/>
    <w:rsid w:val="000F66F8"/>
    <w:rsid w:val="000F6CE1"/>
    <w:rsid w:val="000F6D1C"/>
    <w:rsid w:val="000F7361"/>
    <w:rsid w:val="000F76EF"/>
    <w:rsid w:val="000F7A58"/>
    <w:rsid w:val="000F7C32"/>
    <w:rsid w:val="000F7FD2"/>
    <w:rsid w:val="00100186"/>
    <w:rsid w:val="001001F0"/>
    <w:rsid w:val="00100281"/>
    <w:rsid w:val="00100570"/>
    <w:rsid w:val="001005AA"/>
    <w:rsid w:val="001007BD"/>
    <w:rsid w:val="0010124A"/>
    <w:rsid w:val="00101616"/>
    <w:rsid w:val="001019F6"/>
    <w:rsid w:val="00101DAF"/>
    <w:rsid w:val="00101EA6"/>
    <w:rsid w:val="001024C0"/>
    <w:rsid w:val="001024FE"/>
    <w:rsid w:val="0010271E"/>
    <w:rsid w:val="00102752"/>
    <w:rsid w:val="00102889"/>
    <w:rsid w:val="00102ACE"/>
    <w:rsid w:val="00102C26"/>
    <w:rsid w:val="00103470"/>
    <w:rsid w:val="0010377A"/>
    <w:rsid w:val="00103FCB"/>
    <w:rsid w:val="00103FE2"/>
    <w:rsid w:val="0010407C"/>
    <w:rsid w:val="0010420B"/>
    <w:rsid w:val="0010452B"/>
    <w:rsid w:val="001047AE"/>
    <w:rsid w:val="00104A52"/>
    <w:rsid w:val="001053AD"/>
    <w:rsid w:val="001059C5"/>
    <w:rsid w:val="0010618E"/>
    <w:rsid w:val="001064DF"/>
    <w:rsid w:val="001064E2"/>
    <w:rsid w:val="00106705"/>
    <w:rsid w:val="001068B9"/>
    <w:rsid w:val="00106CAC"/>
    <w:rsid w:val="00106D47"/>
    <w:rsid w:val="00106D5A"/>
    <w:rsid w:val="00107317"/>
    <w:rsid w:val="0010739A"/>
    <w:rsid w:val="0010739D"/>
    <w:rsid w:val="00107E45"/>
    <w:rsid w:val="001106E0"/>
    <w:rsid w:val="00110763"/>
    <w:rsid w:val="00110A0A"/>
    <w:rsid w:val="00110A66"/>
    <w:rsid w:val="0011109C"/>
    <w:rsid w:val="0011120F"/>
    <w:rsid w:val="00111444"/>
    <w:rsid w:val="00111A9D"/>
    <w:rsid w:val="00111FD8"/>
    <w:rsid w:val="001131C7"/>
    <w:rsid w:val="001134B2"/>
    <w:rsid w:val="00113AE8"/>
    <w:rsid w:val="00114004"/>
    <w:rsid w:val="001140D8"/>
    <w:rsid w:val="00114187"/>
    <w:rsid w:val="00114341"/>
    <w:rsid w:val="0011487E"/>
    <w:rsid w:val="001149DB"/>
    <w:rsid w:val="00114A80"/>
    <w:rsid w:val="00114A88"/>
    <w:rsid w:val="0011532F"/>
    <w:rsid w:val="00115754"/>
    <w:rsid w:val="001158F0"/>
    <w:rsid w:val="00115A5F"/>
    <w:rsid w:val="00115F3B"/>
    <w:rsid w:val="0011634F"/>
    <w:rsid w:val="00116F9A"/>
    <w:rsid w:val="00116FF7"/>
    <w:rsid w:val="00117291"/>
    <w:rsid w:val="0011747B"/>
    <w:rsid w:val="00117514"/>
    <w:rsid w:val="001175AF"/>
    <w:rsid w:val="001176B4"/>
    <w:rsid w:val="001178D8"/>
    <w:rsid w:val="00117C27"/>
    <w:rsid w:val="00117D72"/>
    <w:rsid w:val="001207CE"/>
    <w:rsid w:val="00120886"/>
    <w:rsid w:val="00120C90"/>
    <w:rsid w:val="00120EA6"/>
    <w:rsid w:val="0012148E"/>
    <w:rsid w:val="001214B2"/>
    <w:rsid w:val="001214FB"/>
    <w:rsid w:val="00121513"/>
    <w:rsid w:val="001217CB"/>
    <w:rsid w:val="00121CF0"/>
    <w:rsid w:val="00121E37"/>
    <w:rsid w:val="00122253"/>
    <w:rsid w:val="00122BFE"/>
    <w:rsid w:val="00122E74"/>
    <w:rsid w:val="0012306C"/>
    <w:rsid w:val="0012321E"/>
    <w:rsid w:val="00123707"/>
    <w:rsid w:val="00123994"/>
    <w:rsid w:val="00123BAF"/>
    <w:rsid w:val="00123D7B"/>
    <w:rsid w:val="00123F1D"/>
    <w:rsid w:val="001246F3"/>
    <w:rsid w:val="00124B78"/>
    <w:rsid w:val="00124D5D"/>
    <w:rsid w:val="00124EA4"/>
    <w:rsid w:val="00125441"/>
    <w:rsid w:val="00125879"/>
    <w:rsid w:val="00125C85"/>
    <w:rsid w:val="00125D53"/>
    <w:rsid w:val="00125FE7"/>
    <w:rsid w:val="00126054"/>
    <w:rsid w:val="0012607A"/>
    <w:rsid w:val="00126943"/>
    <w:rsid w:val="00126DE3"/>
    <w:rsid w:val="00126EFA"/>
    <w:rsid w:val="00127363"/>
    <w:rsid w:val="001273C4"/>
    <w:rsid w:val="00127544"/>
    <w:rsid w:val="00127CA9"/>
    <w:rsid w:val="001302CC"/>
    <w:rsid w:val="001303E2"/>
    <w:rsid w:val="0013042C"/>
    <w:rsid w:val="00130648"/>
    <w:rsid w:val="0013076C"/>
    <w:rsid w:val="00130AD5"/>
    <w:rsid w:val="00130D24"/>
    <w:rsid w:val="00130E9B"/>
    <w:rsid w:val="0013111A"/>
    <w:rsid w:val="00131140"/>
    <w:rsid w:val="00131895"/>
    <w:rsid w:val="001320D4"/>
    <w:rsid w:val="001324EC"/>
    <w:rsid w:val="00133128"/>
    <w:rsid w:val="001333E5"/>
    <w:rsid w:val="00133825"/>
    <w:rsid w:val="00133A8D"/>
    <w:rsid w:val="001341F5"/>
    <w:rsid w:val="0013468D"/>
    <w:rsid w:val="001346B4"/>
    <w:rsid w:val="001349E0"/>
    <w:rsid w:val="00134AA1"/>
    <w:rsid w:val="001353E6"/>
    <w:rsid w:val="00135585"/>
    <w:rsid w:val="001358F1"/>
    <w:rsid w:val="0013592E"/>
    <w:rsid w:val="00135D1B"/>
    <w:rsid w:val="00135E02"/>
    <w:rsid w:val="00135EF5"/>
    <w:rsid w:val="0013708B"/>
    <w:rsid w:val="0013727A"/>
    <w:rsid w:val="001372D7"/>
    <w:rsid w:val="00137928"/>
    <w:rsid w:val="00137B1B"/>
    <w:rsid w:val="00137CA8"/>
    <w:rsid w:val="00137F23"/>
    <w:rsid w:val="00140185"/>
    <w:rsid w:val="00140573"/>
    <w:rsid w:val="00140654"/>
    <w:rsid w:val="001406C6"/>
    <w:rsid w:val="001409CD"/>
    <w:rsid w:val="00140C12"/>
    <w:rsid w:val="00140D15"/>
    <w:rsid w:val="00140E14"/>
    <w:rsid w:val="00140F50"/>
    <w:rsid w:val="001410DA"/>
    <w:rsid w:val="00141210"/>
    <w:rsid w:val="001412E5"/>
    <w:rsid w:val="00141431"/>
    <w:rsid w:val="001415B8"/>
    <w:rsid w:val="00141714"/>
    <w:rsid w:val="0014188E"/>
    <w:rsid w:val="00141A75"/>
    <w:rsid w:val="00141D60"/>
    <w:rsid w:val="0014200D"/>
    <w:rsid w:val="0014254D"/>
    <w:rsid w:val="001427FC"/>
    <w:rsid w:val="001428F3"/>
    <w:rsid w:val="001429FA"/>
    <w:rsid w:val="00142BE7"/>
    <w:rsid w:val="00142FAB"/>
    <w:rsid w:val="00143063"/>
    <w:rsid w:val="001431A4"/>
    <w:rsid w:val="001433BE"/>
    <w:rsid w:val="00143A51"/>
    <w:rsid w:val="00143A58"/>
    <w:rsid w:val="00143BE4"/>
    <w:rsid w:val="00143DB1"/>
    <w:rsid w:val="00143DDC"/>
    <w:rsid w:val="001442F1"/>
    <w:rsid w:val="0014499A"/>
    <w:rsid w:val="00144A0B"/>
    <w:rsid w:val="00144D58"/>
    <w:rsid w:val="0014524F"/>
    <w:rsid w:val="00145259"/>
    <w:rsid w:val="00145631"/>
    <w:rsid w:val="00145798"/>
    <w:rsid w:val="001458BC"/>
    <w:rsid w:val="00145A91"/>
    <w:rsid w:val="00145AE0"/>
    <w:rsid w:val="00145F28"/>
    <w:rsid w:val="00146587"/>
    <w:rsid w:val="001465EA"/>
    <w:rsid w:val="00146C81"/>
    <w:rsid w:val="00146CD6"/>
    <w:rsid w:val="00146FE1"/>
    <w:rsid w:val="0014710C"/>
    <w:rsid w:val="0014750D"/>
    <w:rsid w:val="001479B1"/>
    <w:rsid w:val="00147B85"/>
    <w:rsid w:val="00147BE1"/>
    <w:rsid w:val="00147BFF"/>
    <w:rsid w:val="00147FB2"/>
    <w:rsid w:val="00150300"/>
    <w:rsid w:val="0015033A"/>
    <w:rsid w:val="001503B1"/>
    <w:rsid w:val="00150675"/>
    <w:rsid w:val="001508F9"/>
    <w:rsid w:val="00151095"/>
    <w:rsid w:val="001513FA"/>
    <w:rsid w:val="0015178B"/>
    <w:rsid w:val="00151ABF"/>
    <w:rsid w:val="00151D39"/>
    <w:rsid w:val="00151D89"/>
    <w:rsid w:val="00152100"/>
    <w:rsid w:val="001525BE"/>
    <w:rsid w:val="001525DB"/>
    <w:rsid w:val="00152CA5"/>
    <w:rsid w:val="001530D6"/>
    <w:rsid w:val="00153514"/>
    <w:rsid w:val="001539A5"/>
    <w:rsid w:val="00153BBF"/>
    <w:rsid w:val="00153C4D"/>
    <w:rsid w:val="00153FD2"/>
    <w:rsid w:val="00154082"/>
    <w:rsid w:val="00154482"/>
    <w:rsid w:val="001544FF"/>
    <w:rsid w:val="00154913"/>
    <w:rsid w:val="00154B49"/>
    <w:rsid w:val="001550E8"/>
    <w:rsid w:val="00155135"/>
    <w:rsid w:val="0015522A"/>
    <w:rsid w:val="001555D6"/>
    <w:rsid w:val="00156859"/>
    <w:rsid w:val="0015692D"/>
    <w:rsid w:val="00156B8F"/>
    <w:rsid w:val="00156D16"/>
    <w:rsid w:val="00156DC4"/>
    <w:rsid w:val="0015712D"/>
    <w:rsid w:val="00157388"/>
    <w:rsid w:val="00157BEF"/>
    <w:rsid w:val="00157DCC"/>
    <w:rsid w:val="001602D5"/>
    <w:rsid w:val="001603FF"/>
    <w:rsid w:val="00160452"/>
    <w:rsid w:val="00160761"/>
    <w:rsid w:val="00160D13"/>
    <w:rsid w:val="00160E43"/>
    <w:rsid w:val="00161324"/>
    <w:rsid w:val="00161B4A"/>
    <w:rsid w:val="00161B8B"/>
    <w:rsid w:val="00162196"/>
    <w:rsid w:val="0016230E"/>
    <w:rsid w:val="0016247E"/>
    <w:rsid w:val="001624A7"/>
    <w:rsid w:val="001628D0"/>
    <w:rsid w:val="00162928"/>
    <w:rsid w:val="00162B88"/>
    <w:rsid w:val="0016314A"/>
    <w:rsid w:val="00163F13"/>
    <w:rsid w:val="00164176"/>
    <w:rsid w:val="001645B3"/>
    <w:rsid w:val="001645B4"/>
    <w:rsid w:val="001647C1"/>
    <w:rsid w:val="00164EDF"/>
    <w:rsid w:val="00165002"/>
    <w:rsid w:val="001654F6"/>
    <w:rsid w:val="00165813"/>
    <w:rsid w:val="00165B37"/>
    <w:rsid w:val="0016686F"/>
    <w:rsid w:val="00166D3B"/>
    <w:rsid w:val="00166F6C"/>
    <w:rsid w:val="001678DF"/>
    <w:rsid w:val="00167B2A"/>
    <w:rsid w:val="00167E78"/>
    <w:rsid w:val="00170274"/>
    <w:rsid w:val="001702C4"/>
    <w:rsid w:val="001704E5"/>
    <w:rsid w:val="001705B7"/>
    <w:rsid w:val="00170814"/>
    <w:rsid w:val="0017093A"/>
    <w:rsid w:val="00170CD1"/>
    <w:rsid w:val="00170CEB"/>
    <w:rsid w:val="00171806"/>
    <w:rsid w:val="001719B3"/>
    <w:rsid w:val="00171A53"/>
    <w:rsid w:val="00171B8C"/>
    <w:rsid w:val="00171C95"/>
    <w:rsid w:val="00171CFA"/>
    <w:rsid w:val="00171FC7"/>
    <w:rsid w:val="001728A5"/>
    <w:rsid w:val="001729BC"/>
    <w:rsid w:val="00172D3B"/>
    <w:rsid w:val="00172FA1"/>
    <w:rsid w:val="00173048"/>
    <w:rsid w:val="0017367D"/>
    <w:rsid w:val="00174A82"/>
    <w:rsid w:val="00174C1E"/>
    <w:rsid w:val="00174CBB"/>
    <w:rsid w:val="00175429"/>
    <w:rsid w:val="001755CA"/>
    <w:rsid w:val="00175691"/>
    <w:rsid w:val="00175AFF"/>
    <w:rsid w:val="00176377"/>
    <w:rsid w:val="00176716"/>
    <w:rsid w:val="0017688C"/>
    <w:rsid w:val="00176BA6"/>
    <w:rsid w:val="00176C84"/>
    <w:rsid w:val="00177003"/>
    <w:rsid w:val="00177241"/>
    <w:rsid w:val="00177969"/>
    <w:rsid w:val="00177987"/>
    <w:rsid w:val="00177A89"/>
    <w:rsid w:val="00177BE4"/>
    <w:rsid w:val="00177BF8"/>
    <w:rsid w:val="00177FF7"/>
    <w:rsid w:val="00180295"/>
    <w:rsid w:val="001809CE"/>
    <w:rsid w:val="00180A95"/>
    <w:rsid w:val="001810C7"/>
    <w:rsid w:val="001814CA"/>
    <w:rsid w:val="001814EC"/>
    <w:rsid w:val="00181640"/>
    <w:rsid w:val="00181942"/>
    <w:rsid w:val="00181AB2"/>
    <w:rsid w:val="00181ADE"/>
    <w:rsid w:val="00181B0D"/>
    <w:rsid w:val="00181B39"/>
    <w:rsid w:val="00181C3D"/>
    <w:rsid w:val="00181DF1"/>
    <w:rsid w:val="001822C4"/>
    <w:rsid w:val="00182C18"/>
    <w:rsid w:val="00182D1F"/>
    <w:rsid w:val="00182ED0"/>
    <w:rsid w:val="0018308E"/>
    <w:rsid w:val="0018337A"/>
    <w:rsid w:val="00183A45"/>
    <w:rsid w:val="00183B2F"/>
    <w:rsid w:val="00183E4D"/>
    <w:rsid w:val="00183FF4"/>
    <w:rsid w:val="00184148"/>
    <w:rsid w:val="00184507"/>
    <w:rsid w:val="0018480C"/>
    <w:rsid w:val="001850C0"/>
    <w:rsid w:val="00185497"/>
    <w:rsid w:val="001855F8"/>
    <w:rsid w:val="00185A14"/>
    <w:rsid w:val="00185AAE"/>
    <w:rsid w:val="00185DC1"/>
    <w:rsid w:val="00185E19"/>
    <w:rsid w:val="00186246"/>
    <w:rsid w:val="001866BF"/>
    <w:rsid w:val="001868B5"/>
    <w:rsid w:val="00186A92"/>
    <w:rsid w:val="00186AA4"/>
    <w:rsid w:val="00186C9F"/>
    <w:rsid w:val="00187020"/>
    <w:rsid w:val="001870D1"/>
    <w:rsid w:val="00187AEF"/>
    <w:rsid w:val="00187CF5"/>
    <w:rsid w:val="00190032"/>
    <w:rsid w:val="00190673"/>
    <w:rsid w:val="0019096E"/>
    <w:rsid w:val="00190D6F"/>
    <w:rsid w:val="00190E47"/>
    <w:rsid w:val="00190E57"/>
    <w:rsid w:val="00191577"/>
    <w:rsid w:val="00191DC9"/>
    <w:rsid w:val="001925E7"/>
    <w:rsid w:val="001926D6"/>
    <w:rsid w:val="00192AA4"/>
    <w:rsid w:val="00192B76"/>
    <w:rsid w:val="00192F46"/>
    <w:rsid w:val="001930AF"/>
    <w:rsid w:val="00193212"/>
    <w:rsid w:val="001932BF"/>
    <w:rsid w:val="001937F6"/>
    <w:rsid w:val="00193AB1"/>
    <w:rsid w:val="00193B87"/>
    <w:rsid w:val="00193DE2"/>
    <w:rsid w:val="00193E3B"/>
    <w:rsid w:val="00193E65"/>
    <w:rsid w:val="00193EC8"/>
    <w:rsid w:val="00194025"/>
    <w:rsid w:val="001941FC"/>
    <w:rsid w:val="00194ED1"/>
    <w:rsid w:val="0019554C"/>
    <w:rsid w:val="00195712"/>
    <w:rsid w:val="00196530"/>
    <w:rsid w:val="001968D6"/>
    <w:rsid w:val="001969A2"/>
    <w:rsid w:val="00196EED"/>
    <w:rsid w:val="00196F63"/>
    <w:rsid w:val="00196FD6"/>
    <w:rsid w:val="001976B8"/>
    <w:rsid w:val="001A0058"/>
    <w:rsid w:val="001A00F0"/>
    <w:rsid w:val="001A0148"/>
    <w:rsid w:val="001A12A4"/>
    <w:rsid w:val="001A139E"/>
    <w:rsid w:val="001A1623"/>
    <w:rsid w:val="001A1860"/>
    <w:rsid w:val="001A1C91"/>
    <w:rsid w:val="001A1E0A"/>
    <w:rsid w:val="001A2CC1"/>
    <w:rsid w:val="001A3113"/>
    <w:rsid w:val="001A31BB"/>
    <w:rsid w:val="001A3319"/>
    <w:rsid w:val="001A361C"/>
    <w:rsid w:val="001A41E3"/>
    <w:rsid w:val="001A43AC"/>
    <w:rsid w:val="001A4BD8"/>
    <w:rsid w:val="001A4FAC"/>
    <w:rsid w:val="001A5119"/>
    <w:rsid w:val="001A56B0"/>
    <w:rsid w:val="001A56D6"/>
    <w:rsid w:val="001A589C"/>
    <w:rsid w:val="001A5972"/>
    <w:rsid w:val="001A5C3F"/>
    <w:rsid w:val="001A5EF8"/>
    <w:rsid w:val="001A6500"/>
    <w:rsid w:val="001A652C"/>
    <w:rsid w:val="001A6B44"/>
    <w:rsid w:val="001A6B50"/>
    <w:rsid w:val="001A6B5E"/>
    <w:rsid w:val="001A6B84"/>
    <w:rsid w:val="001A73C9"/>
    <w:rsid w:val="001A797B"/>
    <w:rsid w:val="001A7F13"/>
    <w:rsid w:val="001B004D"/>
    <w:rsid w:val="001B0D83"/>
    <w:rsid w:val="001B176D"/>
    <w:rsid w:val="001B1899"/>
    <w:rsid w:val="001B25F4"/>
    <w:rsid w:val="001B279B"/>
    <w:rsid w:val="001B2A0B"/>
    <w:rsid w:val="001B2A30"/>
    <w:rsid w:val="001B2A63"/>
    <w:rsid w:val="001B2A7E"/>
    <w:rsid w:val="001B2D70"/>
    <w:rsid w:val="001B31A4"/>
    <w:rsid w:val="001B33AE"/>
    <w:rsid w:val="001B35B1"/>
    <w:rsid w:val="001B3955"/>
    <w:rsid w:val="001B3A2C"/>
    <w:rsid w:val="001B3A9D"/>
    <w:rsid w:val="001B439F"/>
    <w:rsid w:val="001B45BF"/>
    <w:rsid w:val="001B49CC"/>
    <w:rsid w:val="001B4CC7"/>
    <w:rsid w:val="001B4DDE"/>
    <w:rsid w:val="001B4E96"/>
    <w:rsid w:val="001B4EBE"/>
    <w:rsid w:val="001B51C9"/>
    <w:rsid w:val="001B5391"/>
    <w:rsid w:val="001B5EDE"/>
    <w:rsid w:val="001B600A"/>
    <w:rsid w:val="001B601D"/>
    <w:rsid w:val="001B6976"/>
    <w:rsid w:val="001B6D1F"/>
    <w:rsid w:val="001B7309"/>
    <w:rsid w:val="001B7522"/>
    <w:rsid w:val="001B77EE"/>
    <w:rsid w:val="001C0441"/>
    <w:rsid w:val="001C0511"/>
    <w:rsid w:val="001C05CA"/>
    <w:rsid w:val="001C0761"/>
    <w:rsid w:val="001C080B"/>
    <w:rsid w:val="001C0C1F"/>
    <w:rsid w:val="001C0CEF"/>
    <w:rsid w:val="001C0D2D"/>
    <w:rsid w:val="001C0E79"/>
    <w:rsid w:val="001C0F86"/>
    <w:rsid w:val="001C1200"/>
    <w:rsid w:val="001C197E"/>
    <w:rsid w:val="001C1A17"/>
    <w:rsid w:val="001C2A57"/>
    <w:rsid w:val="001C2D9A"/>
    <w:rsid w:val="001C2DC3"/>
    <w:rsid w:val="001C2DF1"/>
    <w:rsid w:val="001C2E1E"/>
    <w:rsid w:val="001C3014"/>
    <w:rsid w:val="001C3383"/>
    <w:rsid w:val="001C3856"/>
    <w:rsid w:val="001C3A68"/>
    <w:rsid w:val="001C3C5F"/>
    <w:rsid w:val="001C3E29"/>
    <w:rsid w:val="001C467D"/>
    <w:rsid w:val="001C4A9A"/>
    <w:rsid w:val="001C4E63"/>
    <w:rsid w:val="001C506A"/>
    <w:rsid w:val="001C58AF"/>
    <w:rsid w:val="001C5CD6"/>
    <w:rsid w:val="001C5DE0"/>
    <w:rsid w:val="001C62B6"/>
    <w:rsid w:val="001C67BB"/>
    <w:rsid w:val="001C6897"/>
    <w:rsid w:val="001C69A9"/>
    <w:rsid w:val="001C69AC"/>
    <w:rsid w:val="001C6A22"/>
    <w:rsid w:val="001C6C1F"/>
    <w:rsid w:val="001C6D80"/>
    <w:rsid w:val="001C7224"/>
    <w:rsid w:val="001C7334"/>
    <w:rsid w:val="001C75A6"/>
    <w:rsid w:val="001C7B87"/>
    <w:rsid w:val="001D0172"/>
    <w:rsid w:val="001D0548"/>
    <w:rsid w:val="001D08EE"/>
    <w:rsid w:val="001D0EAE"/>
    <w:rsid w:val="001D102B"/>
    <w:rsid w:val="001D152F"/>
    <w:rsid w:val="001D1546"/>
    <w:rsid w:val="001D169C"/>
    <w:rsid w:val="001D17B7"/>
    <w:rsid w:val="001D1AD6"/>
    <w:rsid w:val="001D1CC7"/>
    <w:rsid w:val="001D1DDF"/>
    <w:rsid w:val="001D22EB"/>
    <w:rsid w:val="001D269C"/>
    <w:rsid w:val="001D3018"/>
    <w:rsid w:val="001D3386"/>
    <w:rsid w:val="001D396E"/>
    <w:rsid w:val="001D3A9B"/>
    <w:rsid w:val="001D3AA3"/>
    <w:rsid w:val="001D3F23"/>
    <w:rsid w:val="001D4366"/>
    <w:rsid w:val="001D4680"/>
    <w:rsid w:val="001D4722"/>
    <w:rsid w:val="001D48F3"/>
    <w:rsid w:val="001D4D47"/>
    <w:rsid w:val="001D5263"/>
    <w:rsid w:val="001D5380"/>
    <w:rsid w:val="001D53A0"/>
    <w:rsid w:val="001D565B"/>
    <w:rsid w:val="001D5676"/>
    <w:rsid w:val="001D62B4"/>
    <w:rsid w:val="001D6423"/>
    <w:rsid w:val="001D646C"/>
    <w:rsid w:val="001D6BA0"/>
    <w:rsid w:val="001D6C21"/>
    <w:rsid w:val="001D6D71"/>
    <w:rsid w:val="001D733E"/>
    <w:rsid w:val="001D7A0B"/>
    <w:rsid w:val="001D7B2F"/>
    <w:rsid w:val="001D7CCE"/>
    <w:rsid w:val="001D7D4A"/>
    <w:rsid w:val="001D7E02"/>
    <w:rsid w:val="001E009C"/>
    <w:rsid w:val="001E0224"/>
    <w:rsid w:val="001E025C"/>
    <w:rsid w:val="001E0C2D"/>
    <w:rsid w:val="001E0EA2"/>
    <w:rsid w:val="001E0EBE"/>
    <w:rsid w:val="001E12E4"/>
    <w:rsid w:val="001E170A"/>
    <w:rsid w:val="001E17C1"/>
    <w:rsid w:val="001E1B6F"/>
    <w:rsid w:val="001E1C7B"/>
    <w:rsid w:val="001E25DF"/>
    <w:rsid w:val="001E287C"/>
    <w:rsid w:val="001E28D2"/>
    <w:rsid w:val="001E2DFB"/>
    <w:rsid w:val="001E31F3"/>
    <w:rsid w:val="001E32B9"/>
    <w:rsid w:val="001E3578"/>
    <w:rsid w:val="001E3645"/>
    <w:rsid w:val="001E384A"/>
    <w:rsid w:val="001E3946"/>
    <w:rsid w:val="001E3963"/>
    <w:rsid w:val="001E3AA0"/>
    <w:rsid w:val="001E4080"/>
    <w:rsid w:val="001E4BD6"/>
    <w:rsid w:val="001E4DF5"/>
    <w:rsid w:val="001E4F09"/>
    <w:rsid w:val="001E5397"/>
    <w:rsid w:val="001E54C8"/>
    <w:rsid w:val="001E55CD"/>
    <w:rsid w:val="001E58B5"/>
    <w:rsid w:val="001E5913"/>
    <w:rsid w:val="001E5BF0"/>
    <w:rsid w:val="001E5CC8"/>
    <w:rsid w:val="001E5EEF"/>
    <w:rsid w:val="001E66FC"/>
    <w:rsid w:val="001E705F"/>
    <w:rsid w:val="001E709D"/>
    <w:rsid w:val="001E7102"/>
    <w:rsid w:val="001E71F5"/>
    <w:rsid w:val="001F0369"/>
    <w:rsid w:val="001F069E"/>
    <w:rsid w:val="001F0799"/>
    <w:rsid w:val="001F0FDD"/>
    <w:rsid w:val="001F11EB"/>
    <w:rsid w:val="001F133B"/>
    <w:rsid w:val="001F199A"/>
    <w:rsid w:val="001F1C68"/>
    <w:rsid w:val="001F1C78"/>
    <w:rsid w:val="001F21D0"/>
    <w:rsid w:val="001F23FD"/>
    <w:rsid w:val="001F2819"/>
    <w:rsid w:val="001F289A"/>
    <w:rsid w:val="001F301C"/>
    <w:rsid w:val="001F3576"/>
    <w:rsid w:val="001F3A7B"/>
    <w:rsid w:val="001F3ECF"/>
    <w:rsid w:val="001F44A0"/>
    <w:rsid w:val="001F5116"/>
    <w:rsid w:val="001F574A"/>
    <w:rsid w:val="001F579B"/>
    <w:rsid w:val="001F59D5"/>
    <w:rsid w:val="001F61E5"/>
    <w:rsid w:val="001F622B"/>
    <w:rsid w:val="001F686A"/>
    <w:rsid w:val="001F6CF7"/>
    <w:rsid w:val="001F6E99"/>
    <w:rsid w:val="001F70F7"/>
    <w:rsid w:val="001F7690"/>
    <w:rsid w:val="001F7A2F"/>
    <w:rsid w:val="0020001C"/>
    <w:rsid w:val="00200176"/>
    <w:rsid w:val="0020018B"/>
    <w:rsid w:val="002002F1"/>
    <w:rsid w:val="00200315"/>
    <w:rsid w:val="002003A2"/>
    <w:rsid w:val="0020044D"/>
    <w:rsid w:val="00200477"/>
    <w:rsid w:val="00200788"/>
    <w:rsid w:val="00200DE0"/>
    <w:rsid w:val="002016B4"/>
    <w:rsid w:val="0020172E"/>
    <w:rsid w:val="00201A06"/>
    <w:rsid w:val="0020228D"/>
    <w:rsid w:val="002023A3"/>
    <w:rsid w:val="00202B51"/>
    <w:rsid w:val="00202F42"/>
    <w:rsid w:val="002031A6"/>
    <w:rsid w:val="00203947"/>
    <w:rsid w:val="00203B25"/>
    <w:rsid w:val="00203DD7"/>
    <w:rsid w:val="002047EB"/>
    <w:rsid w:val="00205356"/>
    <w:rsid w:val="00205743"/>
    <w:rsid w:val="00205A91"/>
    <w:rsid w:val="00205BD5"/>
    <w:rsid w:val="00205E54"/>
    <w:rsid w:val="00206886"/>
    <w:rsid w:val="002068C1"/>
    <w:rsid w:val="00206C27"/>
    <w:rsid w:val="00207278"/>
    <w:rsid w:val="00207AAF"/>
    <w:rsid w:val="00207B1E"/>
    <w:rsid w:val="00207B7F"/>
    <w:rsid w:val="00207C1C"/>
    <w:rsid w:val="00210407"/>
    <w:rsid w:val="00210BE4"/>
    <w:rsid w:val="00210C5E"/>
    <w:rsid w:val="002111AE"/>
    <w:rsid w:val="00211DCE"/>
    <w:rsid w:val="002120D8"/>
    <w:rsid w:val="0021231F"/>
    <w:rsid w:val="00212330"/>
    <w:rsid w:val="0021273B"/>
    <w:rsid w:val="0021294E"/>
    <w:rsid w:val="00212D8E"/>
    <w:rsid w:val="00212E6A"/>
    <w:rsid w:val="00212EE0"/>
    <w:rsid w:val="00212EFC"/>
    <w:rsid w:val="0021311F"/>
    <w:rsid w:val="00213374"/>
    <w:rsid w:val="002133C9"/>
    <w:rsid w:val="0021352C"/>
    <w:rsid w:val="0021376A"/>
    <w:rsid w:val="0021388F"/>
    <w:rsid w:val="00213CA2"/>
    <w:rsid w:val="00213EA5"/>
    <w:rsid w:val="00213ECD"/>
    <w:rsid w:val="00213EED"/>
    <w:rsid w:val="002149FF"/>
    <w:rsid w:val="00214C6A"/>
    <w:rsid w:val="00214F43"/>
    <w:rsid w:val="00214F7B"/>
    <w:rsid w:val="002151CA"/>
    <w:rsid w:val="002158D8"/>
    <w:rsid w:val="002161EB"/>
    <w:rsid w:val="0021639E"/>
    <w:rsid w:val="002165BB"/>
    <w:rsid w:val="00216D21"/>
    <w:rsid w:val="00217348"/>
    <w:rsid w:val="00217A8E"/>
    <w:rsid w:val="00220029"/>
    <w:rsid w:val="0022035F"/>
    <w:rsid w:val="002207FF"/>
    <w:rsid w:val="00220A74"/>
    <w:rsid w:val="00220CBB"/>
    <w:rsid w:val="0022114B"/>
    <w:rsid w:val="002217FB"/>
    <w:rsid w:val="002219B8"/>
    <w:rsid w:val="002221F6"/>
    <w:rsid w:val="00222419"/>
    <w:rsid w:val="00222570"/>
    <w:rsid w:val="002226F6"/>
    <w:rsid w:val="00222A28"/>
    <w:rsid w:val="00222C0F"/>
    <w:rsid w:val="0022318A"/>
    <w:rsid w:val="0022342C"/>
    <w:rsid w:val="00223476"/>
    <w:rsid w:val="0022359D"/>
    <w:rsid w:val="0022378E"/>
    <w:rsid w:val="002238C9"/>
    <w:rsid w:val="00223E8F"/>
    <w:rsid w:val="00224CA7"/>
    <w:rsid w:val="002251D1"/>
    <w:rsid w:val="0022525A"/>
    <w:rsid w:val="0022537D"/>
    <w:rsid w:val="00225A29"/>
    <w:rsid w:val="00225B70"/>
    <w:rsid w:val="00225FEC"/>
    <w:rsid w:val="00226063"/>
    <w:rsid w:val="002264CB"/>
    <w:rsid w:val="002265DA"/>
    <w:rsid w:val="002267EF"/>
    <w:rsid w:val="0022719F"/>
    <w:rsid w:val="0022768B"/>
    <w:rsid w:val="00227788"/>
    <w:rsid w:val="00227CE6"/>
    <w:rsid w:val="00227DC8"/>
    <w:rsid w:val="0023007B"/>
    <w:rsid w:val="002301AA"/>
    <w:rsid w:val="0023050C"/>
    <w:rsid w:val="002305E3"/>
    <w:rsid w:val="00230718"/>
    <w:rsid w:val="00230999"/>
    <w:rsid w:val="00231674"/>
    <w:rsid w:val="00231B9E"/>
    <w:rsid w:val="0023205F"/>
    <w:rsid w:val="0023225E"/>
    <w:rsid w:val="00232586"/>
    <w:rsid w:val="00232730"/>
    <w:rsid w:val="0023297A"/>
    <w:rsid w:val="00232C74"/>
    <w:rsid w:val="00233065"/>
    <w:rsid w:val="002332D9"/>
    <w:rsid w:val="00233301"/>
    <w:rsid w:val="002336CB"/>
    <w:rsid w:val="002339E3"/>
    <w:rsid w:val="00233ADB"/>
    <w:rsid w:val="00233EFF"/>
    <w:rsid w:val="002349F9"/>
    <w:rsid w:val="00234D1D"/>
    <w:rsid w:val="00235BB8"/>
    <w:rsid w:val="00235ECB"/>
    <w:rsid w:val="002360B8"/>
    <w:rsid w:val="0023643C"/>
    <w:rsid w:val="002368EB"/>
    <w:rsid w:val="00236A7B"/>
    <w:rsid w:val="00236D26"/>
    <w:rsid w:val="00236E43"/>
    <w:rsid w:val="002371C0"/>
    <w:rsid w:val="0023752D"/>
    <w:rsid w:val="00240168"/>
    <w:rsid w:val="0024027B"/>
    <w:rsid w:val="002407F1"/>
    <w:rsid w:val="00240933"/>
    <w:rsid w:val="0024098F"/>
    <w:rsid w:val="00240D9D"/>
    <w:rsid w:val="00240E92"/>
    <w:rsid w:val="0024135A"/>
    <w:rsid w:val="00241E85"/>
    <w:rsid w:val="00241E8A"/>
    <w:rsid w:val="002422FA"/>
    <w:rsid w:val="002425EC"/>
    <w:rsid w:val="00242619"/>
    <w:rsid w:val="00242920"/>
    <w:rsid w:val="00242BED"/>
    <w:rsid w:val="00242D36"/>
    <w:rsid w:val="00242FE6"/>
    <w:rsid w:val="0024304B"/>
    <w:rsid w:val="00243503"/>
    <w:rsid w:val="00243530"/>
    <w:rsid w:val="002436E9"/>
    <w:rsid w:val="0024380D"/>
    <w:rsid w:val="00243AC8"/>
    <w:rsid w:val="00243D0B"/>
    <w:rsid w:val="002440A5"/>
    <w:rsid w:val="002443EB"/>
    <w:rsid w:val="00244533"/>
    <w:rsid w:val="00244875"/>
    <w:rsid w:val="00244DAC"/>
    <w:rsid w:val="00245A4A"/>
    <w:rsid w:val="00245CC6"/>
    <w:rsid w:val="00245FB2"/>
    <w:rsid w:val="002465C9"/>
    <w:rsid w:val="00246BCE"/>
    <w:rsid w:val="00247672"/>
    <w:rsid w:val="00247F76"/>
    <w:rsid w:val="002509F3"/>
    <w:rsid w:val="00250AD3"/>
    <w:rsid w:val="00250E0F"/>
    <w:rsid w:val="00251081"/>
    <w:rsid w:val="0025138F"/>
    <w:rsid w:val="00251616"/>
    <w:rsid w:val="002516B3"/>
    <w:rsid w:val="00251E8F"/>
    <w:rsid w:val="0025242F"/>
    <w:rsid w:val="002528E9"/>
    <w:rsid w:val="00252B9B"/>
    <w:rsid w:val="00252BAA"/>
    <w:rsid w:val="00252D88"/>
    <w:rsid w:val="00252E96"/>
    <w:rsid w:val="0025301A"/>
    <w:rsid w:val="00253054"/>
    <w:rsid w:val="002530FF"/>
    <w:rsid w:val="0025353D"/>
    <w:rsid w:val="002536E5"/>
    <w:rsid w:val="00253941"/>
    <w:rsid w:val="002540E4"/>
    <w:rsid w:val="002548B1"/>
    <w:rsid w:val="00254906"/>
    <w:rsid w:val="00254D43"/>
    <w:rsid w:val="00255B28"/>
    <w:rsid w:val="00255C7C"/>
    <w:rsid w:val="00255F4E"/>
    <w:rsid w:val="00256C93"/>
    <w:rsid w:val="00257377"/>
    <w:rsid w:val="002579B5"/>
    <w:rsid w:val="00257A4F"/>
    <w:rsid w:val="002601E5"/>
    <w:rsid w:val="002604D1"/>
    <w:rsid w:val="00260574"/>
    <w:rsid w:val="00260996"/>
    <w:rsid w:val="002611B2"/>
    <w:rsid w:val="002615A7"/>
    <w:rsid w:val="00261CCC"/>
    <w:rsid w:val="00261E92"/>
    <w:rsid w:val="00262145"/>
    <w:rsid w:val="0026261C"/>
    <w:rsid w:val="00262D58"/>
    <w:rsid w:val="00262D79"/>
    <w:rsid w:val="00262DBC"/>
    <w:rsid w:val="00262FC1"/>
    <w:rsid w:val="0026308E"/>
    <w:rsid w:val="0026326C"/>
    <w:rsid w:val="00263458"/>
    <w:rsid w:val="00263D74"/>
    <w:rsid w:val="00264180"/>
    <w:rsid w:val="002644DF"/>
    <w:rsid w:val="002648F6"/>
    <w:rsid w:val="00264B39"/>
    <w:rsid w:val="00264CC5"/>
    <w:rsid w:val="00264E3C"/>
    <w:rsid w:val="00265375"/>
    <w:rsid w:val="002655A7"/>
    <w:rsid w:val="0026653C"/>
    <w:rsid w:val="00266665"/>
    <w:rsid w:val="002666EA"/>
    <w:rsid w:val="00266B0C"/>
    <w:rsid w:val="00267236"/>
    <w:rsid w:val="0026730F"/>
    <w:rsid w:val="002679CF"/>
    <w:rsid w:val="00267CD2"/>
    <w:rsid w:val="002705A0"/>
    <w:rsid w:val="002707B7"/>
    <w:rsid w:val="002711DC"/>
    <w:rsid w:val="002713B8"/>
    <w:rsid w:val="002718FF"/>
    <w:rsid w:val="00271AD3"/>
    <w:rsid w:val="00271AF4"/>
    <w:rsid w:val="00271E8A"/>
    <w:rsid w:val="002720B6"/>
    <w:rsid w:val="00272585"/>
    <w:rsid w:val="00273148"/>
    <w:rsid w:val="00273362"/>
    <w:rsid w:val="002735E7"/>
    <w:rsid w:val="00273978"/>
    <w:rsid w:val="00273AE5"/>
    <w:rsid w:val="00273B16"/>
    <w:rsid w:val="00273B9D"/>
    <w:rsid w:val="00273D00"/>
    <w:rsid w:val="00274085"/>
    <w:rsid w:val="002740F9"/>
    <w:rsid w:val="00274733"/>
    <w:rsid w:val="00274872"/>
    <w:rsid w:val="00274895"/>
    <w:rsid w:val="00274906"/>
    <w:rsid w:val="00274F96"/>
    <w:rsid w:val="00275321"/>
    <w:rsid w:val="00275DD6"/>
    <w:rsid w:val="0027625C"/>
    <w:rsid w:val="0027645A"/>
    <w:rsid w:val="002766A9"/>
    <w:rsid w:val="002767F8"/>
    <w:rsid w:val="00276CC7"/>
    <w:rsid w:val="00276D3C"/>
    <w:rsid w:val="00276FDE"/>
    <w:rsid w:val="00277981"/>
    <w:rsid w:val="00277AF6"/>
    <w:rsid w:val="00277BD2"/>
    <w:rsid w:val="00277D37"/>
    <w:rsid w:val="00277DD8"/>
    <w:rsid w:val="002802AE"/>
    <w:rsid w:val="002806AF"/>
    <w:rsid w:val="00280826"/>
    <w:rsid w:val="00280A78"/>
    <w:rsid w:val="00280A91"/>
    <w:rsid w:val="00280CDB"/>
    <w:rsid w:val="00280E58"/>
    <w:rsid w:val="00281055"/>
    <w:rsid w:val="00281742"/>
    <w:rsid w:val="00281909"/>
    <w:rsid w:val="00281F58"/>
    <w:rsid w:val="002826E9"/>
    <w:rsid w:val="00282804"/>
    <w:rsid w:val="0028281C"/>
    <w:rsid w:val="00282D87"/>
    <w:rsid w:val="002832EB"/>
    <w:rsid w:val="00283CAD"/>
    <w:rsid w:val="002845AC"/>
    <w:rsid w:val="002845D9"/>
    <w:rsid w:val="002849CD"/>
    <w:rsid w:val="00284FDB"/>
    <w:rsid w:val="0028571D"/>
    <w:rsid w:val="0028590B"/>
    <w:rsid w:val="00285BAA"/>
    <w:rsid w:val="0028613C"/>
    <w:rsid w:val="002862C6"/>
    <w:rsid w:val="0028652F"/>
    <w:rsid w:val="0028655C"/>
    <w:rsid w:val="002867FF"/>
    <w:rsid w:val="00286D2F"/>
    <w:rsid w:val="00287626"/>
    <w:rsid w:val="00287657"/>
    <w:rsid w:val="00287A58"/>
    <w:rsid w:val="00287B70"/>
    <w:rsid w:val="00287B93"/>
    <w:rsid w:val="002902F6"/>
    <w:rsid w:val="00290ADF"/>
    <w:rsid w:val="00290C1A"/>
    <w:rsid w:val="00290ECA"/>
    <w:rsid w:val="00291322"/>
    <w:rsid w:val="002915CD"/>
    <w:rsid w:val="002915EA"/>
    <w:rsid w:val="0029187F"/>
    <w:rsid w:val="00291C3D"/>
    <w:rsid w:val="00292039"/>
    <w:rsid w:val="0029235B"/>
    <w:rsid w:val="00292470"/>
    <w:rsid w:val="002925AF"/>
    <w:rsid w:val="00292832"/>
    <w:rsid w:val="002929B8"/>
    <w:rsid w:val="00292D49"/>
    <w:rsid w:val="002930F3"/>
    <w:rsid w:val="00293364"/>
    <w:rsid w:val="00293865"/>
    <w:rsid w:val="002939E7"/>
    <w:rsid w:val="00293DC0"/>
    <w:rsid w:val="00293FDA"/>
    <w:rsid w:val="00294042"/>
    <w:rsid w:val="00294706"/>
    <w:rsid w:val="00294E0C"/>
    <w:rsid w:val="0029507C"/>
    <w:rsid w:val="002950E0"/>
    <w:rsid w:val="00295460"/>
    <w:rsid w:val="00295A7F"/>
    <w:rsid w:val="00295D83"/>
    <w:rsid w:val="002960E5"/>
    <w:rsid w:val="0029641C"/>
    <w:rsid w:val="002968E0"/>
    <w:rsid w:val="00296CD6"/>
    <w:rsid w:val="002975DA"/>
    <w:rsid w:val="002976AF"/>
    <w:rsid w:val="002977F8"/>
    <w:rsid w:val="002979F7"/>
    <w:rsid w:val="00297E4B"/>
    <w:rsid w:val="00297EB7"/>
    <w:rsid w:val="002A00C2"/>
    <w:rsid w:val="002A01F3"/>
    <w:rsid w:val="002A0439"/>
    <w:rsid w:val="002A0700"/>
    <w:rsid w:val="002A0A46"/>
    <w:rsid w:val="002A0AEB"/>
    <w:rsid w:val="002A0C34"/>
    <w:rsid w:val="002A0DEF"/>
    <w:rsid w:val="002A106A"/>
    <w:rsid w:val="002A15DA"/>
    <w:rsid w:val="002A1CFA"/>
    <w:rsid w:val="002A215C"/>
    <w:rsid w:val="002A2594"/>
    <w:rsid w:val="002A2B94"/>
    <w:rsid w:val="002A2D19"/>
    <w:rsid w:val="002A3293"/>
    <w:rsid w:val="002A3483"/>
    <w:rsid w:val="002A34E6"/>
    <w:rsid w:val="002A3774"/>
    <w:rsid w:val="002A38D0"/>
    <w:rsid w:val="002A398B"/>
    <w:rsid w:val="002A3C59"/>
    <w:rsid w:val="002A3E86"/>
    <w:rsid w:val="002A40E3"/>
    <w:rsid w:val="002A41AA"/>
    <w:rsid w:val="002A4415"/>
    <w:rsid w:val="002A4A71"/>
    <w:rsid w:val="002A5F93"/>
    <w:rsid w:val="002A613A"/>
    <w:rsid w:val="002A63EB"/>
    <w:rsid w:val="002A69BC"/>
    <w:rsid w:val="002A6B8E"/>
    <w:rsid w:val="002A6C02"/>
    <w:rsid w:val="002A6D11"/>
    <w:rsid w:val="002A7385"/>
    <w:rsid w:val="002A745F"/>
    <w:rsid w:val="002A75B6"/>
    <w:rsid w:val="002A7917"/>
    <w:rsid w:val="002A7B09"/>
    <w:rsid w:val="002B01FE"/>
    <w:rsid w:val="002B0221"/>
    <w:rsid w:val="002B076C"/>
    <w:rsid w:val="002B0853"/>
    <w:rsid w:val="002B0AFB"/>
    <w:rsid w:val="002B0BD1"/>
    <w:rsid w:val="002B0EBA"/>
    <w:rsid w:val="002B0EF3"/>
    <w:rsid w:val="002B0F0C"/>
    <w:rsid w:val="002B1078"/>
    <w:rsid w:val="002B13CF"/>
    <w:rsid w:val="002B15E2"/>
    <w:rsid w:val="002B1FD7"/>
    <w:rsid w:val="002B2631"/>
    <w:rsid w:val="002B28C0"/>
    <w:rsid w:val="002B2CF4"/>
    <w:rsid w:val="002B2EF6"/>
    <w:rsid w:val="002B2F29"/>
    <w:rsid w:val="002B2FEE"/>
    <w:rsid w:val="002B334A"/>
    <w:rsid w:val="002B3676"/>
    <w:rsid w:val="002B3915"/>
    <w:rsid w:val="002B3A81"/>
    <w:rsid w:val="002B3C11"/>
    <w:rsid w:val="002B3E7D"/>
    <w:rsid w:val="002B45D0"/>
    <w:rsid w:val="002B476D"/>
    <w:rsid w:val="002B481D"/>
    <w:rsid w:val="002B489F"/>
    <w:rsid w:val="002B4DC5"/>
    <w:rsid w:val="002B5288"/>
    <w:rsid w:val="002B54BA"/>
    <w:rsid w:val="002B56D9"/>
    <w:rsid w:val="002B56F7"/>
    <w:rsid w:val="002B5F63"/>
    <w:rsid w:val="002B6198"/>
    <w:rsid w:val="002B63F5"/>
    <w:rsid w:val="002B6500"/>
    <w:rsid w:val="002B6D8D"/>
    <w:rsid w:val="002B6EC6"/>
    <w:rsid w:val="002B7219"/>
    <w:rsid w:val="002B73A2"/>
    <w:rsid w:val="002B7606"/>
    <w:rsid w:val="002B791F"/>
    <w:rsid w:val="002C04D4"/>
    <w:rsid w:val="002C04E2"/>
    <w:rsid w:val="002C0564"/>
    <w:rsid w:val="002C05CC"/>
    <w:rsid w:val="002C079C"/>
    <w:rsid w:val="002C0825"/>
    <w:rsid w:val="002C086E"/>
    <w:rsid w:val="002C08B7"/>
    <w:rsid w:val="002C12C8"/>
    <w:rsid w:val="002C148E"/>
    <w:rsid w:val="002C14E9"/>
    <w:rsid w:val="002C1695"/>
    <w:rsid w:val="002C1771"/>
    <w:rsid w:val="002C179B"/>
    <w:rsid w:val="002C1E5C"/>
    <w:rsid w:val="002C222A"/>
    <w:rsid w:val="002C27CA"/>
    <w:rsid w:val="002C29FF"/>
    <w:rsid w:val="002C2CC5"/>
    <w:rsid w:val="002C2CCE"/>
    <w:rsid w:val="002C2FFB"/>
    <w:rsid w:val="002C40F8"/>
    <w:rsid w:val="002C4198"/>
    <w:rsid w:val="002C42C9"/>
    <w:rsid w:val="002C42E8"/>
    <w:rsid w:val="002C532B"/>
    <w:rsid w:val="002C54E5"/>
    <w:rsid w:val="002C5AA9"/>
    <w:rsid w:val="002C5B95"/>
    <w:rsid w:val="002C5C55"/>
    <w:rsid w:val="002C5DD4"/>
    <w:rsid w:val="002C5EE4"/>
    <w:rsid w:val="002C5FD8"/>
    <w:rsid w:val="002C659B"/>
    <w:rsid w:val="002C65A2"/>
    <w:rsid w:val="002C6936"/>
    <w:rsid w:val="002C6AAC"/>
    <w:rsid w:val="002C6AEC"/>
    <w:rsid w:val="002C6E73"/>
    <w:rsid w:val="002C706C"/>
    <w:rsid w:val="002C741B"/>
    <w:rsid w:val="002C774A"/>
    <w:rsid w:val="002C7826"/>
    <w:rsid w:val="002C7C35"/>
    <w:rsid w:val="002D01C7"/>
    <w:rsid w:val="002D0203"/>
    <w:rsid w:val="002D0490"/>
    <w:rsid w:val="002D0ABC"/>
    <w:rsid w:val="002D0D5F"/>
    <w:rsid w:val="002D0DA8"/>
    <w:rsid w:val="002D0E9A"/>
    <w:rsid w:val="002D180F"/>
    <w:rsid w:val="002D1B59"/>
    <w:rsid w:val="002D207C"/>
    <w:rsid w:val="002D2081"/>
    <w:rsid w:val="002D2319"/>
    <w:rsid w:val="002D271D"/>
    <w:rsid w:val="002D2760"/>
    <w:rsid w:val="002D2CF7"/>
    <w:rsid w:val="002D3694"/>
    <w:rsid w:val="002D395E"/>
    <w:rsid w:val="002D3EFB"/>
    <w:rsid w:val="002D4230"/>
    <w:rsid w:val="002D44DB"/>
    <w:rsid w:val="002D471E"/>
    <w:rsid w:val="002D4AB1"/>
    <w:rsid w:val="002D4B34"/>
    <w:rsid w:val="002D4DBB"/>
    <w:rsid w:val="002D557B"/>
    <w:rsid w:val="002D5C43"/>
    <w:rsid w:val="002D5C5E"/>
    <w:rsid w:val="002D5FF0"/>
    <w:rsid w:val="002D654D"/>
    <w:rsid w:val="002D6DF1"/>
    <w:rsid w:val="002D7722"/>
    <w:rsid w:val="002D7924"/>
    <w:rsid w:val="002D7A50"/>
    <w:rsid w:val="002D7C2B"/>
    <w:rsid w:val="002E0526"/>
    <w:rsid w:val="002E0C15"/>
    <w:rsid w:val="002E15B9"/>
    <w:rsid w:val="002E253F"/>
    <w:rsid w:val="002E255D"/>
    <w:rsid w:val="002E266A"/>
    <w:rsid w:val="002E2D57"/>
    <w:rsid w:val="002E2E09"/>
    <w:rsid w:val="002E3709"/>
    <w:rsid w:val="002E39EC"/>
    <w:rsid w:val="002E3A74"/>
    <w:rsid w:val="002E3B0C"/>
    <w:rsid w:val="002E3E7C"/>
    <w:rsid w:val="002E3F3C"/>
    <w:rsid w:val="002E3FAD"/>
    <w:rsid w:val="002E4097"/>
    <w:rsid w:val="002E4562"/>
    <w:rsid w:val="002E4C40"/>
    <w:rsid w:val="002E4D55"/>
    <w:rsid w:val="002E50C5"/>
    <w:rsid w:val="002E5149"/>
    <w:rsid w:val="002E52FB"/>
    <w:rsid w:val="002E5632"/>
    <w:rsid w:val="002E56E1"/>
    <w:rsid w:val="002E5944"/>
    <w:rsid w:val="002E595C"/>
    <w:rsid w:val="002E5D5E"/>
    <w:rsid w:val="002E5D5F"/>
    <w:rsid w:val="002E5F0C"/>
    <w:rsid w:val="002E5FE9"/>
    <w:rsid w:val="002E631C"/>
    <w:rsid w:val="002E646C"/>
    <w:rsid w:val="002E64A2"/>
    <w:rsid w:val="002E6B7F"/>
    <w:rsid w:val="002E6D72"/>
    <w:rsid w:val="002E72B0"/>
    <w:rsid w:val="002E72EF"/>
    <w:rsid w:val="002E74E2"/>
    <w:rsid w:val="002E75E6"/>
    <w:rsid w:val="002E7842"/>
    <w:rsid w:val="002E7B38"/>
    <w:rsid w:val="002F0A7E"/>
    <w:rsid w:val="002F0C38"/>
    <w:rsid w:val="002F10F0"/>
    <w:rsid w:val="002F13ED"/>
    <w:rsid w:val="002F143D"/>
    <w:rsid w:val="002F1956"/>
    <w:rsid w:val="002F1C32"/>
    <w:rsid w:val="002F1C4F"/>
    <w:rsid w:val="002F1CA9"/>
    <w:rsid w:val="002F2314"/>
    <w:rsid w:val="002F2617"/>
    <w:rsid w:val="002F27A6"/>
    <w:rsid w:val="002F2838"/>
    <w:rsid w:val="002F30C9"/>
    <w:rsid w:val="002F334F"/>
    <w:rsid w:val="002F3930"/>
    <w:rsid w:val="002F3998"/>
    <w:rsid w:val="002F3D8D"/>
    <w:rsid w:val="002F3D91"/>
    <w:rsid w:val="002F440B"/>
    <w:rsid w:val="002F44D3"/>
    <w:rsid w:val="002F47BB"/>
    <w:rsid w:val="002F4A37"/>
    <w:rsid w:val="002F5782"/>
    <w:rsid w:val="002F5B62"/>
    <w:rsid w:val="002F5CAF"/>
    <w:rsid w:val="002F5F9B"/>
    <w:rsid w:val="002F60BC"/>
    <w:rsid w:val="002F64D0"/>
    <w:rsid w:val="002F6679"/>
    <w:rsid w:val="002F6788"/>
    <w:rsid w:val="002F68E5"/>
    <w:rsid w:val="002F7A15"/>
    <w:rsid w:val="002F7AEA"/>
    <w:rsid w:val="002F7BCB"/>
    <w:rsid w:val="003004ED"/>
    <w:rsid w:val="00300593"/>
    <w:rsid w:val="003006F8"/>
    <w:rsid w:val="00300F77"/>
    <w:rsid w:val="00301230"/>
    <w:rsid w:val="00301265"/>
    <w:rsid w:val="00301419"/>
    <w:rsid w:val="003028E0"/>
    <w:rsid w:val="00302A29"/>
    <w:rsid w:val="00302AEA"/>
    <w:rsid w:val="00302E30"/>
    <w:rsid w:val="0030338B"/>
    <w:rsid w:val="003036C4"/>
    <w:rsid w:val="00303758"/>
    <w:rsid w:val="00303D54"/>
    <w:rsid w:val="0030469D"/>
    <w:rsid w:val="00304861"/>
    <w:rsid w:val="003053AF"/>
    <w:rsid w:val="00305621"/>
    <w:rsid w:val="00305765"/>
    <w:rsid w:val="003057C8"/>
    <w:rsid w:val="003059BD"/>
    <w:rsid w:val="003059CE"/>
    <w:rsid w:val="003060B7"/>
    <w:rsid w:val="003060DC"/>
    <w:rsid w:val="0030624A"/>
    <w:rsid w:val="0030651C"/>
    <w:rsid w:val="00306923"/>
    <w:rsid w:val="003069A5"/>
    <w:rsid w:val="003069DD"/>
    <w:rsid w:val="00306C3C"/>
    <w:rsid w:val="00306CF3"/>
    <w:rsid w:val="00306F6C"/>
    <w:rsid w:val="003072EF"/>
    <w:rsid w:val="003079EF"/>
    <w:rsid w:val="00307E8A"/>
    <w:rsid w:val="00307F6F"/>
    <w:rsid w:val="00307FB9"/>
    <w:rsid w:val="00310008"/>
    <w:rsid w:val="003104A6"/>
    <w:rsid w:val="00310C5D"/>
    <w:rsid w:val="00310F06"/>
    <w:rsid w:val="003112FE"/>
    <w:rsid w:val="003115A5"/>
    <w:rsid w:val="00311B6D"/>
    <w:rsid w:val="00312133"/>
    <w:rsid w:val="003122EE"/>
    <w:rsid w:val="003122F3"/>
    <w:rsid w:val="00312327"/>
    <w:rsid w:val="0031301C"/>
    <w:rsid w:val="0031303D"/>
    <w:rsid w:val="00313404"/>
    <w:rsid w:val="00313426"/>
    <w:rsid w:val="00313480"/>
    <w:rsid w:val="00313AAB"/>
    <w:rsid w:val="00313E18"/>
    <w:rsid w:val="003145EE"/>
    <w:rsid w:val="00314604"/>
    <w:rsid w:val="003146D7"/>
    <w:rsid w:val="003148CA"/>
    <w:rsid w:val="00314C45"/>
    <w:rsid w:val="00314C87"/>
    <w:rsid w:val="00314E9E"/>
    <w:rsid w:val="003155E0"/>
    <w:rsid w:val="00315C77"/>
    <w:rsid w:val="00315ED4"/>
    <w:rsid w:val="00315EEC"/>
    <w:rsid w:val="00315F37"/>
    <w:rsid w:val="00316596"/>
    <w:rsid w:val="0031673F"/>
    <w:rsid w:val="0031687B"/>
    <w:rsid w:val="00316F4B"/>
    <w:rsid w:val="003174D9"/>
    <w:rsid w:val="00317898"/>
    <w:rsid w:val="00317C36"/>
    <w:rsid w:val="00317D37"/>
    <w:rsid w:val="00317E0E"/>
    <w:rsid w:val="00317E77"/>
    <w:rsid w:val="00320025"/>
    <w:rsid w:val="0032093A"/>
    <w:rsid w:val="00320CBA"/>
    <w:rsid w:val="00320EDF"/>
    <w:rsid w:val="00320F9A"/>
    <w:rsid w:val="0032145A"/>
    <w:rsid w:val="003215BC"/>
    <w:rsid w:val="00321705"/>
    <w:rsid w:val="003219E1"/>
    <w:rsid w:val="00321E22"/>
    <w:rsid w:val="0032213E"/>
    <w:rsid w:val="00322151"/>
    <w:rsid w:val="00322661"/>
    <w:rsid w:val="00322832"/>
    <w:rsid w:val="00322A9D"/>
    <w:rsid w:val="00323033"/>
    <w:rsid w:val="003231C7"/>
    <w:rsid w:val="003233E3"/>
    <w:rsid w:val="0032374D"/>
    <w:rsid w:val="00323901"/>
    <w:rsid w:val="00323AEB"/>
    <w:rsid w:val="00323BFA"/>
    <w:rsid w:val="00323D1A"/>
    <w:rsid w:val="00323D36"/>
    <w:rsid w:val="00324172"/>
    <w:rsid w:val="0032459B"/>
    <w:rsid w:val="0032483C"/>
    <w:rsid w:val="00324D3A"/>
    <w:rsid w:val="00324EEC"/>
    <w:rsid w:val="0032671E"/>
    <w:rsid w:val="00326AD1"/>
    <w:rsid w:val="00326AFF"/>
    <w:rsid w:val="0032724E"/>
    <w:rsid w:val="00327A7D"/>
    <w:rsid w:val="00327ABF"/>
    <w:rsid w:val="00327B3D"/>
    <w:rsid w:val="00327F60"/>
    <w:rsid w:val="00330069"/>
    <w:rsid w:val="00330C5F"/>
    <w:rsid w:val="00330EB8"/>
    <w:rsid w:val="003313E3"/>
    <w:rsid w:val="0033180A"/>
    <w:rsid w:val="00332049"/>
    <w:rsid w:val="0033352A"/>
    <w:rsid w:val="00333A39"/>
    <w:rsid w:val="00333F0E"/>
    <w:rsid w:val="00334216"/>
    <w:rsid w:val="003346E0"/>
    <w:rsid w:val="003349E9"/>
    <w:rsid w:val="00334F6B"/>
    <w:rsid w:val="0033520B"/>
    <w:rsid w:val="003352DB"/>
    <w:rsid w:val="0033648B"/>
    <w:rsid w:val="00336A6A"/>
    <w:rsid w:val="00336B1A"/>
    <w:rsid w:val="00336BBD"/>
    <w:rsid w:val="00336E91"/>
    <w:rsid w:val="00336FDA"/>
    <w:rsid w:val="0033707D"/>
    <w:rsid w:val="00337118"/>
    <w:rsid w:val="00337205"/>
    <w:rsid w:val="00337A85"/>
    <w:rsid w:val="00337B19"/>
    <w:rsid w:val="00337F75"/>
    <w:rsid w:val="00340235"/>
    <w:rsid w:val="00340513"/>
    <w:rsid w:val="003408F6"/>
    <w:rsid w:val="003408F9"/>
    <w:rsid w:val="00341142"/>
    <w:rsid w:val="0034140E"/>
    <w:rsid w:val="00341568"/>
    <w:rsid w:val="0034179F"/>
    <w:rsid w:val="00341A6A"/>
    <w:rsid w:val="00341D5F"/>
    <w:rsid w:val="0034225B"/>
    <w:rsid w:val="00342CBD"/>
    <w:rsid w:val="00342D5D"/>
    <w:rsid w:val="003430E6"/>
    <w:rsid w:val="003431DA"/>
    <w:rsid w:val="003432B1"/>
    <w:rsid w:val="00343F86"/>
    <w:rsid w:val="0034419F"/>
    <w:rsid w:val="003446B5"/>
    <w:rsid w:val="00344B62"/>
    <w:rsid w:val="00344F04"/>
    <w:rsid w:val="00344FE9"/>
    <w:rsid w:val="00345746"/>
    <w:rsid w:val="003457DC"/>
    <w:rsid w:val="00345929"/>
    <w:rsid w:val="003461BD"/>
    <w:rsid w:val="0034667F"/>
    <w:rsid w:val="003467A2"/>
    <w:rsid w:val="00346ADC"/>
    <w:rsid w:val="00346CF3"/>
    <w:rsid w:val="00347A7C"/>
    <w:rsid w:val="00347D27"/>
    <w:rsid w:val="00347EC2"/>
    <w:rsid w:val="003503D2"/>
    <w:rsid w:val="00350586"/>
    <w:rsid w:val="00350763"/>
    <w:rsid w:val="00350D63"/>
    <w:rsid w:val="00350E2D"/>
    <w:rsid w:val="00350F4E"/>
    <w:rsid w:val="00351191"/>
    <w:rsid w:val="003519E4"/>
    <w:rsid w:val="00351CD8"/>
    <w:rsid w:val="00351FE9"/>
    <w:rsid w:val="00352213"/>
    <w:rsid w:val="003529C5"/>
    <w:rsid w:val="00352F69"/>
    <w:rsid w:val="0035318D"/>
    <w:rsid w:val="0035329D"/>
    <w:rsid w:val="0035375B"/>
    <w:rsid w:val="003540C2"/>
    <w:rsid w:val="003544BF"/>
    <w:rsid w:val="003546C7"/>
    <w:rsid w:val="00354E48"/>
    <w:rsid w:val="00354FD0"/>
    <w:rsid w:val="0035516A"/>
    <w:rsid w:val="0035537A"/>
    <w:rsid w:val="00355853"/>
    <w:rsid w:val="003558F2"/>
    <w:rsid w:val="00355E73"/>
    <w:rsid w:val="003565A5"/>
    <w:rsid w:val="00356739"/>
    <w:rsid w:val="003569DE"/>
    <w:rsid w:val="00356C10"/>
    <w:rsid w:val="0035701A"/>
    <w:rsid w:val="0035743D"/>
    <w:rsid w:val="00357444"/>
    <w:rsid w:val="0036040E"/>
    <w:rsid w:val="00360433"/>
    <w:rsid w:val="0036073D"/>
    <w:rsid w:val="003609CC"/>
    <w:rsid w:val="00360A50"/>
    <w:rsid w:val="00360A94"/>
    <w:rsid w:val="00360AD5"/>
    <w:rsid w:val="00360D87"/>
    <w:rsid w:val="00361825"/>
    <w:rsid w:val="00361BE9"/>
    <w:rsid w:val="00362100"/>
    <w:rsid w:val="0036281D"/>
    <w:rsid w:val="0036290B"/>
    <w:rsid w:val="00363100"/>
    <w:rsid w:val="00363589"/>
    <w:rsid w:val="00363B21"/>
    <w:rsid w:val="00363BDF"/>
    <w:rsid w:val="00363E87"/>
    <w:rsid w:val="00364233"/>
    <w:rsid w:val="003645C3"/>
    <w:rsid w:val="00364640"/>
    <w:rsid w:val="00364786"/>
    <w:rsid w:val="00364BF9"/>
    <w:rsid w:val="00364C63"/>
    <w:rsid w:val="00364C84"/>
    <w:rsid w:val="00365279"/>
    <w:rsid w:val="003652EB"/>
    <w:rsid w:val="003652F1"/>
    <w:rsid w:val="00365CA3"/>
    <w:rsid w:val="00365D8D"/>
    <w:rsid w:val="00365D9B"/>
    <w:rsid w:val="00365E1D"/>
    <w:rsid w:val="00365EC5"/>
    <w:rsid w:val="00366514"/>
    <w:rsid w:val="003666B9"/>
    <w:rsid w:val="00366796"/>
    <w:rsid w:val="00366807"/>
    <w:rsid w:val="003668D6"/>
    <w:rsid w:val="00366ACF"/>
    <w:rsid w:val="00366BD2"/>
    <w:rsid w:val="00366CE1"/>
    <w:rsid w:val="003671CE"/>
    <w:rsid w:val="003674B8"/>
    <w:rsid w:val="003675F2"/>
    <w:rsid w:val="00367879"/>
    <w:rsid w:val="00367A98"/>
    <w:rsid w:val="00367C92"/>
    <w:rsid w:val="00367CBD"/>
    <w:rsid w:val="00367F95"/>
    <w:rsid w:val="00370871"/>
    <w:rsid w:val="00370A78"/>
    <w:rsid w:val="00370C30"/>
    <w:rsid w:val="00370D42"/>
    <w:rsid w:val="00370EDC"/>
    <w:rsid w:val="00370FF5"/>
    <w:rsid w:val="003711D3"/>
    <w:rsid w:val="003712E5"/>
    <w:rsid w:val="00371460"/>
    <w:rsid w:val="00371484"/>
    <w:rsid w:val="00371A84"/>
    <w:rsid w:val="00371CD5"/>
    <w:rsid w:val="00372D7E"/>
    <w:rsid w:val="00373051"/>
    <w:rsid w:val="00373408"/>
    <w:rsid w:val="00373C1F"/>
    <w:rsid w:val="00373E8E"/>
    <w:rsid w:val="00373F93"/>
    <w:rsid w:val="00374541"/>
    <w:rsid w:val="003747D4"/>
    <w:rsid w:val="00374957"/>
    <w:rsid w:val="00374982"/>
    <w:rsid w:val="00374BB8"/>
    <w:rsid w:val="003756EE"/>
    <w:rsid w:val="00375869"/>
    <w:rsid w:val="00375AAB"/>
    <w:rsid w:val="00375EF7"/>
    <w:rsid w:val="00376648"/>
    <w:rsid w:val="0037666E"/>
    <w:rsid w:val="0037672B"/>
    <w:rsid w:val="003767E2"/>
    <w:rsid w:val="00376B3C"/>
    <w:rsid w:val="00376BE2"/>
    <w:rsid w:val="00376BF1"/>
    <w:rsid w:val="00376C4C"/>
    <w:rsid w:val="00377334"/>
    <w:rsid w:val="0037738A"/>
    <w:rsid w:val="00377778"/>
    <w:rsid w:val="003778C9"/>
    <w:rsid w:val="00377CC2"/>
    <w:rsid w:val="00377E7C"/>
    <w:rsid w:val="00377EC5"/>
    <w:rsid w:val="00380473"/>
    <w:rsid w:val="003805A2"/>
    <w:rsid w:val="003806EF"/>
    <w:rsid w:val="00380733"/>
    <w:rsid w:val="00380B96"/>
    <w:rsid w:val="0038179A"/>
    <w:rsid w:val="00381BDD"/>
    <w:rsid w:val="00382187"/>
    <w:rsid w:val="0038272D"/>
    <w:rsid w:val="00382BF8"/>
    <w:rsid w:val="003831B4"/>
    <w:rsid w:val="00383730"/>
    <w:rsid w:val="00383C9F"/>
    <w:rsid w:val="003841A1"/>
    <w:rsid w:val="0038436D"/>
    <w:rsid w:val="003843C4"/>
    <w:rsid w:val="00384427"/>
    <w:rsid w:val="0038469C"/>
    <w:rsid w:val="0038498E"/>
    <w:rsid w:val="00384F92"/>
    <w:rsid w:val="003854DB"/>
    <w:rsid w:val="003854F1"/>
    <w:rsid w:val="00385558"/>
    <w:rsid w:val="0038576A"/>
    <w:rsid w:val="00385A07"/>
    <w:rsid w:val="00385AB7"/>
    <w:rsid w:val="003862A8"/>
    <w:rsid w:val="00386F36"/>
    <w:rsid w:val="0038700D"/>
    <w:rsid w:val="00387391"/>
    <w:rsid w:val="003876B0"/>
    <w:rsid w:val="00387A03"/>
    <w:rsid w:val="00387BC1"/>
    <w:rsid w:val="00390077"/>
    <w:rsid w:val="0039021F"/>
    <w:rsid w:val="00390528"/>
    <w:rsid w:val="00390555"/>
    <w:rsid w:val="0039081B"/>
    <w:rsid w:val="00390CA7"/>
    <w:rsid w:val="00390E49"/>
    <w:rsid w:val="0039150A"/>
    <w:rsid w:val="00391C36"/>
    <w:rsid w:val="00391D4F"/>
    <w:rsid w:val="00391EA8"/>
    <w:rsid w:val="00392140"/>
    <w:rsid w:val="003928C3"/>
    <w:rsid w:val="003929ED"/>
    <w:rsid w:val="0039322D"/>
    <w:rsid w:val="003932A5"/>
    <w:rsid w:val="00393367"/>
    <w:rsid w:val="00393371"/>
    <w:rsid w:val="003938BD"/>
    <w:rsid w:val="00393B17"/>
    <w:rsid w:val="003948F3"/>
    <w:rsid w:val="00394D13"/>
    <w:rsid w:val="00396366"/>
    <w:rsid w:val="003964BE"/>
    <w:rsid w:val="00396624"/>
    <w:rsid w:val="0039670B"/>
    <w:rsid w:val="003967AC"/>
    <w:rsid w:val="003968D1"/>
    <w:rsid w:val="00396B7F"/>
    <w:rsid w:val="00397182"/>
    <w:rsid w:val="0039725D"/>
    <w:rsid w:val="00397636"/>
    <w:rsid w:val="003A00F3"/>
    <w:rsid w:val="003A033C"/>
    <w:rsid w:val="003A06C2"/>
    <w:rsid w:val="003A0F28"/>
    <w:rsid w:val="003A1538"/>
    <w:rsid w:val="003A20F3"/>
    <w:rsid w:val="003A20FD"/>
    <w:rsid w:val="003A22ED"/>
    <w:rsid w:val="003A232F"/>
    <w:rsid w:val="003A26F7"/>
    <w:rsid w:val="003A2B36"/>
    <w:rsid w:val="003A2EEC"/>
    <w:rsid w:val="003A315E"/>
    <w:rsid w:val="003A34BD"/>
    <w:rsid w:val="003A3704"/>
    <w:rsid w:val="003A38AB"/>
    <w:rsid w:val="003A3D98"/>
    <w:rsid w:val="003A4049"/>
    <w:rsid w:val="003A445A"/>
    <w:rsid w:val="003A4B01"/>
    <w:rsid w:val="003A4EF1"/>
    <w:rsid w:val="003A50B9"/>
    <w:rsid w:val="003A53F4"/>
    <w:rsid w:val="003A54B0"/>
    <w:rsid w:val="003A55CD"/>
    <w:rsid w:val="003A5603"/>
    <w:rsid w:val="003A5820"/>
    <w:rsid w:val="003A5868"/>
    <w:rsid w:val="003A5DDD"/>
    <w:rsid w:val="003A5FFD"/>
    <w:rsid w:val="003A62CB"/>
    <w:rsid w:val="003A63CF"/>
    <w:rsid w:val="003A6692"/>
    <w:rsid w:val="003A67E8"/>
    <w:rsid w:val="003A6B06"/>
    <w:rsid w:val="003A6F23"/>
    <w:rsid w:val="003A74EA"/>
    <w:rsid w:val="003A7673"/>
    <w:rsid w:val="003A7C8F"/>
    <w:rsid w:val="003A7E35"/>
    <w:rsid w:val="003B0625"/>
    <w:rsid w:val="003B0C69"/>
    <w:rsid w:val="003B0D3E"/>
    <w:rsid w:val="003B0E38"/>
    <w:rsid w:val="003B0F3D"/>
    <w:rsid w:val="003B20DA"/>
    <w:rsid w:val="003B29A8"/>
    <w:rsid w:val="003B2FDD"/>
    <w:rsid w:val="003B3003"/>
    <w:rsid w:val="003B3267"/>
    <w:rsid w:val="003B3DE8"/>
    <w:rsid w:val="003B3EEF"/>
    <w:rsid w:val="003B40C2"/>
    <w:rsid w:val="003B4101"/>
    <w:rsid w:val="003B4146"/>
    <w:rsid w:val="003B4200"/>
    <w:rsid w:val="003B42B2"/>
    <w:rsid w:val="003B43EC"/>
    <w:rsid w:val="003B4A5B"/>
    <w:rsid w:val="003B4B50"/>
    <w:rsid w:val="003B4B69"/>
    <w:rsid w:val="003B5131"/>
    <w:rsid w:val="003B5491"/>
    <w:rsid w:val="003B559E"/>
    <w:rsid w:val="003B5731"/>
    <w:rsid w:val="003B599D"/>
    <w:rsid w:val="003B5ABD"/>
    <w:rsid w:val="003B5AD6"/>
    <w:rsid w:val="003B5F3E"/>
    <w:rsid w:val="003B5FA9"/>
    <w:rsid w:val="003B6124"/>
    <w:rsid w:val="003B64B1"/>
    <w:rsid w:val="003B67E3"/>
    <w:rsid w:val="003B6B21"/>
    <w:rsid w:val="003B6DCA"/>
    <w:rsid w:val="003B714A"/>
    <w:rsid w:val="003B7FCC"/>
    <w:rsid w:val="003C0144"/>
    <w:rsid w:val="003C06D3"/>
    <w:rsid w:val="003C0C38"/>
    <w:rsid w:val="003C0CB9"/>
    <w:rsid w:val="003C0E23"/>
    <w:rsid w:val="003C1038"/>
    <w:rsid w:val="003C11EE"/>
    <w:rsid w:val="003C12E2"/>
    <w:rsid w:val="003C136B"/>
    <w:rsid w:val="003C143C"/>
    <w:rsid w:val="003C188E"/>
    <w:rsid w:val="003C1D81"/>
    <w:rsid w:val="003C1F10"/>
    <w:rsid w:val="003C1FBA"/>
    <w:rsid w:val="003C2103"/>
    <w:rsid w:val="003C2616"/>
    <w:rsid w:val="003C27F9"/>
    <w:rsid w:val="003C31E6"/>
    <w:rsid w:val="003C347E"/>
    <w:rsid w:val="003C36B2"/>
    <w:rsid w:val="003C36F6"/>
    <w:rsid w:val="003C3A6B"/>
    <w:rsid w:val="003C3B7E"/>
    <w:rsid w:val="003C431B"/>
    <w:rsid w:val="003C4B2C"/>
    <w:rsid w:val="003C4E43"/>
    <w:rsid w:val="003C4F76"/>
    <w:rsid w:val="003C5130"/>
    <w:rsid w:val="003C5158"/>
    <w:rsid w:val="003C5960"/>
    <w:rsid w:val="003C5EA9"/>
    <w:rsid w:val="003C61BF"/>
    <w:rsid w:val="003C6276"/>
    <w:rsid w:val="003C660B"/>
    <w:rsid w:val="003C6937"/>
    <w:rsid w:val="003C6B79"/>
    <w:rsid w:val="003C6B7D"/>
    <w:rsid w:val="003C7350"/>
    <w:rsid w:val="003C75A6"/>
    <w:rsid w:val="003C7731"/>
    <w:rsid w:val="003C7A14"/>
    <w:rsid w:val="003C7A70"/>
    <w:rsid w:val="003C7B1D"/>
    <w:rsid w:val="003C7B6E"/>
    <w:rsid w:val="003C7EF3"/>
    <w:rsid w:val="003D02AA"/>
    <w:rsid w:val="003D0724"/>
    <w:rsid w:val="003D07C2"/>
    <w:rsid w:val="003D0969"/>
    <w:rsid w:val="003D0BAD"/>
    <w:rsid w:val="003D0DF5"/>
    <w:rsid w:val="003D0F14"/>
    <w:rsid w:val="003D0F5C"/>
    <w:rsid w:val="003D186E"/>
    <w:rsid w:val="003D1B55"/>
    <w:rsid w:val="003D27F5"/>
    <w:rsid w:val="003D297E"/>
    <w:rsid w:val="003D2ABD"/>
    <w:rsid w:val="003D2B41"/>
    <w:rsid w:val="003D2DA1"/>
    <w:rsid w:val="003D2EBA"/>
    <w:rsid w:val="003D2FFE"/>
    <w:rsid w:val="003D3331"/>
    <w:rsid w:val="003D34FC"/>
    <w:rsid w:val="003D350F"/>
    <w:rsid w:val="003D3562"/>
    <w:rsid w:val="003D3C01"/>
    <w:rsid w:val="003D3E45"/>
    <w:rsid w:val="003D4224"/>
    <w:rsid w:val="003D42F3"/>
    <w:rsid w:val="003D42FB"/>
    <w:rsid w:val="003D435A"/>
    <w:rsid w:val="003D436A"/>
    <w:rsid w:val="003D4477"/>
    <w:rsid w:val="003D47E3"/>
    <w:rsid w:val="003D4930"/>
    <w:rsid w:val="003D5146"/>
    <w:rsid w:val="003D543E"/>
    <w:rsid w:val="003D54CE"/>
    <w:rsid w:val="003D562E"/>
    <w:rsid w:val="003D5B24"/>
    <w:rsid w:val="003D6180"/>
    <w:rsid w:val="003D6712"/>
    <w:rsid w:val="003D681D"/>
    <w:rsid w:val="003D6962"/>
    <w:rsid w:val="003D73D0"/>
    <w:rsid w:val="003D745D"/>
    <w:rsid w:val="003D781D"/>
    <w:rsid w:val="003D795B"/>
    <w:rsid w:val="003D7EF3"/>
    <w:rsid w:val="003D7F5B"/>
    <w:rsid w:val="003E0125"/>
    <w:rsid w:val="003E03F7"/>
    <w:rsid w:val="003E0648"/>
    <w:rsid w:val="003E07A7"/>
    <w:rsid w:val="003E0D55"/>
    <w:rsid w:val="003E0D7C"/>
    <w:rsid w:val="003E0EE1"/>
    <w:rsid w:val="003E0FCA"/>
    <w:rsid w:val="003E11FF"/>
    <w:rsid w:val="003E14B1"/>
    <w:rsid w:val="003E14C6"/>
    <w:rsid w:val="003E172A"/>
    <w:rsid w:val="003E1827"/>
    <w:rsid w:val="003E1A47"/>
    <w:rsid w:val="003E1B16"/>
    <w:rsid w:val="003E1C24"/>
    <w:rsid w:val="003E2C62"/>
    <w:rsid w:val="003E2D79"/>
    <w:rsid w:val="003E2E57"/>
    <w:rsid w:val="003E31F7"/>
    <w:rsid w:val="003E3736"/>
    <w:rsid w:val="003E391A"/>
    <w:rsid w:val="003E3F0F"/>
    <w:rsid w:val="003E4142"/>
    <w:rsid w:val="003E4265"/>
    <w:rsid w:val="003E44CB"/>
    <w:rsid w:val="003E4852"/>
    <w:rsid w:val="003E5452"/>
    <w:rsid w:val="003E55C9"/>
    <w:rsid w:val="003E5AFD"/>
    <w:rsid w:val="003E626D"/>
    <w:rsid w:val="003E6272"/>
    <w:rsid w:val="003E63BD"/>
    <w:rsid w:val="003E6476"/>
    <w:rsid w:val="003E6698"/>
    <w:rsid w:val="003E686C"/>
    <w:rsid w:val="003E68BE"/>
    <w:rsid w:val="003E7048"/>
    <w:rsid w:val="003E72F9"/>
    <w:rsid w:val="003E7374"/>
    <w:rsid w:val="003E73AF"/>
    <w:rsid w:val="003E7463"/>
    <w:rsid w:val="003E7C79"/>
    <w:rsid w:val="003E7E49"/>
    <w:rsid w:val="003E7EA1"/>
    <w:rsid w:val="003E7F22"/>
    <w:rsid w:val="003E7F7D"/>
    <w:rsid w:val="003F0160"/>
    <w:rsid w:val="003F0FE3"/>
    <w:rsid w:val="003F14C2"/>
    <w:rsid w:val="003F169D"/>
    <w:rsid w:val="003F1732"/>
    <w:rsid w:val="003F1BC5"/>
    <w:rsid w:val="003F1C21"/>
    <w:rsid w:val="003F1CAD"/>
    <w:rsid w:val="003F1CE5"/>
    <w:rsid w:val="003F248F"/>
    <w:rsid w:val="003F27A5"/>
    <w:rsid w:val="003F2811"/>
    <w:rsid w:val="003F2B77"/>
    <w:rsid w:val="003F2C1C"/>
    <w:rsid w:val="003F2E17"/>
    <w:rsid w:val="003F30D0"/>
    <w:rsid w:val="003F3676"/>
    <w:rsid w:val="003F3FCA"/>
    <w:rsid w:val="003F4092"/>
    <w:rsid w:val="003F48B0"/>
    <w:rsid w:val="003F5101"/>
    <w:rsid w:val="003F51D6"/>
    <w:rsid w:val="003F5AE6"/>
    <w:rsid w:val="003F5C1D"/>
    <w:rsid w:val="003F5C8F"/>
    <w:rsid w:val="003F5D56"/>
    <w:rsid w:val="003F60C2"/>
    <w:rsid w:val="003F693C"/>
    <w:rsid w:val="003F6C90"/>
    <w:rsid w:val="003F6D36"/>
    <w:rsid w:val="003F6F94"/>
    <w:rsid w:val="003F7224"/>
    <w:rsid w:val="003F75E2"/>
    <w:rsid w:val="003F7658"/>
    <w:rsid w:val="003F767A"/>
    <w:rsid w:val="003F7692"/>
    <w:rsid w:val="003F7727"/>
    <w:rsid w:val="003F773B"/>
    <w:rsid w:val="003F7786"/>
    <w:rsid w:val="003F7946"/>
    <w:rsid w:val="003F7E35"/>
    <w:rsid w:val="003F7F2D"/>
    <w:rsid w:val="004000E4"/>
    <w:rsid w:val="00400154"/>
    <w:rsid w:val="004002DE"/>
    <w:rsid w:val="004007FC"/>
    <w:rsid w:val="004009F5"/>
    <w:rsid w:val="00400E5F"/>
    <w:rsid w:val="004010FE"/>
    <w:rsid w:val="004012BA"/>
    <w:rsid w:val="004014C3"/>
    <w:rsid w:val="004015BF"/>
    <w:rsid w:val="004019EA"/>
    <w:rsid w:val="00401BFB"/>
    <w:rsid w:val="00401EEF"/>
    <w:rsid w:val="00401F9E"/>
    <w:rsid w:val="00402028"/>
    <w:rsid w:val="00402140"/>
    <w:rsid w:val="004023B8"/>
    <w:rsid w:val="00402B7A"/>
    <w:rsid w:val="00402CE8"/>
    <w:rsid w:val="00402DD9"/>
    <w:rsid w:val="00402FBA"/>
    <w:rsid w:val="0040306F"/>
    <w:rsid w:val="00403204"/>
    <w:rsid w:val="004036A2"/>
    <w:rsid w:val="0040389F"/>
    <w:rsid w:val="004038F8"/>
    <w:rsid w:val="00403926"/>
    <w:rsid w:val="00403C41"/>
    <w:rsid w:val="00403E59"/>
    <w:rsid w:val="00404037"/>
    <w:rsid w:val="00404277"/>
    <w:rsid w:val="00404428"/>
    <w:rsid w:val="00404BE7"/>
    <w:rsid w:val="00404C3F"/>
    <w:rsid w:val="00404D13"/>
    <w:rsid w:val="00404E68"/>
    <w:rsid w:val="00404FA3"/>
    <w:rsid w:val="00406DB2"/>
    <w:rsid w:val="00407068"/>
    <w:rsid w:val="0040770C"/>
    <w:rsid w:val="004104E9"/>
    <w:rsid w:val="00411746"/>
    <w:rsid w:val="00411CA1"/>
    <w:rsid w:val="0041218A"/>
    <w:rsid w:val="004124D6"/>
    <w:rsid w:val="00412BEB"/>
    <w:rsid w:val="00412CCB"/>
    <w:rsid w:val="00412D83"/>
    <w:rsid w:val="0041313B"/>
    <w:rsid w:val="004135BF"/>
    <w:rsid w:val="00413649"/>
    <w:rsid w:val="0041388D"/>
    <w:rsid w:val="00413A22"/>
    <w:rsid w:val="00413C7F"/>
    <w:rsid w:val="004144C3"/>
    <w:rsid w:val="004145B8"/>
    <w:rsid w:val="0041490F"/>
    <w:rsid w:val="00414AAC"/>
    <w:rsid w:val="00414D38"/>
    <w:rsid w:val="00414E37"/>
    <w:rsid w:val="00414E86"/>
    <w:rsid w:val="0041507E"/>
    <w:rsid w:val="00415491"/>
    <w:rsid w:val="00415952"/>
    <w:rsid w:val="00415B61"/>
    <w:rsid w:val="00415CCC"/>
    <w:rsid w:val="00415CF2"/>
    <w:rsid w:val="0041656C"/>
    <w:rsid w:val="004166D2"/>
    <w:rsid w:val="00416A1E"/>
    <w:rsid w:val="00416A79"/>
    <w:rsid w:val="00416C2B"/>
    <w:rsid w:val="00416DF4"/>
    <w:rsid w:val="00417061"/>
    <w:rsid w:val="0041715E"/>
    <w:rsid w:val="0042014A"/>
    <w:rsid w:val="00420BF7"/>
    <w:rsid w:val="00420EC2"/>
    <w:rsid w:val="0042103B"/>
    <w:rsid w:val="00421094"/>
    <w:rsid w:val="00421129"/>
    <w:rsid w:val="0042127A"/>
    <w:rsid w:val="0042187F"/>
    <w:rsid w:val="004218D9"/>
    <w:rsid w:val="00422257"/>
    <w:rsid w:val="004225F6"/>
    <w:rsid w:val="00422FBA"/>
    <w:rsid w:val="0042356F"/>
    <w:rsid w:val="00423821"/>
    <w:rsid w:val="004239FE"/>
    <w:rsid w:val="00423F03"/>
    <w:rsid w:val="004247D4"/>
    <w:rsid w:val="00424E90"/>
    <w:rsid w:val="0042535D"/>
    <w:rsid w:val="00425616"/>
    <w:rsid w:val="004257D3"/>
    <w:rsid w:val="00425DA5"/>
    <w:rsid w:val="00426020"/>
    <w:rsid w:val="00426080"/>
    <w:rsid w:val="00426279"/>
    <w:rsid w:val="0042636F"/>
    <w:rsid w:val="0042651B"/>
    <w:rsid w:val="00426CFD"/>
    <w:rsid w:val="00426F73"/>
    <w:rsid w:val="0042705E"/>
    <w:rsid w:val="00427321"/>
    <w:rsid w:val="00427AC6"/>
    <w:rsid w:val="00427D9A"/>
    <w:rsid w:val="00430005"/>
    <w:rsid w:val="004300C6"/>
    <w:rsid w:val="004308BC"/>
    <w:rsid w:val="004308C4"/>
    <w:rsid w:val="00430CE3"/>
    <w:rsid w:val="00430D0C"/>
    <w:rsid w:val="00431053"/>
    <w:rsid w:val="004313CF"/>
    <w:rsid w:val="00431969"/>
    <w:rsid w:val="00432B0C"/>
    <w:rsid w:val="00432BF4"/>
    <w:rsid w:val="00433336"/>
    <w:rsid w:val="00433AB3"/>
    <w:rsid w:val="00433D24"/>
    <w:rsid w:val="00433D8E"/>
    <w:rsid w:val="00434342"/>
    <w:rsid w:val="00434B1C"/>
    <w:rsid w:val="00434DF9"/>
    <w:rsid w:val="00434F7E"/>
    <w:rsid w:val="00435408"/>
    <w:rsid w:val="00435A75"/>
    <w:rsid w:val="00435EF3"/>
    <w:rsid w:val="004360A8"/>
    <w:rsid w:val="004362EC"/>
    <w:rsid w:val="00436DEC"/>
    <w:rsid w:val="00437147"/>
    <w:rsid w:val="004376D0"/>
    <w:rsid w:val="00437915"/>
    <w:rsid w:val="00437B2F"/>
    <w:rsid w:val="00437B60"/>
    <w:rsid w:val="00437DE4"/>
    <w:rsid w:val="00440114"/>
    <w:rsid w:val="00440136"/>
    <w:rsid w:val="0044045C"/>
    <w:rsid w:val="004404CD"/>
    <w:rsid w:val="004413BA"/>
    <w:rsid w:val="0044183A"/>
    <w:rsid w:val="00441845"/>
    <w:rsid w:val="00441D63"/>
    <w:rsid w:val="00442150"/>
    <w:rsid w:val="004422C8"/>
    <w:rsid w:val="004422F6"/>
    <w:rsid w:val="0044279A"/>
    <w:rsid w:val="00442D28"/>
    <w:rsid w:val="00442E18"/>
    <w:rsid w:val="00442FF4"/>
    <w:rsid w:val="0044366C"/>
    <w:rsid w:val="0044374E"/>
    <w:rsid w:val="00443ADB"/>
    <w:rsid w:val="00444187"/>
    <w:rsid w:val="00444444"/>
    <w:rsid w:val="004446C5"/>
    <w:rsid w:val="004446E6"/>
    <w:rsid w:val="004449C4"/>
    <w:rsid w:val="004450D5"/>
    <w:rsid w:val="00445A94"/>
    <w:rsid w:val="004463FF"/>
    <w:rsid w:val="00446856"/>
    <w:rsid w:val="00446E3B"/>
    <w:rsid w:val="00447016"/>
    <w:rsid w:val="004472F7"/>
    <w:rsid w:val="004476CA"/>
    <w:rsid w:val="00447850"/>
    <w:rsid w:val="00450506"/>
    <w:rsid w:val="004507E0"/>
    <w:rsid w:val="00450967"/>
    <w:rsid w:val="00450B91"/>
    <w:rsid w:val="00450CB7"/>
    <w:rsid w:val="00450EC4"/>
    <w:rsid w:val="004510B9"/>
    <w:rsid w:val="004512F6"/>
    <w:rsid w:val="004514A1"/>
    <w:rsid w:val="00451636"/>
    <w:rsid w:val="00451B2B"/>
    <w:rsid w:val="00451FDB"/>
    <w:rsid w:val="00451FE7"/>
    <w:rsid w:val="00452169"/>
    <w:rsid w:val="00452492"/>
    <w:rsid w:val="0045249B"/>
    <w:rsid w:val="00452746"/>
    <w:rsid w:val="004527D8"/>
    <w:rsid w:val="00452AC9"/>
    <w:rsid w:val="00452F32"/>
    <w:rsid w:val="00452FDE"/>
    <w:rsid w:val="004534F3"/>
    <w:rsid w:val="00453971"/>
    <w:rsid w:val="00453A9C"/>
    <w:rsid w:val="00453EE4"/>
    <w:rsid w:val="004543CC"/>
    <w:rsid w:val="00454565"/>
    <w:rsid w:val="004553C6"/>
    <w:rsid w:val="00455D88"/>
    <w:rsid w:val="00455DF3"/>
    <w:rsid w:val="00456CD8"/>
    <w:rsid w:val="00456DBE"/>
    <w:rsid w:val="00456DE2"/>
    <w:rsid w:val="00456EB7"/>
    <w:rsid w:val="00457075"/>
    <w:rsid w:val="00457516"/>
    <w:rsid w:val="004603ED"/>
    <w:rsid w:val="00460891"/>
    <w:rsid w:val="00460A55"/>
    <w:rsid w:val="00460E43"/>
    <w:rsid w:val="00460FD0"/>
    <w:rsid w:val="00461107"/>
    <w:rsid w:val="00461747"/>
    <w:rsid w:val="00461B43"/>
    <w:rsid w:val="00461BA6"/>
    <w:rsid w:val="00462004"/>
    <w:rsid w:val="00462566"/>
    <w:rsid w:val="004626DA"/>
    <w:rsid w:val="00462725"/>
    <w:rsid w:val="00462965"/>
    <w:rsid w:val="00462D78"/>
    <w:rsid w:val="00462EBA"/>
    <w:rsid w:val="004630DA"/>
    <w:rsid w:val="004631A5"/>
    <w:rsid w:val="004631D2"/>
    <w:rsid w:val="0046335C"/>
    <w:rsid w:val="00463435"/>
    <w:rsid w:val="00463536"/>
    <w:rsid w:val="00463863"/>
    <w:rsid w:val="004639A8"/>
    <w:rsid w:val="004639BC"/>
    <w:rsid w:val="00463B7F"/>
    <w:rsid w:val="00463C24"/>
    <w:rsid w:val="004640D7"/>
    <w:rsid w:val="00464828"/>
    <w:rsid w:val="00464A01"/>
    <w:rsid w:val="00464AB2"/>
    <w:rsid w:val="00464FCB"/>
    <w:rsid w:val="00465442"/>
    <w:rsid w:val="00465F3E"/>
    <w:rsid w:val="00465F9A"/>
    <w:rsid w:val="0046657C"/>
    <w:rsid w:val="0046661D"/>
    <w:rsid w:val="00466B37"/>
    <w:rsid w:val="00467094"/>
    <w:rsid w:val="004672CC"/>
    <w:rsid w:val="00467586"/>
    <w:rsid w:val="00467946"/>
    <w:rsid w:val="004679F5"/>
    <w:rsid w:val="00467B9D"/>
    <w:rsid w:val="004705ED"/>
    <w:rsid w:val="004707F1"/>
    <w:rsid w:val="00470A7D"/>
    <w:rsid w:val="00471016"/>
    <w:rsid w:val="0047105E"/>
    <w:rsid w:val="00471675"/>
    <w:rsid w:val="004718CA"/>
    <w:rsid w:val="00471E82"/>
    <w:rsid w:val="00472760"/>
    <w:rsid w:val="00472769"/>
    <w:rsid w:val="00472770"/>
    <w:rsid w:val="00472BA1"/>
    <w:rsid w:val="00472EA0"/>
    <w:rsid w:val="0047340E"/>
    <w:rsid w:val="0047367C"/>
    <w:rsid w:val="004737A0"/>
    <w:rsid w:val="004738ED"/>
    <w:rsid w:val="004739C7"/>
    <w:rsid w:val="00473C60"/>
    <w:rsid w:val="00473E00"/>
    <w:rsid w:val="00474303"/>
    <w:rsid w:val="00474515"/>
    <w:rsid w:val="00474639"/>
    <w:rsid w:val="004753DE"/>
    <w:rsid w:val="004757AC"/>
    <w:rsid w:val="00475845"/>
    <w:rsid w:val="00476B3A"/>
    <w:rsid w:val="00476C6D"/>
    <w:rsid w:val="00476E96"/>
    <w:rsid w:val="00476EE9"/>
    <w:rsid w:val="00477CC0"/>
    <w:rsid w:val="00477D37"/>
    <w:rsid w:val="0048099A"/>
    <w:rsid w:val="00480EA4"/>
    <w:rsid w:val="004810F0"/>
    <w:rsid w:val="0048132B"/>
    <w:rsid w:val="00481428"/>
    <w:rsid w:val="00481526"/>
    <w:rsid w:val="0048157D"/>
    <w:rsid w:val="0048183F"/>
    <w:rsid w:val="00482144"/>
    <w:rsid w:val="0048226E"/>
    <w:rsid w:val="0048227C"/>
    <w:rsid w:val="004825DC"/>
    <w:rsid w:val="00482802"/>
    <w:rsid w:val="00482D5C"/>
    <w:rsid w:val="00482E9A"/>
    <w:rsid w:val="0048320A"/>
    <w:rsid w:val="00483381"/>
    <w:rsid w:val="00483938"/>
    <w:rsid w:val="00483A86"/>
    <w:rsid w:val="00483B9F"/>
    <w:rsid w:val="00483E41"/>
    <w:rsid w:val="00483FA8"/>
    <w:rsid w:val="0048411A"/>
    <w:rsid w:val="004841B6"/>
    <w:rsid w:val="00484381"/>
    <w:rsid w:val="0048445A"/>
    <w:rsid w:val="004844C1"/>
    <w:rsid w:val="00484F13"/>
    <w:rsid w:val="00485102"/>
    <w:rsid w:val="00485AC4"/>
    <w:rsid w:val="00485B21"/>
    <w:rsid w:val="00485BD4"/>
    <w:rsid w:val="00486362"/>
    <w:rsid w:val="00486369"/>
    <w:rsid w:val="00486375"/>
    <w:rsid w:val="004864B6"/>
    <w:rsid w:val="004864D4"/>
    <w:rsid w:val="004866E7"/>
    <w:rsid w:val="00486A64"/>
    <w:rsid w:val="00486C36"/>
    <w:rsid w:val="00486D61"/>
    <w:rsid w:val="00487B53"/>
    <w:rsid w:val="004900F4"/>
    <w:rsid w:val="0049030D"/>
    <w:rsid w:val="00490CC0"/>
    <w:rsid w:val="004914B6"/>
    <w:rsid w:val="00491532"/>
    <w:rsid w:val="0049156F"/>
    <w:rsid w:val="00491AB0"/>
    <w:rsid w:val="00491ADB"/>
    <w:rsid w:val="0049206E"/>
    <w:rsid w:val="00492AF5"/>
    <w:rsid w:val="00492B19"/>
    <w:rsid w:val="00492BEF"/>
    <w:rsid w:val="00492C76"/>
    <w:rsid w:val="00492F6D"/>
    <w:rsid w:val="00492FD5"/>
    <w:rsid w:val="00493145"/>
    <w:rsid w:val="004932AF"/>
    <w:rsid w:val="0049374A"/>
    <w:rsid w:val="00493C60"/>
    <w:rsid w:val="00493ED0"/>
    <w:rsid w:val="00493F5F"/>
    <w:rsid w:val="004941DB"/>
    <w:rsid w:val="004941FF"/>
    <w:rsid w:val="00494D5E"/>
    <w:rsid w:val="004950AE"/>
    <w:rsid w:val="00495159"/>
    <w:rsid w:val="00495274"/>
    <w:rsid w:val="004954B4"/>
    <w:rsid w:val="00495829"/>
    <w:rsid w:val="0049596E"/>
    <w:rsid w:val="00495AB5"/>
    <w:rsid w:val="00495B32"/>
    <w:rsid w:val="00495D86"/>
    <w:rsid w:val="004962BE"/>
    <w:rsid w:val="004964E8"/>
    <w:rsid w:val="00496507"/>
    <w:rsid w:val="00496BCA"/>
    <w:rsid w:val="00496D07"/>
    <w:rsid w:val="00496D1B"/>
    <w:rsid w:val="0049722F"/>
    <w:rsid w:val="00497726"/>
    <w:rsid w:val="00497F8B"/>
    <w:rsid w:val="004A0100"/>
    <w:rsid w:val="004A03DA"/>
    <w:rsid w:val="004A05DA"/>
    <w:rsid w:val="004A06E2"/>
    <w:rsid w:val="004A083C"/>
    <w:rsid w:val="004A14A5"/>
    <w:rsid w:val="004A196F"/>
    <w:rsid w:val="004A2325"/>
    <w:rsid w:val="004A2B7B"/>
    <w:rsid w:val="004A31A3"/>
    <w:rsid w:val="004A378E"/>
    <w:rsid w:val="004A3FD8"/>
    <w:rsid w:val="004A4130"/>
    <w:rsid w:val="004A4259"/>
    <w:rsid w:val="004A4454"/>
    <w:rsid w:val="004A4471"/>
    <w:rsid w:val="004A4C05"/>
    <w:rsid w:val="004A52C5"/>
    <w:rsid w:val="004A5770"/>
    <w:rsid w:val="004A5927"/>
    <w:rsid w:val="004A59AC"/>
    <w:rsid w:val="004A5A00"/>
    <w:rsid w:val="004A61C0"/>
    <w:rsid w:val="004A66AF"/>
    <w:rsid w:val="004A66EE"/>
    <w:rsid w:val="004A7775"/>
    <w:rsid w:val="004A7866"/>
    <w:rsid w:val="004A7F00"/>
    <w:rsid w:val="004B0295"/>
    <w:rsid w:val="004B054F"/>
    <w:rsid w:val="004B0C08"/>
    <w:rsid w:val="004B0D1E"/>
    <w:rsid w:val="004B0D63"/>
    <w:rsid w:val="004B1699"/>
    <w:rsid w:val="004B1DB2"/>
    <w:rsid w:val="004B2036"/>
    <w:rsid w:val="004B258B"/>
    <w:rsid w:val="004B26BB"/>
    <w:rsid w:val="004B2863"/>
    <w:rsid w:val="004B29B9"/>
    <w:rsid w:val="004B33C3"/>
    <w:rsid w:val="004B3AD1"/>
    <w:rsid w:val="004B3C53"/>
    <w:rsid w:val="004B41D8"/>
    <w:rsid w:val="004B46F9"/>
    <w:rsid w:val="004B47BF"/>
    <w:rsid w:val="004B4E8B"/>
    <w:rsid w:val="004B4F36"/>
    <w:rsid w:val="004B50AA"/>
    <w:rsid w:val="004B5157"/>
    <w:rsid w:val="004B5508"/>
    <w:rsid w:val="004B5774"/>
    <w:rsid w:val="004B5806"/>
    <w:rsid w:val="004B591F"/>
    <w:rsid w:val="004B5992"/>
    <w:rsid w:val="004B5AE2"/>
    <w:rsid w:val="004B5B32"/>
    <w:rsid w:val="004B5D5B"/>
    <w:rsid w:val="004B67C6"/>
    <w:rsid w:val="004B6876"/>
    <w:rsid w:val="004B69FC"/>
    <w:rsid w:val="004B6AB7"/>
    <w:rsid w:val="004B6AD7"/>
    <w:rsid w:val="004B6B40"/>
    <w:rsid w:val="004B6DAC"/>
    <w:rsid w:val="004B744D"/>
    <w:rsid w:val="004B7632"/>
    <w:rsid w:val="004B79B1"/>
    <w:rsid w:val="004B7A12"/>
    <w:rsid w:val="004B7A6B"/>
    <w:rsid w:val="004B7EF7"/>
    <w:rsid w:val="004C046E"/>
    <w:rsid w:val="004C0747"/>
    <w:rsid w:val="004C085D"/>
    <w:rsid w:val="004C13E3"/>
    <w:rsid w:val="004C17E5"/>
    <w:rsid w:val="004C1804"/>
    <w:rsid w:val="004C1D21"/>
    <w:rsid w:val="004C215E"/>
    <w:rsid w:val="004C226E"/>
    <w:rsid w:val="004C2A04"/>
    <w:rsid w:val="004C2E66"/>
    <w:rsid w:val="004C3060"/>
    <w:rsid w:val="004C3219"/>
    <w:rsid w:val="004C39CD"/>
    <w:rsid w:val="004C3E23"/>
    <w:rsid w:val="004C4115"/>
    <w:rsid w:val="004C454A"/>
    <w:rsid w:val="004C4B96"/>
    <w:rsid w:val="004C4CC8"/>
    <w:rsid w:val="004C4DA7"/>
    <w:rsid w:val="004C4DF1"/>
    <w:rsid w:val="004C4EE6"/>
    <w:rsid w:val="004C4F45"/>
    <w:rsid w:val="004C5A84"/>
    <w:rsid w:val="004C5E79"/>
    <w:rsid w:val="004C5E9D"/>
    <w:rsid w:val="004C5F58"/>
    <w:rsid w:val="004C609C"/>
    <w:rsid w:val="004C617B"/>
    <w:rsid w:val="004C65BB"/>
    <w:rsid w:val="004C6788"/>
    <w:rsid w:val="004C6B15"/>
    <w:rsid w:val="004C6CA6"/>
    <w:rsid w:val="004C746A"/>
    <w:rsid w:val="004C7B75"/>
    <w:rsid w:val="004D005A"/>
    <w:rsid w:val="004D01B8"/>
    <w:rsid w:val="004D05C5"/>
    <w:rsid w:val="004D09BD"/>
    <w:rsid w:val="004D0C04"/>
    <w:rsid w:val="004D0C0F"/>
    <w:rsid w:val="004D108D"/>
    <w:rsid w:val="004D10A9"/>
    <w:rsid w:val="004D123A"/>
    <w:rsid w:val="004D12B5"/>
    <w:rsid w:val="004D17A5"/>
    <w:rsid w:val="004D19C8"/>
    <w:rsid w:val="004D2074"/>
    <w:rsid w:val="004D2445"/>
    <w:rsid w:val="004D28BD"/>
    <w:rsid w:val="004D2C2F"/>
    <w:rsid w:val="004D2C77"/>
    <w:rsid w:val="004D2EC0"/>
    <w:rsid w:val="004D37F7"/>
    <w:rsid w:val="004D3A0B"/>
    <w:rsid w:val="004D3E0E"/>
    <w:rsid w:val="004D41D4"/>
    <w:rsid w:val="004D43FA"/>
    <w:rsid w:val="004D50FF"/>
    <w:rsid w:val="004D53A0"/>
    <w:rsid w:val="004D5884"/>
    <w:rsid w:val="004D5C14"/>
    <w:rsid w:val="004D5C61"/>
    <w:rsid w:val="004D6133"/>
    <w:rsid w:val="004D61AC"/>
    <w:rsid w:val="004D6276"/>
    <w:rsid w:val="004D64BC"/>
    <w:rsid w:val="004D64E0"/>
    <w:rsid w:val="004D6547"/>
    <w:rsid w:val="004D6709"/>
    <w:rsid w:val="004D6B89"/>
    <w:rsid w:val="004D6C03"/>
    <w:rsid w:val="004D6D0A"/>
    <w:rsid w:val="004D727B"/>
    <w:rsid w:val="004D7A16"/>
    <w:rsid w:val="004D7C52"/>
    <w:rsid w:val="004E050F"/>
    <w:rsid w:val="004E0699"/>
    <w:rsid w:val="004E15CD"/>
    <w:rsid w:val="004E162C"/>
    <w:rsid w:val="004E2005"/>
    <w:rsid w:val="004E25AE"/>
    <w:rsid w:val="004E2FE2"/>
    <w:rsid w:val="004E3141"/>
    <w:rsid w:val="004E3411"/>
    <w:rsid w:val="004E3835"/>
    <w:rsid w:val="004E389B"/>
    <w:rsid w:val="004E39FE"/>
    <w:rsid w:val="004E3DBA"/>
    <w:rsid w:val="004E45C4"/>
    <w:rsid w:val="004E5198"/>
    <w:rsid w:val="004E579C"/>
    <w:rsid w:val="004E5856"/>
    <w:rsid w:val="004E596C"/>
    <w:rsid w:val="004E598D"/>
    <w:rsid w:val="004E5A45"/>
    <w:rsid w:val="004E5FC9"/>
    <w:rsid w:val="004E60A2"/>
    <w:rsid w:val="004E6907"/>
    <w:rsid w:val="004E69C4"/>
    <w:rsid w:val="004E6B35"/>
    <w:rsid w:val="004E6D3E"/>
    <w:rsid w:val="004E7433"/>
    <w:rsid w:val="004E75C8"/>
    <w:rsid w:val="004E7766"/>
    <w:rsid w:val="004E78A0"/>
    <w:rsid w:val="004E7F71"/>
    <w:rsid w:val="004F0317"/>
    <w:rsid w:val="004F04A4"/>
    <w:rsid w:val="004F07BA"/>
    <w:rsid w:val="004F09F2"/>
    <w:rsid w:val="004F0BB5"/>
    <w:rsid w:val="004F10E7"/>
    <w:rsid w:val="004F1C5F"/>
    <w:rsid w:val="004F20D8"/>
    <w:rsid w:val="004F249F"/>
    <w:rsid w:val="004F2565"/>
    <w:rsid w:val="004F25F8"/>
    <w:rsid w:val="004F306B"/>
    <w:rsid w:val="004F3637"/>
    <w:rsid w:val="004F36F1"/>
    <w:rsid w:val="004F3970"/>
    <w:rsid w:val="004F3A7D"/>
    <w:rsid w:val="004F3EFC"/>
    <w:rsid w:val="004F44A3"/>
    <w:rsid w:val="004F4859"/>
    <w:rsid w:val="004F58AF"/>
    <w:rsid w:val="004F6159"/>
    <w:rsid w:val="004F61B0"/>
    <w:rsid w:val="004F61DA"/>
    <w:rsid w:val="004F628E"/>
    <w:rsid w:val="004F6685"/>
    <w:rsid w:val="004F66DF"/>
    <w:rsid w:val="004F6AD0"/>
    <w:rsid w:val="004F6B50"/>
    <w:rsid w:val="004F7712"/>
    <w:rsid w:val="004F7813"/>
    <w:rsid w:val="004F7897"/>
    <w:rsid w:val="004F7BEA"/>
    <w:rsid w:val="004F7BF4"/>
    <w:rsid w:val="004F7E75"/>
    <w:rsid w:val="0050071E"/>
    <w:rsid w:val="00500CA3"/>
    <w:rsid w:val="00500FE1"/>
    <w:rsid w:val="0050123B"/>
    <w:rsid w:val="00501472"/>
    <w:rsid w:val="005014FD"/>
    <w:rsid w:val="005019CF"/>
    <w:rsid w:val="00501B2A"/>
    <w:rsid w:val="00501B61"/>
    <w:rsid w:val="00501D0C"/>
    <w:rsid w:val="00501FFC"/>
    <w:rsid w:val="0050217B"/>
    <w:rsid w:val="005021EC"/>
    <w:rsid w:val="0050232B"/>
    <w:rsid w:val="00502CDF"/>
    <w:rsid w:val="00502F65"/>
    <w:rsid w:val="005035C6"/>
    <w:rsid w:val="00503677"/>
    <w:rsid w:val="00503C5B"/>
    <w:rsid w:val="00503E46"/>
    <w:rsid w:val="00503F66"/>
    <w:rsid w:val="005042C5"/>
    <w:rsid w:val="005044A8"/>
    <w:rsid w:val="005046EE"/>
    <w:rsid w:val="005049C4"/>
    <w:rsid w:val="005049F5"/>
    <w:rsid w:val="00505027"/>
    <w:rsid w:val="00505086"/>
    <w:rsid w:val="00505124"/>
    <w:rsid w:val="00505641"/>
    <w:rsid w:val="00506096"/>
    <w:rsid w:val="005062EA"/>
    <w:rsid w:val="0050633A"/>
    <w:rsid w:val="0050644D"/>
    <w:rsid w:val="005067ED"/>
    <w:rsid w:val="0050680D"/>
    <w:rsid w:val="00506878"/>
    <w:rsid w:val="005068F5"/>
    <w:rsid w:val="0050694B"/>
    <w:rsid w:val="00506D81"/>
    <w:rsid w:val="005070FC"/>
    <w:rsid w:val="005072E1"/>
    <w:rsid w:val="005073E6"/>
    <w:rsid w:val="00507419"/>
    <w:rsid w:val="00507ABE"/>
    <w:rsid w:val="00507B34"/>
    <w:rsid w:val="00507D2C"/>
    <w:rsid w:val="005104D8"/>
    <w:rsid w:val="0051096D"/>
    <w:rsid w:val="00510C8C"/>
    <w:rsid w:val="00510EF4"/>
    <w:rsid w:val="00511095"/>
    <w:rsid w:val="005112E5"/>
    <w:rsid w:val="005116F2"/>
    <w:rsid w:val="00511AD9"/>
    <w:rsid w:val="00511D3C"/>
    <w:rsid w:val="0051205F"/>
    <w:rsid w:val="005121C1"/>
    <w:rsid w:val="00512694"/>
    <w:rsid w:val="00513235"/>
    <w:rsid w:val="005139BC"/>
    <w:rsid w:val="00513B87"/>
    <w:rsid w:val="00513C4E"/>
    <w:rsid w:val="005142C9"/>
    <w:rsid w:val="0051452F"/>
    <w:rsid w:val="00514694"/>
    <w:rsid w:val="00514BDE"/>
    <w:rsid w:val="00515330"/>
    <w:rsid w:val="00515406"/>
    <w:rsid w:val="005158DD"/>
    <w:rsid w:val="00515930"/>
    <w:rsid w:val="00515D3B"/>
    <w:rsid w:val="00515DA1"/>
    <w:rsid w:val="00516041"/>
    <w:rsid w:val="00516182"/>
    <w:rsid w:val="00516396"/>
    <w:rsid w:val="005164DE"/>
    <w:rsid w:val="005176DB"/>
    <w:rsid w:val="00517CD1"/>
    <w:rsid w:val="00517D8C"/>
    <w:rsid w:val="00517E90"/>
    <w:rsid w:val="00520095"/>
    <w:rsid w:val="005200E2"/>
    <w:rsid w:val="005208D7"/>
    <w:rsid w:val="0052165C"/>
    <w:rsid w:val="00521FAD"/>
    <w:rsid w:val="0052247F"/>
    <w:rsid w:val="0052270C"/>
    <w:rsid w:val="00522A4C"/>
    <w:rsid w:val="00522C40"/>
    <w:rsid w:val="00523152"/>
    <w:rsid w:val="005231D1"/>
    <w:rsid w:val="005238A4"/>
    <w:rsid w:val="00523C5D"/>
    <w:rsid w:val="00523C68"/>
    <w:rsid w:val="00523C99"/>
    <w:rsid w:val="00524AEB"/>
    <w:rsid w:val="00524C71"/>
    <w:rsid w:val="00524E33"/>
    <w:rsid w:val="00524E7B"/>
    <w:rsid w:val="00525934"/>
    <w:rsid w:val="00525F1A"/>
    <w:rsid w:val="005262A5"/>
    <w:rsid w:val="005265C4"/>
    <w:rsid w:val="00526F13"/>
    <w:rsid w:val="00526F9A"/>
    <w:rsid w:val="0052731A"/>
    <w:rsid w:val="005276BA"/>
    <w:rsid w:val="00527860"/>
    <w:rsid w:val="005278E7"/>
    <w:rsid w:val="00527959"/>
    <w:rsid w:val="00527D00"/>
    <w:rsid w:val="00527E51"/>
    <w:rsid w:val="005303A4"/>
    <w:rsid w:val="00530D38"/>
    <w:rsid w:val="00530FDA"/>
    <w:rsid w:val="00531319"/>
    <w:rsid w:val="00531576"/>
    <w:rsid w:val="00531803"/>
    <w:rsid w:val="00531E78"/>
    <w:rsid w:val="00532034"/>
    <w:rsid w:val="0053290B"/>
    <w:rsid w:val="0053358A"/>
    <w:rsid w:val="005336CD"/>
    <w:rsid w:val="00533732"/>
    <w:rsid w:val="00533830"/>
    <w:rsid w:val="00533E16"/>
    <w:rsid w:val="00534200"/>
    <w:rsid w:val="0053448E"/>
    <w:rsid w:val="00534492"/>
    <w:rsid w:val="0053459C"/>
    <w:rsid w:val="005345E0"/>
    <w:rsid w:val="00534EF8"/>
    <w:rsid w:val="00534F13"/>
    <w:rsid w:val="00534FEE"/>
    <w:rsid w:val="00535065"/>
    <w:rsid w:val="005350B7"/>
    <w:rsid w:val="00535262"/>
    <w:rsid w:val="005354F8"/>
    <w:rsid w:val="0053589D"/>
    <w:rsid w:val="005358D5"/>
    <w:rsid w:val="00535B3F"/>
    <w:rsid w:val="0053625B"/>
    <w:rsid w:val="00536993"/>
    <w:rsid w:val="00536BE4"/>
    <w:rsid w:val="00536D4A"/>
    <w:rsid w:val="00536D8F"/>
    <w:rsid w:val="005370FC"/>
    <w:rsid w:val="005371E8"/>
    <w:rsid w:val="005379DE"/>
    <w:rsid w:val="00537E9D"/>
    <w:rsid w:val="0054004F"/>
    <w:rsid w:val="0054025E"/>
    <w:rsid w:val="00540C86"/>
    <w:rsid w:val="00541780"/>
    <w:rsid w:val="005417EB"/>
    <w:rsid w:val="0054185E"/>
    <w:rsid w:val="005420BF"/>
    <w:rsid w:val="00542174"/>
    <w:rsid w:val="00542244"/>
    <w:rsid w:val="00542570"/>
    <w:rsid w:val="00542C3E"/>
    <w:rsid w:val="00542CA4"/>
    <w:rsid w:val="00542E81"/>
    <w:rsid w:val="005431DA"/>
    <w:rsid w:val="005434C0"/>
    <w:rsid w:val="00543D7E"/>
    <w:rsid w:val="005440E8"/>
    <w:rsid w:val="00544311"/>
    <w:rsid w:val="0054439A"/>
    <w:rsid w:val="00544646"/>
    <w:rsid w:val="00544764"/>
    <w:rsid w:val="0054482E"/>
    <w:rsid w:val="005448DA"/>
    <w:rsid w:val="005449BC"/>
    <w:rsid w:val="005454FE"/>
    <w:rsid w:val="0054554A"/>
    <w:rsid w:val="00545629"/>
    <w:rsid w:val="00545673"/>
    <w:rsid w:val="0054574A"/>
    <w:rsid w:val="00545768"/>
    <w:rsid w:val="00545BAA"/>
    <w:rsid w:val="00545C12"/>
    <w:rsid w:val="005468A1"/>
    <w:rsid w:val="00546E32"/>
    <w:rsid w:val="00546F58"/>
    <w:rsid w:val="00547069"/>
    <w:rsid w:val="005475BB"/>
    <w:rsid w:val="0054778B"/>
    <w:rsid w:val="00547BFA"/>
    <w:rsid w:val="0055069F"/>
    <w:rsid w:val="005509BD"/>
    <w:rsid w:val="00550AB6"/>
    <w:rsid w:val="00550D8C"/>
    <w:rsid w:val="00550DFE"/>
    <w:rsid w:val="00551C6A"/>
    <w:rsid w:val="005524D4"/>
    <w:rsid w:val="00552DEC"/>
    <w:rsid w:val="00552E3D"/>
    <w:rsid w:val="00552F12"/>
    <w:rsid w:val="00552F6F"/>
    <w:rsid w:val="00553006"/>
    <w:rsid w:val="00553167"/>
    <w:rsid w:val="0055323C"/>
    <w:rsid w:val="00553518"/>
    <w:rsid w:val="0055357B"/>
    <w:rsid w:val="0055368A"/>
    <w:rsid w:val="005538C9"/>
    <w:rsid w:val="00553C17"/>
    <w:rsid w:val="005548C0"/>
    <w:rsid w:val="00554EF5"/>
    <w:rsid w:val="0055525A"/>
    <w:rsid w:val="00555630"/>
    <w:rsid w:val="00555DAC"/>
    <w:rsid w:val="00555EDF"/>
    <w:rsid w:val="00555F07"/>
    <w:rsid w:val="00556235"/>
    <w:rsid w:val="0055629E"/>
    <w:rsid w:val="00556319"/>
    <w:rsid w:val="00556472"/>
    <w:rsid w:val="00556C2A"/>
    <w:rsid w:val="00556D54"/>
    <w:rsid w:val="00557007"/>
    <w:rsid w:val="0055709F"/>
    <w:rsid w:val="005570A6"/>
    <w:rsid w:val="00557133"/>
    <w:rsid w:val="00557167"/>
    <w:rsid w:val="005572A7"/>
    <w:rsid w:val="005576B5"/>
    <w:rsid w:val="00557B92"/>
    <w:rsid w:val="005601D2"/>
    <w:rsid w:val="005602D3"/>
    <w:rsid w:val="00560575"/>
    <w:rsid w:val="005606A5"/>
    <w:rsid w:val="005609CB"/>
    <w:rsid w:val="00560D53"/>
    <w:rsid w:val="00560E52"/>
    <w:rsid w:val="00560F1C"/>
    <w:rsid w:val="00560F26"/>
    <w:rsid w:val="005613FD"/>
    <w:rsid w:val="0056151E"/>
    <w:rsid w:val="00561D7A"/>
    <w:rsid w:val="00561DBB"/>
    <w:rsid w:val="00561EA8"/>
    <w:rsid w:val="00561EF5"/>
    <w:rsid w:val="005620E2"/>
    <w:rsid w:val="0056225F"/>
    <w:rsid w:val="005625A4"/>
    <w:rsid w:val="00562D9A"/>
    <w:rsid w:val="00562F9F"/>
    <w:rsid w:val="00562FFA"/>
    <w:rsid w:val="00563043"/>
    <w:rsid w:val="005631A9"/>
    <w:rsid w:val="005632E8"/>
    <w:rsid w:val="00563335"/>
    <w:rsid w:val="00563502"/>
    <w:rsid w:val="005636B6"/>
    <w:rsid w:val="0056395B"/>
    <w:rsid w:val="00563D45"/>
    <w:rsid w:val="00564592"/>
    <w:rsid w:val="0056466E"/>
    <w:rsid w:val="005646B8"/>
    <w:rsid w:val="00565A05"/>
    <w:rsid w:val="00565EDD"/>
    <w:rsid w:val="00566331"/>
    <w:rsid w:val="00566715"/>
    <w:rsid w:val="00566EAD"/>
    <w:rsid w:val="0056748E"/>
    <w:rsid w:val="00567517"/>
    <w:rsid w:val="0056781D"/>
    <w:rsid w:val="00567821"/>
    <w:rsid w:val="00567A5A"/>
    <w:rsid w:val="00567AFD"/>
    <w:rsid w:val="00567B0A"/>
    <w:rsid w:val="00567C20"/>
    <w:rsid w:val="00567CC7"/>
    <w:rsid w:val="00567E1B"/>
    <w:rsid w:val="00570445"/>
    <w:rsid w:val="00570640"/>
    <w:rsid w:val="00571163"/>
    <w:rsid w:val="00571267"/>
    <w:rsid w:val="0057194A"/>
    <w:rsid w:val="00571C57"/>
    <w:rsid w:val="00571FDB"/>
    <w:rsid w:val="0057308F"/>
    <w:rsid w:val="00573549"/>
    <w:rsid w:val="005735DE"/>
    <w:rsid w:val="0057443A"/>
    <w:rsid w:val="005744F6"/>
    <w:rsid w:val="005745B8"/>
    <w:rsid w:val="00574605"/>
    <w:rsid w:val="00574ADC"/>
    <w:rsid w:val="00574BF8"/>
    <w:rsid w:val="00574FA2"/>
    <w:rsid w:val="005750AC"/>
    <w:rsid w:val="005754D8"/>
    <w:rsid w:val="00575CAE"/>
    <w:rsid w:val="00575EC9"/>
    <w:rsid w:val="00575EFE"/>
    <w:rsid w:val="00576C2E"/>
    <w:rsid w:val="00576C8F"/>
    <w:rsid w:val="00576D65"/>
    <w:rsid w:val="00576E4C"/>
    <w:rsid w:val="00577570"/>
    <w:rsid w:val="00577E24"/>
    <w:rsid w:val="0058046C"/>
    <w:rsid w:val="005804C2"/>
    <w:rsid w:val="005804D8"/>
    <w:rsid w:val="00580726"/>
    <w:rsid w:val="00581159"/>
    <w:rsid w:val="005811EC"/>
    <w:rsid w:val="005811F0"/>
    <w:rsid w:val="005814B7"/>
    <w:rsid w:val="00581514"/>
    <w:rsid w:val="005819DD"/>
    <w:rsid w:val="00581A83"/>
    <w:rsid w:val="00581B24"/>
    <w:rsid w:val="00581D41"/>
    <w:rsid w:val="00581FCA"/>
    <w:rsid w:val="00582613"/>
    <w:rsid w:val="0058272D"/>
    <w:rsid w:val="0058290E"/>
    <w:rsid w:val="0058294C"/>
    <w:rsid w:val="00582D49"/>
    <w:rsid w:val="00582FD0"/>
    <w:rsid w:val="005832DE"/>
    <w:rsid w:val="005833DB"/>
    <w:rsid w:val="005834AA"/>
    <w:rsid w:val="00583829"/>
    <w:rsid w:val="00583965"/>
    <w:rsid w:val="00583DE0"/>
    <w:rsid w:val="00584196"/>
    <w:rsid w:val="00584479"/>
    <w:rsid w:val="00584679"/>
    <w:rsid w:val="00584736"/>
    <w:rsid w:val="0058480B"/>
    <w:rsid w:val="00584A3A"/>
    <w:rsid w:val="0058589D"/>
    <w:rsid w:val="0058608A"/>
    <w:rsid w:val="0058637B"/>
    <w:rsid w:val="0058640F"/>
    <w:rsid w:val="00586E4A"/>
    <w:rsid w:val="0058726E"/>
    <w:rsid w:val="0058782A"/>
    <w:rsid w:val="00587888"/>
    <w:rsid w:val="005901D1"/>
    <w:rsid w:val="00590299"/>
    <w:rsid w:val="00590688"/>
    <w:rsid w:val="00590933"/>
    <w:rsid w:val="00590AFB"/>
    <w:rsid w:val="00590FE7"/>
    <w:rsid w:val="00591206"/>
    <w:rsid w:val="005913CD"/>
    <w:rsid w:val="005917CB"/>
    <w:rsid w:val="0059199C"/>
    <w:rsid w:val="00591A6D"/>
    <w:rsid w:val="00591C4E"/>
    <w:rsid w:val="00591DEF"/>
    <w:rsid w:val="0059219E"/>
    <w:rsid w:val="005923C0"/>
    <w:rsid w:val="005929F3"/>
    <w:rsid w:val="00592D90"/>
    <w:rsid w:val="00592FEF"/>
    <w:rsid w:val="0059316B"/>
    <w:rsid w:val="0059328B"/>
    <w:rsid w:val="005932AF"/>
    <w:rsid w:val="00593423"/>
    <w:rsid w:val="0059346C"/>
    <w:rsid w:val="0059381D"/>
    <w:rsid w:val="00594A22"/>
    <w:rsid w:val="00594BC6"/>
    <w:rsid w:val="00594CF6"/>
    <w:rsid w:val="00594E1B"/>
    <w:rsid w:val="00594F35"/>
    <w:rsid w:val="00595003"/>
    <w:rsid w:val="005953B5"/>
    <w:rsid w:val="00595451"/>
    <w:rsid w:val="0059576F"/>
    <w:rsid w:val="00595CD5"/>
    <w:rsid w:val="00596058"/>
    <w:rsid w:val="0059665E"/>
    <w:rsid w:val="00596ADE"/>
    <w:rsid w:val="00596B81"/>
    <w:rsid w:val="005972B0"/>
    <w:rsid w:val="0059751A"/>
    <w:rsid w:val="00597DFA"/>
    <w:rsid w:val="005A0180"/>
    <w:rsid w:val="005A0630"/>
    <w:rsid w:val="005A064F"/>
    <w:rsid w:val="005A1056"/>
    <w:rsid w:val="005A10F3"/>
    <w:rsid w:val="005A1230"/>
    <w:rsid w:val="005A125C"/>
    <w:rsid w:val="005A1464"/>
    <w:rsid w:val="005A158B"/>
    <w:rsid w:val="005A1874"/>
    <w:rsid w:val="005A20E0"/>
    <w:rsid w:val="005A23F5"/>
    <w:rsid w:val="005A2494"/>
    <w:rsid w:val="005A2610"/>
    <w:rsid w:val="005A2B76"/>
    <w:rsid w:val="005A2E15"/>
    <w:rsid w:val="005A30B5"/>
    <w:rsid w:val="005A30D7"/>
    <w:rsid w:val="005A35FF"/>
    <w:rsid w:val="005A3858"/>
    <w:rsid w:val="005A3D7A"/>
    <w:rsid w:val="005A4149"/>
    <w:rsid w:val="005A41F5"/>
    <w:rsid w:val="005A43C3"/>
    <w:rsid w:val="005A47CC"/>
    <w:rsid w:val="005A49E1"/>
    <w:rsid w:val="005A4CA3"/>
    <w:rsid w:val="005A4E83"/>
    <w:rsid w:val="005A5594"/>
    <w:rsid w:val="005A5831"/>
    <w:rsid w:val="005A5EC8"/>
    <w:rsid w:val="005A5FD1"/>
    <w:rsid w:val="005A61AD"/>
    <w:rsid w:val="005A6353"/>
    <w:rsid w:val="005A6E04"/>
    <w:rsid w:val="005A72AE"/>
    <w:rsid w:val="005A77EA"/>
    <w:rsid w:val="005A7C4D"/>
    <w:rsid w:val="005A7F8F"/>
    <w:rsid w:val="005B0162"/>
    <w:rsid w:val="005B07E0"/>
    <w:rsid w:val="005B0CA0"/>
    <w:rsid w:val="005B154C"/>
    <w:rsid w:val="005B164F"/>
    <w:rsid w:val="005B20D8"/>
    <w:rsid w:val="005B265B"/>
    <w:rsid w:val="005B298D"/>
    <w:rsid w:val="005B2A33"/>
    <w:rsid w:val="005B3045"/>
    <w:rsid w:val="005B3496"/>
    <w:rsid w:val="005B35CA"/>
    <w:rsid w:val="005B3646"/>
    <w:rsid w:val="005B3957"/>
    <w:rsid w:val="005B3B55"/>
    <w:rsid w:val="005B3CFD"/>
    <w:rsid w:val="005B3FD3"/>
    <w:rsid w:val="005B43AD"/>
    <w:rsid w:val="005B4507"/>
    <w:rsid w:val="005B475B"/>
    <w:rsid w:val="005B4B03"/>
    <w:rsid w:val="005B5346"/>
    <w:rsid w:val="005B55AE"/>
    <w:rsid w:val="005B591C"/>
    <w:rsid w:val="005B6169"/>
    <w:rsid w:val="005B6270"/>
    <w:rsid w:val="005B6522"/>
    <w:rsid w:val="005B673A"/>
    <w:rsid w:val="005B6D04"/>
    <w:rsid w:val="005B6E98"/>
    <w:rsid w:val="005B736E"/>
    <w:rsid w:val="005B7AA4"/>
    <w:rsid w:val="005B7C71"/>
    <w:rsid w:val="005C0053"/>
    <w:rsid w:val="005C03B3"/>
    <w:rsid w:val="005C0874"/>
    <w:rsid w:val="005C0949"/>
    <w:rsid w:val="005C099D"/>
    <w:rsid w:val="005C0C30"/>
    <w:rsid w:val="005C0D82"/>
    <w:rsid w:val="005C1426"/>
    <w:rsid w:val="005C19AE"/>
    <w:rsid w:val="005C20A8"/>
    <w:rsid w:val="005C222E"/>
    <w:rsid w:val="005C22D5"/>
    <w:rsid w:val="005C25AA"/>
    <w:rsid w:val="005C2FB0"/>
    <w:rsid w:val="005C3289"/>
    <w:rsid w:val="005C3E17"/>
    <w:rsid w:val="005C4074"/>
    <w:rsid w:val="005C40F3"/>
    <w:rsid w:val="005C4181"/>
    <w:rsid w:val="005C4455"/>
    <w:rsid w:val="005C44A6"/>
    <w:rsid w:val="005C4640"/>
    <w:rsid w:val="005C4ED5"/>
    <w:rsid w:val="005C512F"/>
    <w:rsid w:val="005C5316"/>
    <w:rsid w:val="005C5428"/>
    <w:rsid w:val="005C5685"/>
    <w:rsid w:val="005C5790"/>
    <w:rsid w:val="005C5842"/>
    <w:rsid w:val="005C7032"/>
    <w:rsid w:val="005C7342"/>
    <w:rsid w:val="005C7403"/>
    <w:rsid w:val="005C7913"/>
    <w:rsid w:val="005C7FEF"/>
    <w:rsid w:val="005D00A2"/>
    <w:rsid w:val="005D0247"/>
    <w:rsid w:val="005D0795"/>
    <w:rsid w:val="005D08D2"/>
    <w:rsid w:val="005D0A84"/>
    <w:rsid w:val="005D0B1E"/>
    <w:rsid w:val="005D0C22"/>
    <w:rsid w:val="005D1437"/>
    <w:rsid w:val="005D145A"/>
    <w:rsid w:val="005D191A"/>
    <w:rsid w:val="005D1DC2"/>
    <w:rsid w:val="005D1DF1"/>
    <w:rsid w:val="005D1E74"/>
    <w:rsid w:val="005D2375"/>
    <w:rsid w:val="005D29DE"/>
    <w:rsid w:val="005D2B8A"/>
    <w:rsid w:val="005D3738"/>
    <w:rsid w:val="005D39D8"/>
    <w:rsid w:val="005D3F74"/>
    <w:rsid w:val="005D4209"/>
    <w:rsid w:val="005D423D"/>
    <w:rsid w:val="005D42C9"/>
    <w:rsid w:val="005D4640"/>
    <w:rsid w:val="005D475E"/>
    <w:rsid w:val="005D4C0A"/>
    <w:rsid w:val="005D511D"/>
    <w:rsid w:val="005D5812"/>
    <w:rsid w:val="005D5830"/>
    <w:rsid w:val="005D5AB7"/>
    <w:rsid w:val="005D5B22"/>
    <w:rsid w:val="005D5C54"/>
    <w:rsid w:val="005D5DED"/>
    <w:rsid w:val="005D5E96"/>
    <w:rsid w:val="005D5E9E"/>
    <w:rsid w:val="005D65DC"/>
    <w:rsid w:val="005D6696"/>
    <w:rsid w:val="005D7636"/>
    <w:rsid w:val="005D772D"/>
    <w:rsid w:val="005D7835"/>
    <w:rsid w:val="005D7C36"/>
    <w:rsid w:val="005D7E75"/>
    <w:rsid w:val="005D7E9B"/>
    <w:rsid w:val="005E070F"/>
    <w:rsid w:val="005E07E6"/>
    <w:rsid w:val="005E094B"/>
    <w:rsid w:val="005E0A21"/>
    <w:rsid w:val="005E0F57"/>
    <w:rsid w:val="005E13BE"/>
    <w:rsid w:val="005E198E"/>
    <w:rsid w:val="005E1DA2"/>
    <w:rsid w:val="005E1F09"/>
    <w:rsid w:val="005E1F83"/>
    <w:rsid w:val="005E20FE"/>
    <w:rsid w:val="005E2C0A"/>
    <w:rsid w:val="005E2C47"/>
    <w:rsid w:val="005E38DA"/>
    <w:rsid w:val="005E3C35"/>
    <w:rsid w:val="005E3CC8"/>
    <w:rsid w:val="005E3CEE"/>
    <w:rsid w:val="005E3F0C"/>
    <w:rsid w:val="005E4190"/>
    <w:rsid w:val="005E48E4"/>
    <w:rsid w:val="005E5A62"/>
    <w:rsid w:val="005E5FCF"/>
    <w:rsid w:val="005E60E7"/>
    <w:rsid w:val="005E6D71"/>
    <w:rsid w:val="005E74B6"/>
    <w:rsid w:val="005E75DD"/>
    <w:rsid w:val="005E7691"/>
    <w:rsid w:val="005E78A5"/>
    <w:rsid w:val="005E79C8"/>
    <w:rsid w:val="005E7A41"/>
    <w:rsid w:val="005F0269"/>
    <w:rsid w:val="005F08C3"/>
    <w:rsid w:val="005F0A12"/>
    <w:rsid w:val="005F0B83"/>
    <w:rsid w:val="005F1001"/>
    <w:rsid w:val="005F14D4"/>
    <w:rsid w:val="005F1676"/>
    <w:rsid w:val="005F184B"/>
    <w:rsid w:val="005F21E7"/>
    <w:rsid w:val="005F2368"/>
    <w:rsid w:val="005F24BF"/>
    <w:rsid w:val="005F2672"/>
    <w:rsid w:val="005F26F8"/>
    <w:rsid w:val="005F2A85"/>
    <w:rsid w:val="005F2B37"/>
    <w:rsid w:val="005F2C64"/>
    <w:rsid w:val="005F3012"/>
    <w:rsid w:val="005F342C"/>
    <w:rsid w:val="005F35E7"/>
    <w:rsid w:val="005F39B3"/>
    <w:rsid w:val="005F3A65"/>
    <w:rsid w:val="005F4029"/>
    <w:rsid w:val="005F4198"/>
    <w:rsid w:val="005F41DA"/>
    <w:rsid w:val="005F48FA"/>
    <w:rsid w:val="005F4A40"/>
    <w:rsid w:val="005F4AE6"/>
    <w:rsid w:val="005F4CC5"/>
    <w:rsid w:val="005F53FF"/>
    <w:rsid w:val="005F543E"/>
    <w:rsid w:val="005F549C"/>
    <w:rsid w:val="005F5963"/>
    <w:rsid w:val="005F5C5D"/>
    <w:rsid w:val="005F603D"/>
    <w:rsid w:val="005F624D"/>
    <w:rsid w:val="005F65DD"/>
    <w:rsid w:val="005F6753"/>
    <w:rsid w:val="005F6999"/>
    <w:rsid w:val="005F6AE2"/>
    <w:rsid w:val="005F6C75"/>
    <w:rsid w:val="005F715D"/>
    <w:rsid w:val="005F71F6"/>
    <w:rsid w:val="005F77C1"/>
    <w:rsid w:val="005F7A6D"/>
    <w:rsid w:val="0060006A"/>
    <w:rsid w:val="006000EE"/>
    <w:rsid w:val="0060025E"/>
    <w:rsid w:val="006002D6"/>
    <w:rsid w:val="00600F8C"/>
    <w:rsid w:val="00601092"/>
    <w:rsid w:val="006013CB"/>
    <w:rsid w:val="006016EB"/>
    <w:rsid w:val="0060198D"/>
    <w:rsid w:val="00601B38"/>
    <w:rsid w:val="006022EE"/>
    <w:rsid w:val="006027C2"/>
    <w:rsid w:val="0060297F"/>
    <w:rsid w:val="00602AA9"/>
    <w:rsid w:val="00603EF9"/>
    <w:rsid w:val="00604026"/>
    <w:rsid w:val="006040D2"/>
    <w:rsid w:val="006041B0"/>
    <w:rsid w:val="006048CF"/>
    <w:rsid w:val="0060499C"/>
    <w:rsid w:val="00604A86"/>
    <w:rsid w:val="00604AA8"/>
    <w:rsid w:val="00605330"/>
    <w:rsid w:val="00605A2E"/>
    <w:rsid w:val="00605ECD"/>
    <w:rsid w:val="00606438"/>
    <w:rsid w:val="00606927"/>
    <w:rsid w:val="00606ADE"/>
    <w:rsid w:val="00606B23"/>
    <w:rsid w:val="00607623"/>
    <w:rsid w:val="00607808"/>
    <w:rsid w:val="00607821"/>
    <w:rsid w:val="00607947"/>
    <w:rsid w:val="00607D01"/>
    <w:rsid w:val="00610286"/>
    <w:rsid w:val="00610D9C"/>
    <w:rsid w:val="00610F82"/>
    <w:rsid w:val="00611235"/>
    <w:rsid w:val="0061169D"/>
    <w:rsid w:val="00611A48"/>
    <w:rsid w:val="00611F8B"/>
    <w:rsid w:val="00612283"/>
    <w:rsid w:val="0061228B"/>
    <w:rsid w:val="0061234A"/>
    <w:rsid w:val="0061237F"/>
    <w:rsid w:val="006123B4"/>
    <w:rsid w:val="00612760"/>
    <w:rsid w:val="0061282A"/>
    <w:rsid w:val="00612F50"/>
    <w:rsid w:val="00613152"/>
    <w:rsid w:val="006134AF"/>
    <w:rsid w:val="00613CDB"/>
    <w:rsid w:val="006145F1"/>
    <w:rsid w:val="0061485E"/>
    <w:rsid w:val="00614B96"/>
    <w:rsid w:val="006151D6"/>
    <w:rsid w:val="006156BA"/>
    <w:rsid w:val="00615C8C"/>
    <w:rsid w:val="00615CBB"/>
    <w:rsid w:val="00616545"/>
    <w:rsid w:val="00616A37"/>
    <w:rsid w:val="00616E9B"/>
    <w:rsid w:val="00617212"/>
    <w:rsid w:val="006172B1"/>
    <w:rsid w:val="00617399"/>
    <w:rsid w:val="00617798"/>
    <w:rsid w:val="00617EA4"/>
    <w:rsid w:val="00620316"/>
    <w:rsid w:val="00620518"/>
    <w:rsid w:val="0062052F"/>
    <w:rsid w:val="006209E9"/>
    <w:rsid w:val="00620AF2"/>
    <w:rsid w:val="00620E19"/>
    <w:rsid w:val="00620E6E"/>
    <w:rsid w:val="00620FF3"/>
    <w:rsid w:val="00621047"/>
    <w:rsid w:val="00621094"/>
    <w:rsid w:val="00621262"/>
    <w:rsid w:val="00621472"/>
    <w:rsid w:val="006214A4"/>
    <w:rsid w:val="00621761"/>
    <w:rsid w:val="006217EA"/>
    <w:rsid w:val="00621855"/>
    <w:rsid w:val="006221DA"/>
    <w:rsid w:val="006225D8"/>
    <w:rsid w:val="00622770"/>
    <w:rsid w:val="00622CAC"/>
    <w:rsid w:val="00622CDA"/>
    <w:rsid w:val="00622CE3"/>
    <w:rsid w:val="006231F1"/>
    <w:rsid w:val="006233F7"/>
    <w:rsid w:val="00623BBC"/>
    <w:rsid w:val="00623E28"/>
    <w:rsid w:val="0062408A"/>
    <w:rsid w:val="006240C6"/>
    <w:rsid w:val="00624302"/>
    <w:rsid w:val="0062448A"/>
    <w:rsid w:val="0062461F"/>
    <w:rsid w:val="0062465B"/>
    <w:rsid w:val="00624776"/>
    <w:rsid w:val="006247CD"/>
    <w:rsid w:val="00624871"/>
    <w:rsid w:val="00624F89"/>
    <w:rsid w:val="00625B4D"/>
    <w:rsid w:val="00625D6C"/>
    <w:rsid w:val="00625FF5"/>
    <w:rsid w:val="0062620B"/>
    <w:rsid w:val="00626478"/>
    <w:rsid w:val="006267D5"/>
    <w:rsid w:val="006276EB"/>
    <w:rsid w:val="00627723"/>
    <w:rsid w:val="006279BA"/>
    <w:rsid w:val="00627B1D"/>
    <w:rsid w:val="006305A8"/>
    <w:rsid w:val="00630828"/>
    <w:rsid w:val="00630910"/>
    <w:rsid w:val="00630937"/>
    <w:rsid w:val="00630A98"/>
    <w:rsid w:val="006311E3"/>
    <w:rsid w:val="006313BF"/>
    <w:rsid w:val="00631635"/>
    <w:rsid w:val="006317FF"/>
    <w:rsid w:val="00631D7C"/>
    <w:rsid w:val="00632205"/>
    <w:rsid w:val="006328D5"/>
    <w:rsid w:val="00633145"/>
    <w:rsid w:val="006335D5"/>
    <w:rsid w:val="00633AF5"/>
    <w:rsid w:val="00633B81"/>
    <w:rsid w:val="00633CA5"/>
    <w:rsid w:val="006343AB"/>
    <w:rsid w:val="006343CE"/>
    <w:rsid w:val="00634539"/>
    <w:rsid w:val="00634807"/>
    <w:rsid w:val="00634F1E"/>
    <w:rsid w:val="00635EEE"/>
    <w:rsid w:val="00636606"/>
    <w:rsid w:val="00636957"/>
    <w:rsid w:val="006369DE"/>
    <w:rsid w:val="00636ACB"/>
    <w:rsid w:val="00636CBE"/>
    <w:rsid w:val="00636CE6"/>
    <w:rsid w:val="00636F7C"/>
    <w:rsid w:val="00636FF4"/>
    <w:rsid w:val="00637704"/>
    <w:rsid w:val="0063777D"/>
    <w:rsid w:val="00637886"/>
    <w:rsid w:val="006378AE"/>
    <w:rsid w:val="00637A18"/>
    <w:rsid w:val="00637A2A"/>
    <w:rsid w:val="00637ACC"/>
    <w:rsid w:val="00637FA7"/>
    <w:rsid w:val="006400F7"/>
    <w:rsid w:val="006406F9"/>
    <w:rsid w:val="006408EE"/>
    <w:rsid w:val="0064098D"/>
    <w:rsid w:val="00640C27"/>
    <w:rsid w:val="00640D24"/>
    <w:rsid w:val="00640EF1"/>
    <w:rsid w:val="006412F2"/>
    <w:rsid w:val="0064162F"/>
    <w:rsid w:val="006416EA"/>
    <w:rsid w:val="00641A7B"/>
    <w:rsid w:val="00641BEC"/>
    <w:rsid w:val="00641D34"/>
    <w:rsid w:val="00641F14"/>
    <w:rsid w:val="006424E8"/>
    <w:rsid w:val="0064262C"/>
    <w:rsid w:val="00642641"/>
    <w:rsid w:val="006429E1"/>
    <w:rsid w:val="00642AFB"/>
    <w:rsid w:val="006432BE"/>
    <w:rsid w:val="00643301"/>
    <w:rsid w:val="006439C7"/>
    <w:rsid w:val="00643C37"/>
    <w:rsid w:val="00643DB4"/>
    <w:rsid w:val="00643F0E"/>
    <w:rsid w:val="00644099"/>
    <w:rsid w:val="0064449D"/>
    <w:rsid w:val="0064476C"/>
    <w:rsid w:val="0064486F"/>
    <w:rsid w:val="00644A81"/>
    <w:rsid w:val="00644B62"/>
    <w:rsid w:val="00644F2D"/>
    <w:rsid w:val="00645479"/>
    <w:rsid w:val="006458F9"/>
    <w:rsid w:val="00645D51"/>
    <w:rsid w:val="00645E86"/>
    <w:rsid w:val="00645F44"/>
    <w:rsid w:val="0064602B"/>
    <w:rsid w:val="00646110"/>
    <w:rsid w:val="006463B9"/>
    <w:rsid w:val="006464EF"/>
    <w:rsid w:val="00646731"/>
    <w:rsid w:val="00646ED9"/>
    <w:rsid w:val="00646F34"/>
    <w:rsid w:val="0064724E"/>
    <w:rsid w:val="006473EB"/>
    <w:rsid w:val="00647A0E"/>
    <w:rsid w:val="00647B95"/>
    <w:rsid w:val="00647D38"/>
    <w:rsid w:val="00647E3C"/>
    <w:rsid w:val="00647EB8"/>
    <w:rsid w:val="00647F16"/>
    <w:rsid w:val="006506EA"/>
    <w:rsid w:val="00650BDA"/>
    <w:rsid w:val="00650DE8"/>
    <w:rsid w:val="00651618"/>
    <w:rsid w:val="006516C3"/>
    <w:rsid w:val="0065175E"/>
    <w:rsid w:val="006518EE"/>
    <w:rsid w:val="00651CEE"/>
    <w:rsid w:val="006520BA"/>
    <w:rsid w:val="00652566"/>
    <w:rsid w:val="00652E9C"/>
    <w:rsid w:val="00653023"/>
    <w:rsid w:val="00653E00"/>
    <w:rsid w:val="00653FA8"/>
    <w:rsid w:val="0065424F"/>
    <w:rsid w:val="00654AAE"/>
    <w:rsid w:val="00654B30"/>
    <w:rsid w:val="00654C78"/>
    <w:rsid w:val="0065532A"/>
    <w:rsid w:val="006553AD"/>
    <w:rsid w:val="006553E2"/>
    <w:rsid w:val="00655499"/>
    <w:rsid w:val="006557C2"/>
    <w:rsid w:val="00655961"/>
    <w:rsid w:val="00655C2E"/>
    <w:rsid w:val="00655CC9"/>
    <w:rsid w:val="00655D0C"/>
    <w:rsid w:val="006563F3"/>
    <w:rsid w:val="00656561"/>
    <w:rsid w:val="006566C4"/>
    <w:rsid w:val="00656C5F"/>
    <w:rsid w:val="00657039"/>
    <w:rsid w:val="00657449"/>
    <w:rsid w:val="006577F8"/>
    <w:rsid w:val="0065798E"/>
    <w:rsid w:val="00657B36"/>
    <w:rsid w:val="00657DB6"/>
    <w:rsid w:val="00660454"/>
    <w:rsid w:val="00660727"/>
    <w:rsid w:val="006608CF"/>
    <w:rsid w:val="00660AF9"/>
    <w:rsid w:val="00661261"/>
    <w:rsid w:val="00661538"/>
    <w:rsid w:val="00661579"/>
    <w:rsid w:val="0066168F"/>
    <w:rsid w:val="006619FD"/>
    <w:rsid w:val="00661D1C"/>
    <w:rsid w:val="00661D7D"/>
    <w:rsid w:val="00661DE7"/>
    <w:rsid w:val="00661E80"/>
    <w:rsid w:val="0066214B"/>
    <w:rsid w:val="0066227F"/>
    <w:rsid w:val="006626E4"/>
    <w:rsid w:val="00662A3B"/>
    <w:rsid w:val="00662A53"/>
    <w:rsid w:val="00662BB8"/>
    <w:rsid w:val="00662F0C"/>
    <w:rsid w:val="00663116"/>
    <w:rsid w:val="00663477"/>
    <w:rsid w:val="0066478A"/>
    <w:rsid w:val="006648A9"/>
    <w:rsid w:val="00664943"/>
    <w:rsid w:val="00664948"/>
    <w:rsid w:val="00664A0C"/>
    <w:rsid w:val="00664FD1"/>
    <w:rsid w:val="006650A6"/>
    <w:rsid w:val="00665179"/>
    <w:rsid w:val="006653F4"/>
    <w:rsid w:val="006657A0"/>
    <w:rsid w:val="00665AD0"/>
    <w:rsid w:val="00665C2A"/>
    <w:rsid w:val="00666276"/>
    <w:rsid w:val="00666286"/>
    <w:rsid w:val="00666777"/>
    <w:rsid w:val="00666E9C"/>
    <w:rsid w:val="00666F9E"/>
    <w:rsid w:val="00667172"/>
    <w:rsid w:val="00667482"/>
    <w:rsid w:val="006677FE"/>
    <w:rsid w:val="00667D23"/>
    <w:rsid w:val="0067002D"/>
    <w:rsid w:val="006705BD"/>
    <w:rsid w:val="00671824"/>
    <w:rsid w:val="006718C7"/>
    <w:rsid w:val="00671A4F"/>
    <w:rsid w:val="00672186"/>
    <w:rsid w:val="006722B0"/>
    <w:rsid w:val="00672447"/>
    <w:rsid w:val="00672A82"/>
    <w:rsid w:val="00672D16"/>
    <w:rsid w:val="00673001"/>
    <w:rsid w:val="006732C6"/>
    <w:rsid w:val="006734CD"/>
    <w:rsid w:val="00673A7E"/>
    <w:rsid w:val="00673CA8"/>
    <w:rsid w:val="0067412B"/>
    <w:rsid w:val="006743F5"/>
    <w:rsid w:val="006744CC"/>
    <w:rsid w:val="00674C10"/>
    <w:rsid w:val="006752AD"/>
    <w:rsid w:val="006755E5"/>
    <w:rsid w:val="0067565F"/>
    <w:rsid w:val="00675F14"/>
    <w:rsid w:val="006760BC"/>
    <w:rsid w:val="0067618A"/>
    <w:rsid w:val="0067660A"/>
    <w:rsid w:val="00676774"/>
    <w:rsid w:val="00676860"/>
    <w:rsid w:val="00676B3F"/>
    <w:rsid w:val="006773AA"/>
    <w:rsid w:val="006773E1"/>
    <w:rsid w:val="0067745C"/>
    <w:rsid w:val="0067766E"/>
    <w:rsid w:val="00677E78"/>
    <w:rsid w:val="00680017"/>
    <w:rsid w:val="0068028A"/>
    <w:rsid w:val="00680E44"/>
    <w:rsid w:val="00680EE9"/>
    <w:rsid w:val="006815D3"/>
    <w:rsid w:val="00681E2D"/>
    <w:rsid w:val="00681EB5"/>
    <w:rsid w:val="00682631"/>
    <w:rsid w:val="006830F3"/>
    <w:rsid w:val="00683359"/>
    <w:rsid w:val="0068350A"/>
    <w:rsid w:val="00683B6E"/>
    <w:rsid w:val="00683B9C"/>
    <w:rsid w:val="00683CE2"/>
    <w:rsid w:val="00684137"/>
    <w:rsid w:val="00684320"/>
    <w:rsid w:val="006844BB"/>
    <w:rsid w:val="0068461F"/>
    <w:rsid w:val="0068474C"/>
    <w:rsid w:val="006848E1"/>
    <w:rsid w:val="00684EF5"/>
    <w:rsid w:val="00685A44"/>
    <w:rsid w:val="00685D4F"/>
    <w:rsid w:val="00686302"/>
    <w:rsid w:val="006863C5"/>
    <w:rsid w:val="00687106"/>
    <w:rsid w:val="0068719A"/>
    <w:rsid w:val="0068735D"/>
    <w:rsid w:val="006873F6"/>
    <w:rsid w:val="006876E2"/>
    <w:rsid w:val="00687C72"/>
    <w:rsid w:val="0069040E"/>
    <w:rsid w:val="0069066E"/>
    <w:rsid w:val="006907D5"/>
    <w:rsid w:val="00690FEE"/>
    <w:rsid w:val="0069111F"/>
    <w:rsid w:val="006914F3"/>
    <w:rsid w:val="006918F1"/>
    <w:rsid w:val="0069265B"/>
    <w:rsid w:val="00692C39"/>
    <w:rsid w:val="00693109"/>
    <w:rsid w:val="00693786"/>
    <w:rsid w:val="006937BC"/>
    <w:rsid w:val="00693CA3"/>
    <w:rsid w:val="00693EB9"/>
    <w:rsid w:val="00693FCA"/>
    <w:rsid w:val="0069531E"/>
    <w:rsid w:val="006956E1"/>
    <w:rsid w:val="00695731"/>
    <w:rsid w:val="00695928"/>
    <w:rsid w:val="00695BAF"/>
    <w:rsid w:val="00695BF5"/>
    <w:rsid w:val="00695CB0"/>
    <w:rsid w:val="00695DDE"/>
    <w:rsid w:val="00695EE2"/>
    <w:rsid w:val="00695FAA"/>
    <w:rsid w:val="00696316"/>
    <w:rsid w:val="0069631A"/>
    <w:rsid w:val="00696330"/>
    <w:rsid w:val="006963D0"/>
    <w:rsid w:val="0069656A"/>
    <w:rsid w:val="00696594"/>
    <w:rsid w:val="00696C06"/>
    <w:rsid w:val="0069723C"/>
    <w:rsid w:val="006972D3"/>
    <w:rsid w:val="0069761E"/>
    <w:rsid w:val="00697AEE"/>
    <w:rsid w:val="00697D1A"/>
    <w:rsid w:val="00697D5F"/>
    <w:rsid w:val="00697F8E"/>
    <w:rsid w:val="006A03A4"/>
    <w:rsid w:val="006A03A9"/>
    <w:rsid w:val="006A048D"/>
    <w:rsid w:val="006A05C4"/>
    <w:rsid w:val="006A064A"/>
    <w:rsid w:val="006A0875"/>
    <w:rsid w:val="006A13EB"/>
    <w:rsid w:val="006A169D"/>
    <w:rsid w:val="006A169E"/>
    <w:rsid w:val="006A181F"/>
    <w:rsid w:val="006A1828"/>
    <w:rsid w:val="006A1A69"/>
    <w:rsid w:val="006A1DD2"/>
    <w:rsid w:val="006A1FF0"/>
    <w:rsid w:val="006A2200"/>
    <w:rsid w:val="006A2612"/>
    <w:rsid w:val="006A28F3"/>
    <w:rsid w:val="006A2D78"/>
    <w:rsid w:val="006A3919"/>
    <w:rsid w:val="006A433F"/>
    <w:rsid w:val="006A4611"/>
    <w:rsid w:val="006A491E"/>
    <w:rsid w:val="006A4F19"/>
    <w:rsid w:val="006A5313"/>
    <w:rsid w:val="006A55B2"/>
    <w:rsid w:val="006A5814"/>
    <w:rsid w:val="006A5D71"/>
    <w:rsid w:val="006A5D85"/>
    <w:rsid w:val="006A5D94"/>
    <w:rsid w:val="006A5F72"/>
    <w:rsid w:val="006A61BE"/>
    <w:rsid w:val="006A6907"/>
    <w:rsid w:val="006A6B9A"/>
    <w:rsid w:val="006A6D61"/>
    <w:rsid w:val="006A6FE4"/>
    <w:rsid w:val="006A717D"/>
    <w:rsid w:val="006A788D"/>
    <w:rsid w:val="006A7BD7"/>
    <w:rsid w:val="006A7EE7"/>
    <w:rsid w:val="006B0074"/>
    <w:rsid w:val="006B0450"/>
    <w:rsid w:val="006B0A4F"/>
    <w:rsid w:val="006B0D16"/>
    <w:rsid w:val="006B0DFF"/>
    <w:rsid w:val="006B13EB"/>
    <w:rsid w:val="006B1915"/>
    <w:rsid w:val="006B20D9"/>
    <w:rsid w:val="006B262D"/>
    <w:rsid w:val="006B2735"/>
    <w:rsid w:val="006B27C9"/>
    <w:rsid w:val="006B2D6C"/>
    <w:rsid w:val="006B2FAD"/>
    <w:rsid w:val="006B37A0"/>
    <w:rsid w:val="006B3AEA"/>
    <w:rsid w:val="006B3C28"/>
    <w:rsid w:val="006B3FC9"/>
    <w:rsid w:val="006B40C1"/>
    <w:rsid w:val="006B4155"/>
    <w:rsid w:val="006B469C"/>
    <w:rsid w:val="006B476E"/>
    <w:rsid w:val="006B519B"/>
    <w:rsid w:val="006B52E7"/>
    <w:rsid w:val="006B5611"/>
    <w:rsid w:val="006B590A"/>
    <w:rsid w:val="006B5ECD"/>
    <w:rsid w:val="006B696D"/>
    <w:rsid w:val="006B6B82"/>
    <w:rsid w:val="006B6BC7"/>
    <w:rsid w:val="006B7AAE"/>
    <w:rsid w:val="006B7C8A"/>
    <w:rsid w:val="006C0016"/>
    <w:rsid w:val="006C0024"/>
    <w:rsid w:val="006C002A"/>
    <w:rsid w:val="006C0851"/>
    <w:rsid w:val="006C0BD6"/>
    <w:rsid w:val="006C0DE1"/>
    <w:rsid w:val="006C135F"/>
    <w:rsid w:val="006C148F"/>
    <w:rsid w:val="006C210B"/>
    <w:rsid w:val="006C2265"/>
    <w:rsid w:val="006C26E1"/>
    <w:rsid w:val="006C2A5F"/>
    <w:rsid w:val="006C32CB"/>
    <w:rsid w:val="006C32CD"/>
    <w:rsid w:val="006C3878"/>
    <w:rsid w:val="006C3890"/>
    <w:rsid w:val="006C3D19"/>
    <w:rsid w:val="006C4623"/>
    <w:rsid w:val="006C4764"/>
    <w:rsid w:val="006C4FF1"/>
    <w:rsid w:val="006C549F"/>
    <w:rsid w:val="006C587D"/>
    <w:rsid w:val="006C5A5F"/>
    <w:rsid w:val="006C5B34"/>
    <w:rsid w:val="006C61BA"/>
    <w:rsid w:val="006C61D3"/>
    <w:rsid w:val="006C63B0"/>
    <w:rsid w:val="006C64DA"/>
    <w:rsid w:val="006C6E3B"/>
    <w:rsid w:val="006C750C"/>
    <w:rsid w:val="006C7C22"/>
    <w:rsid w:val="006C7C53"/>
    <w:rsid w:val="006D0012"/>
    <w:rsid w:val="006D012A"/>
    <w:rsid w:val="006D06DB"/>
    <w:rsid w:val="006D0B56"/>
    <w:rsid w:val="006D0B7B"/>
    <w:rsid w:val="006D1229"/>
    <w:rsid w:val="006D16C9"/>
    <w:rsid w:val="006D275B"/>
    <w:rsid w:val="006D27E0"/>
    <w:rsid w:val="006D2953"/>
    <w:rsid w:val="006D2AE7"/>
    <w:rsid w:val="006D2F8E"/>
    <w:rsid w:val="006D32D8"/>
    <w:rsid w:val="006D377C"/>
    <w:rsid w:val="006D38E5"/>
    <w:rsid w:val="006D3A53"/>
    <w:rsid w:val="006D3E62"/>
    <w:rsid w:val="006D451D"/>
    <w:rsid w:val="006D455A"/>
    <w:rsid w:val="006D4990"/>
    <w:rsid w:val="006D52BD"/>
    <w:rsid w:val="006D55A5"/>
    <w:rsid w:val="006D574D"/>
    <w:rsid w:val="006D587E"/>
    <w:rsid w:val="006D5B30"/>
    <w:rsid w:val="006D6131"/>
    <w:rsid w:val="006D659B"/>
    <w:rsid w:val="006D65D0"/>
    <w:rsid w:val="006D669C"/>
    <w:rsid w:val="006D6992"/>
    <w:rsid w:val="006D6D2F"/>
    <w:rsid w:val="006D6FE2"/>
    <w:rsid w:val="006D7A60"/>
    <w:rsid w:val="006D7C45"/>
    <w:rsid w:val="006D7FDD"/>
    <w:rsid w:val="006E021D"/>
    <w:rsid w:val="006E04A8"/>
    <w:rsid w:val="006E0BCF"/>
    <w:rsid w:val="006E0CB9"/>
    <w:rsid w:val="006E0D78"/>
    <w:rsid w:val="006E0EB6"/>
    <w:rsid w:val="006E1047"/>
    <w:rsid w:val="006E10A9"/>
    <w:rsid w:val="006E1210"/>
    <w:rsid w:val="006E148B"/>
    <w:rsid w:val="006E152C"/>
    <w:rsid w:val="006E15AC"/>
    <w:rsid w:val="006E163F"/>
    <w:rsid w:val="006E16FF"/>
    <w:rsid w:val="006E1B95"/>
    <w:rsid w:val="006E1F21"/>
    <w:rsid w:val="006E2311"/>
    <w:rsid w:val="006E2496"/>
    <w:rsid w:val="006E277E"/>
    <w:rsid w:val="006E2798"/>
    <w:rsid w:val="006E2D55"/>
    <w:rsid w:val="006E2EA3"/>
    <w:rsid w:val="006E328F"/>
    <w:rsid w:val="006E34C0"/>
    <w:rsid w:val="006E3562"/>
    <w:rsid w:val="006E3820"/>
    <w:rsid w:val="006E3EEC"/>
    <w:rsid w:val="006E4178"/>
    <w:rsid w:val="006E429A"/>
    <w:rsid w:val="006E4401"/>
    <w:rsid w:val="006E443C"/>
    <w:rsid w:val="006E4617"/>
    <w:rsid w:val="006E49C8"/>
    <w:rsid w:val="006E4D5F"/>
    <w:rsid w:val="006E505D"/>
    <w:rsid w:val="006E50E6"/>
    <w:rsid w:val="006E54C5"/>
    <w:rsid w:val="006E5AED"/>
    <w:rsid w:val="006E5AF0"/>
    <w:rsid w:val="006E5EA8"/>
    <w:rsid w:val="006E5ED1"/>
    <w:rsid w:val="006E60B9"/>
    <w:rsid w:val="006E60D0"/>
    <w:rsid w:val="006E6302"/>
    <w:rsid w:val="006E6397"/>
    <w:rsid w:val="006E67C4"/>
    <w:rsid w:val="006E6A0B"/>
    <w:rsid w:val="006E6E33"/>
    <w:rsid w:val="006E700F"/>
    <w:rsid w:val="006E7140"/>
    <w:rsid w:val="006E77E8"/>
    <w:rsid w:val="006E78B9"/>
    <w:rsid w:val="006E79F0"/>
    <w:rsid w:val="006E7CCB"/>
    <w:rsid w:val="006F01B1"/>
    <w:rsid w:val="006F03FF"/>
    <w:rsid w:val="006F04C3"/>
    <w:rsid w:val="006F065C"/>
    <w:rsid w:val="006F069F"/>
    <w:rsid w:val="006F08DA"/>
    <w:rsid w:val="006F1283"/>
    <w:rsid w:val="006F1309"/>
    <w:rsid w:val="006F138C"/>
    <w:rsid w:val="006F1929"/>
    <w:rsid w:val="006F19DD"/>
    <w:rsid w:val="006F1A58"/>
    <w:rsid w:val="006F24FD"/>
    <w:rsid w:val="006F258C"/>
    <w:rsid w:val="006F2687"/>
    <w:rsid w:val="006F2CF7"/>
    <w:rsid w:val="006F2E70"/>
    <w:rsid w:val="006F2F03"/>
    <w:rsid w:val="006F305F"/>
    <w:rsid w:val="006F36A0"/>
    <w:rsid w:val="006F3B9A"/>
    <w:rsid w:val="006F3C47"/>
    <w:rsid w:val="006F3D84"/>
    <w:rsid w:val="006F4102"/>
    <w:rsid w:val="006F4227"/>
    <w:rsid w:val="006F4365"/>
    <w:rsid w:val="006F459D"/>
    <w:rsid w:val="006F4686"/>
    <w:rsid w:val="006F4D4F"/>
    <w:rsid w:val="006F4E75"/>
    <w:rsid w:val="006F4FBC"/>
    <w:rsid w:val="006F5623"/>
    <w:rsid w:val="006F5683"/>
    <w:rsid w:val="006F5B5F"/>
    <w:rsid w:val="006F5E63"/>
    <w:rsid w:val="006F669F"/>
    <w:rsid w:val="006F6931"/>
    <w:rsid w:val="006F6A37"/>
    <w:rsid w:val="006F6EBF"/>
    <w:rsid w:val="006F7156"/>
    <w:rsid w:val="006F729A"/>
    <w:rsid w:val="006F7CB7"/>
    <w:rsid w:val="006F7F1B"/>
    <w:rsid w:val="00700393"/>
    <w:rsid w:val="00700446"/>
    <w:rsid w:val="007005FE"/>
    <w:rsid w:val="00700BCE"/>
    <w:rsid w:val="00700D67"/>
    <w:rsid w:val="007018D7"/>
    <w:rsid w:val="0070192D"/>
    <w:rsid w:val="00701DA9"/>
    <w:rsid w:val="00702535"/>
    <w:rsid w:val="00702542"/>
    <w:rsid w:val="00703668"/>
    <w:rsid w:val="00703AB2"/>
    <w:rsid w:val="0070413A"/>
    <w:rsid w:val="007041C8"/>
    <w:rsid w:val="0070423B"/>
    <w:rsid w:val="0070435D"/>
    <w:rsid w:val="00704447"/>
    <w:rsid w:val="007046A6"/>
    <w:rsid w:val="007049EB"/>
    <w:rsid w:val="00704B0B"/>
    <w:rsid w:val="00704B5C"/>
    <w:rsid w:val="00704CEC"/>
    <w:rsid w:val="00704D5E"/>
    <w:rsid w:val="0070513A"/>
    <w:rsid w:val="007052C7"/>
    <w:rsid w:val="00705415"/>
    <w:rsid w:val="00705661"/>
    <w:rsid w:val="00705C52"/>
    <w:rsid w:val="00705CC5"/>
    <w:rsid w:val="0070625C"/>
    <w:rsid w:val="00706403"/>
    <w:rsid w:val="00706A35"/>
    <w:rsid w:val="00706BAD"/>
    <w:rsid w:val="00707184"/>
    <w:rsid w:val="007071FC"/>
    <w:rsid w:val="00707294"/>
    <w:rsid w:val="007077E0"/>
    <w:rsid w:val="007079EF"/>
    <w:rsid w:val="00707B0B"/>
    <w:rsid w:val="00707C25"/>
    <w:rsid w:val="00707FC9"/>
    <w:rsid w:val="0071000F"/>
    <w:rsid w:val="007100E2"/>
    <w:rsid w:val="00710155"/>
    <w:rsid w:val="007102C6"/>
    <w:rsid w:val="00710832"/>
    <w:rsid w:val="00710844"/>
    <w:rsid w:val="007108D1"/>
    <w:rsid w:val="00710D77"/>
    <w:rsid w:val="00711197"/>
    <w:rsid w:val="00711470"/>
    <w:rsid w:val="00711689"/>
    <w:rsid w:val="007118C1"/>
    <w:rsid w:val="007119D8"/>
    <w:rsid w:val="00711A18"/>
    <w:rsid w:val="00711A44"/>
    <w:rsid w:val="00711B4D"/>
    <w:rsid w:val="00711DAC"/>
    <w:rsid w:val="0071212A"/>
    <w:rsid w:val="0071213B"/>
    <w:rsid w:val="00712253"/>
    <w:rsid w:val="007122D0"/>
    <w:rsid w:val="00712431"/>
    <w:rsid w:val="00712E0D"/>
    <w:rsid w:val="007136B7"/>
    <w:rsid w:val="0071382B"/>
    <w:rsid w:val="0071395E"/>
    <w:rsid w:val="00713C52"/>
    <w:rsid w:val="00713CE5"/>
    <w:rsid w:val="00713D11"/>
    <w:rsid w:val="00713EF0"/>
    <w:rsid w:val="00714078"/>
    <w:rsid w:val="007140CB"/>
    <w:rsid w:val="007143E4"/>
    <w:rsid w:val="00714551"/>
    <w:rsid w:val="00715384"/>
    <w:rsid w:val="00716195"/>
    <w:rsid w:val="00716216"/>
    <w:rsid w:val="00716257"/>
    <w:rsid w:val="0071637F"/>
    <w:rsid w:val="007165A0"/>
    <w:rsid w:val="00716A6F"/>
    <w:rsid w:val="00716B51"/>
    <w:rsid w:val="00716EBD"/>
    <w:rsid w:val="007172B4"/>
    <w:rsid w:val="007176B3"/>
    <w:rsid w:val="00720159"/>
    <w:rsid w:val="007201B1"/>
    <w:rsid w:val="00720277"/>
    <w:rsid w:val="00720876"/>
    <w:rsid w:val="00720C09"/>
    <w:rsid w:val="00720DB7"/>
    <w:rsid w:val="00721032"/>
    <w:rsid w:val="007212BE"/>
    <w:rsid w:val="00721CDA"/>
    <w:rsid w:val="007226A2"/>
    <w:rsid w:val="00722B87"/>
    <w:rsid w:val="00723EB3"/>
    <w:rsid w:val="00723FCD"/>
    <w:rsid w:val="007242B9"/>
    <w:rsid w:val="007242CA"/>
    <w:rsid w:val="0072464B"/>
    <w:rsid w:val="00724779"/>
    <w:rsid w:val="00724983"/>
    <w:rsid w:val="00725F55"/>
    <w:rsid w:val="00726515"/>
    <w:rsid w:val="00726CA1"/>
    <w:rsid w:val="00726CF8"/>
    <w:rsid w:val="00726DDC"/>
    <w:rsid w:val="00727607"/>
    <w:rsid w:val="0072772F"/>
    <w:rsid w:val="00727862"/>
    <w:rsid w:val="00727D38"/>
    <w:rsid w:val="00727D8E"/>
    <w:rsid w:val="007301DF"/>
    <w:rsid w:val="00730894"/>
    <w:rsid w:val="00730911"/>
    <w:rsid w:val="00730C7A"/>
    <w:rsid w:val="0073118F"/>
    <w:rsid w:val="00731674"/>
    <w:rsid w:val="00731807"/>
    <w:rsid w:val="00731C5A"/>
    <w:rsid w:val="00731F25"/>
    <w:rsid w:val="00731FFE"/>
    <w:rsid w:val="0073213F"/>
    <w:rsid w:val="00732351"/>
    <w:rsid w:val="0073354A"/>
    <w:rsid w:val="00733931"/>
    <w:rsid w:val="00733941"/>
    <w:rsid w:val="00733F01"/>
    <w:rsid w:val="00734011"/>
    <w:rsid w:val="00734EB2"/>
    <w:rsid w:val="0073555D"/>
    <w:rsid w:val="007356AA"/>
    <w:rsid w:val="0073591D"/>
    <w:rsid w:val="0073683D"/>
    <w:rsid w:val="00737362"/>
    <w:rsid w:val="0073743B"/>
    <w:rsid w:val="00737543"/>
    <w:rsid w:val="00737D4E"/>
    <w:rsid w:val="007400F6"/>
    <w:rsid w:val="00740369"/>
    <w:rsid w:val="0074042B"/>
    <w:rsid w:val="007405FD"/>
    <w:rsid w:val="00740640"/>
    <w:rsid w:val="00740F40"/>
    <w:rsid w:val="00740F4B"/>
    <w:rsid w:val="00741176"/>
    <w:rsid w:val="007415D5"/>
    <w:rsid w:val="007416A8"/>
    <w:rsid w:val="007418FE"/>
    <w:rsid w:val="0074199E"/>
    <w:rsid w:val="007421DF"/>
    <w:rsid w:val="00742565"/>
    <w:rsid w:val="007427A1"/>
    <w:rsid w:val="007428AF"/>
    <w:rsid w:val="00742902"/>
    <w:rsid w:val="00742DA6"/>
    <w:rsid w:val="00742E41"/>
    <w:rsid w:val="00742F82"/>
    <w:rsid w:val="00742FAB"/>
    <w:rsid w:val="00743EC4"/>
    <w:rsid w:val="00744493"/>
    <w:rsid w:val="00744555"/>
    <w:rsid w:val="0074468B"/>
    <w:rsid w:val="007449D9"/>
    <w:rsid w:val="00744C31"/>
    <w:rsid w:val="00744E75"/>
    <w:rsid w:val="00745565"/>
    <w:rsid w:val="00745843"/>
    <w:rsid w:val="00745A51"/>
    <w:rsid w:val="00745BA1"/>
    <w:rsid w:val="00745E07"/>
    <w:rsid w:val="0074615F"/>
    <w:rsid w:val="00746628"/>
    <w:rsid w:val="0074685C"/>
    <w:rsid w:val="00746974"/>
    <w:rsid w:val="00746FEA"/>
    <w:rsid w:val="007471F6"/>
    <w:rsid w:val="0074745B"/>
    <w:rsid w:val="0074751E"/>
    <w:rsid w:val="00747962"/>
    <w:rsid w:val="00747C9D"/>
    <w:rsid w:val="0075008B"/>
    <w:rsid w:val="00750445"/>
    <w:rsid w:val="00750999"/>
    <w:rsid w:val="007513FC"/>
    <w:rsid w:val="007514CB"/>
    <w:rsid w:val="0075151D"/>
    <w:rsid w:val="007518CF"/>
    <w:rsid w:val="00751A06"/>
    <w:rsid w:val="00751D2F"/>
    <w:rsid w:val="00751F07"/>
    <w:rsid w:val="00752019"/>
    <w:rsid w:val="00752A45"/>
    <w:rsid w:val="00752C99"/>
    <w:rsid w:val="00753141"/>
    <w:rsid w:val="007531F1"/>
    <w:rsid w:val="00753F70"/>
    <w:rsid w:val="0075405E"/>
    <w:rsid w:val="00754531"/>
    <w:rsid w:val="0075460A"/>
    <w:rsid w:val="00754990"/>
    <w:rsid w:val="00754C57"/>
    <w:rsid w:val="00754E01"/>
    <w:rsid w:val="00754F1D"/>
    <w:rsid w:val="007558CC"/>
    <w:rsid w:val="00755916"/>
    <w:rsid w:val="00755C3E"/>
    <w:rsid w:val="00755D76"/>
    <w:rsid w:val="00756166"/>
    <w:rsid w:val="0075630F"/>
    <w:rsid w:val="007563A4"/>
    <w:rsid w:val="0075658B"/>
    <w:rsid w:val="007566AA"/>
    <w:rsid w:val="00756824"/>
    <w:rsid w:val="007569E5"/>
    <w:rsid w:val="00756E1F"/>
    <w:rsid w:val="00757361"/>
    <w:rsid w:val="0075747D"/>
    <w:rsid w:val="007574B0"/>
    <w:rsid w:val="00757706"/>
    <w:rsid w:val="00757A69"/>
    <w:rsid w:val="007617CB"/>
    <w:rsid w:val="00761A39"/>
    <w:rsid w:val="00761CAB"/>
    <w:rsid w:val="00761D8C"/>
    <w:rsid w:val="007626E6"/>
    <w:rsid w:val="007627F5"/>
    <w:rsid w:val="0076284E"/>
    <w:rsid w:val="00762873"/>
    <w:rsid w:val="00762D88"/>
    <w:rsid w:val="00762DA2"/>
    <w:rsid w:val="00762E16"/>
    <w:rsid w:val="007638C3"/>
    <w:rsid w:val="007638EB"/>
    <w:rsid w:val="007639CA"/>
    <w:rsid w:val="007639DF"/>
    <w:rsid w:val="00763F3D"/>
    <w:rsid w:val="00764329"/>
    <w:rsid w:val="007646D2"/>
    <w:rsid w:val="007648E9"/>
    <w:rsid w:val="00764BF3"/>
    <w:rsid w:val="00764CE9"/>
    <w:rsid w:val="007650AB"/>
    <w:rsid w:val="00765660"/>
    <w:rsid w:val="00765C83"/>
    <w:rsid w:val="00765D44"/>
    <w:rsid w:val="00765D55"/>
    <w:rsid w:val="00765F50"/>
    <w:rsid w:val="00766014"/>
    <w:rsid w:val="0076601B"/>
    <w:rsid w:val="00766606"/>
    <w:rsid w:val="00766CCB"/>
    <w:rsid w:val="00766FAB"/>
    <w:rsid w:val="0076720F"/>
    <w:rsid w:val="0076778B"/>
    <w:rsid w:val="0076789D"/>
    <w:rsid w:val="00767A52"/>
    <w:rsid w:val="00767B5B"/>
    <w:rsid w:val="00767F87"/>
    <w:rsid w:val="0077009D"/>
    <w:rsid w:val="00770AD0"/>
    <w:rsid w:val="00770F71"/>
    <w:rsid w:val="00770FD1"/>
    <w:rsid w:val="007711F9"/>
    <w:rsid w:val="00771454"/>
    <w:rsid w:val="007716BF"/>
    <w:rsid w:val="007717EA"/>
    <w:rsid w:val="0077212E"/>
    <w:rsid w:val="00772B77"/>
    <w:rsid w:val="00772E67"/>
    <w:rsid w:val="00772EDC"/>
    <w:rsid w:val="007733A7"/>
    <w:rsid w:val="0077352B"/>
    <w:rsid w:val="00773E87"/>
    <w:rsid w:val="00773F7B"/>
    <w:rsid w:val="0077418B"/>
    <w:rsid w:val="007743CC"/>
    <w:rsid w:val="007743DB"/>
    <w:rsid w:val="007748EC"/>
    <w:rsid w:val="00775A26"/>
    <w:rsid w:val="00776092"/>
    <w:rsid w:val="007761EB"/>
    <w:rsid w:val="00776201"/>
    <w:rsid w:val="00776237"/>
    <w:rsid w:val="00776418"/>
    <w:rsid w:val="0077655F"/>
    <w:rsid w:val="00776777"/>
    <w:rsid w:val="0077727B"/>
    <w:rsid w:val="0077738B"/>
    <w:rsid w:val="007774C4"/>
    <w:rsid w:val="007777E1"/>
    <w:rsid w:val="00777842"/>
    <w:rsid w:val="007778A3"/>
    <w:rsid w:val="00777D5A"/>
    <w:rsid w:val="007801CD"/>
    <w:rsid w:val="00780685"/>
    <w:rsid w:val="00780A9C"/>
    <w:rsid w:val="00780BDD"/>
    <w:rsid w:val="00780DEE"/>
    <w:rsid w:val="00780EDF"/>
    <w:rsid w:val="00780FD4"/>
    <w:rsid w:val="007814C5"/>
    <w:rsid w:val="00781691"/>
    <w:rsid w:val="00781B83"/>
    <w:rsid w:val="00781CDC"/>
    <w:rsid w:val="00781E39"/>
    <w:rsid w:val="007822AD"/>
    <w:rsid w:val="0078247C"/>
    <w:rsid w:val="00782695"/>
    <w:rsid w:val="00782FFB"/>
    <w:rsid w:val="00783178"/>
    <w:rsid w:val="0078331F"/>
    <w:rsid w:val="007833D7"/>
    <w:rsid w:val="0078351D"/>
    <w:rsid w:val="007835FD"/>
    <w:rsid w:val="00783607"/>
    <w:rsid w:val="00783896"/>
    <w:rsid w:val="007839F9"/>
    <w:rsid w:val="00783C0F"/>
    <w:rsid w:val="00783C3E"/>
    <w:rsid w:val="00783DF7"/>
    <w:rsid w:val="007840E2"/>
    <w:rsid w:val="0078476F"/>
    <w:rsid w:val="00784773"/>
    <w:rsid w:val="00784A69"/>
    <w:rsid w:val="00784C7C"/>
    <w:rsid w:val="00784CE9"/>
    <w:rsid w:val="00784E8E"/>
    <w:rsid w:val="0078502D"/>
    <w:rsid w:val="0078510A"/>
    <w:rsid w:val="0078518F"/>
    <w:rsid w:val="00785301"/>
    <w:rsid w:val="007856A1"/>
    <w:rsid w:val="0078589C"/>
    <w:rsid w:val="00785931"/>
    <w:rsid w:val="00785A42"/>
    <w:rsid w:val="00785A74"/>
    <w:rsid w:val="007864A3"/>
    <w:rsid w:val="00786502"/>
    <w:rsid w:val="00786A56"/>
    <w:rsid w:val="00786B89"/>
    <w:rsid w:val="00786D4C"/>
    <w:rsid w:val="00786D70"/>
    <w:rsid w:val="00786E58"/>
    <w:rsid w:val="00787189"/>
    <w:rsid w:val="007871A8"/>
    <w:rsid w:val="007877DE"/>
    <w:rsid w:val="00787A5D"/>
    <w:rsid w:val="00787B32"/>
    <w:rsid w:val="0079023C"/>
    <w:rsid w:val="0079057F"/>
    <w:rsid w:val="00790A54"/>
    <w:rsid w:val="00790CC2"/>
    <w:rsid w:val="00790F71"/>
    <w:rsid w:val="00791280"/>
    <w:rsid w:val="007913A7"/>
    <w:rsid w:val="007914F7"/>
    <w:rsid w:val="00791552"/>
    <w:rsid w:val="00791FFB"/>
    <w:rsid w:val="0079262A"/>
    <w:rsid w:val="0079295F"/>
    <w:rsid w:val="00792AC3"/>
    <w:rsid w:val="00793AC3"/>
    <w:rsid w:val="00794001"/>
    <w:rsid w:val="0079437E"/>
    <w:rsid w:val="007947E1"/>
    <w:rsid w:val="00794BA2"/>
    <w:rsid w:val="00794D12"/>
    <w:rsid w:val="00794FDB"/>
    <w:rsid w:val="007951E8"/>
    <w:rsid w:val="007955E2"/>
    <w:rsid w:val="00795AB3"/>
    <w:rsid w:val="00795AEA"/>
    <w:rsid w:val="00795B32"/>
    <w:rsid w:val="00795BB2"/>
    <w:rsid w:val="00796207"/>
    <w:rsid w:val="0079670B"/>
    <w:rsid w:val="00796DDA"/>
    <w:rsid w:val="00797213"/>
    <w:rsid w:val="00797255"/>
    <w:rsid w:val="0079772E"/>
    <w:rsid w:val="00797789"/>
    <w:rsid w:val="00797CDE"/>
    <w:rsid w:val="007A0085"/>
    <w:rsid w:val="007A02F7"/>
    <w:rsid w:val="007A0392"/>
    <w:rsid w:val="007A04F4"/>
    <w:rsid w:val="007A0B02"/>
    <w:rsid w:val="007A0FF0"/>
    <w:rsid w:val="007A157C"/>
    <w:rsid w:val="007A1C6E"/>
    <w:rsid w:val="007A1DE6"/>
    <w:rsid w:val="007A20BD"/>
    <w:rsid w:val="007A21E3"/>
    <w:rsid w:val="007A22D9"/>
    <w:rsid w:val="007A2341"/>
    <w:rsid w:val="007A2B96"/>
    <w:rsid w:val="007A2F2C"/>
    <w:rsid w:val="007A315D"/>
    <w:rsid w:val="007A34D4"/>
    <w:rsid w:val="007A3797"/>
    <w:rsid w:val="007A3C14"/>
    <w:rsid w:val="007A3C29"/>
    <w:rsid w:val="007A3E3C"/>
    <w:rsid w:val="007A40FA"/>
    <w:rsid w:val="007A495C"/>
    <w:rsid w:val="007A49EE"/>
    <w:rsid w:val="007A4A4E"/>
    <w:rsid w:val="007A4DD5"/>
    <w:rsid w:val="007A50B8"/>
    <w:rsid w:val="007A5114"/>
    <w:rsid w:val="007A5173"/>
    <w:rsid w:val="007A6124"/>
    <w:rsid w:val="007A615D"/>
    <w:rsid w:val="007A61A1"/>
    <w:rsid w:val="007A66F4"/>
    <w:rsid w:val="007A6C50"/>
    <w:rsid w:val="007A6D11"/>
    <w:rsid w:val="007A6EF7"/>
    <w:rsid w:val="007A71CD"/>
    <w:rsid w:val="007A73DC"/>
    <w:rsid w:val="007A7436"/>
    <w:rsid w:val="007A7960"/>
    <w:rsid w:val="007A7DD8"/>
    <w:rsid w:val="007B0027"/>
    <w:rsid w:val="007B0448"/>
    <w:rsid w:val="007B0482"/>
    <w:rsid w:val="007B0527"/>
    <w:rsid w:val="007B094F"/>
    <w:rsid w:val="007B135A"/>
    <w:rsid w:val="007B139D"/>
    <w:rsid w:val="007B162D"/>
    <w:rsid w:val="007B16A5"/>
    <w:rsid w:val="007B19A6"/>
    <w:rsid w:val="007B1A8F"/>
    <w:rsid w:val="007B1DC8"/>
    <w:rsid w:val="007B25A2"/>
    <w:rsid w:val="007B2812"/>
    <w:rsid w:val="007B2BF6"/>
    <w:rsid w:val="007B2C4F"/>
    <w:rsid w:val="007B2FEE"/>
    <w:rsid w:val="007B32E8"/>
    <w:rsid w:val="007B378B"/>
    <w:rsid w:val="007B3B3C"/>
    <w:rsid w:val="007B3F87"/>
    <w:rsid w:val="007B41F6"/>
    <w:rsid w:val="007B4370"/>
    <w:rsid w:val="007B49EF"/>
    <w:rsid w:val="007B4B4F"/>
    <w:rsid w:val="007B509E"/>
    <w:rsid w:val="007B52BC"/>
    <w:rsid w:val="007B5518"/>
    <w:rsid w:val="007B5729"/>
    <w:rsid w:val="007B585A"/>
    <w:rsid w:val="007B592B"/>
    <w:rsid w:val="007B5C45"/>
    <w:rsid w:val="007B5C5E"/>
    <w:rsid w:val="007B631E"/>
    <w:rsid w:val="007B67D6"/>
    <w:rsid w:val="007B6A3B"/>
    <w:rsid w:val="007B6D02"/>
    <w:rsid w:val="007B6E67"/>
    <w:rsid w:val="007B6E94"/>
    <w:rsid w:val="007B7366"/>
    <w:rsid w:val="007B74BB"/>
    <w:rsid w:val="007B74E0"/>
    <w:rsid w:val="007B7545"/>
    <w:rsid w:val="007B7B13"/>
    <w:rsid w:val="007B7BCB"/>
    <w:rsid w:val="007B7EDF"/>
    <w:rsid w:val="007C015B"/>
    <w:rsid w:val="007C0437"/>
    <w:rsid w:val="007C0944"/>
    <w:rsid w:val="007C0E29"/>
    <w:rsid w:val="007C1130"/>
    <w:rsid w:val="007C1555"/>
    <w:rsid w:val="007C1643"/>
    <w:rsid w:val="007C1751"/>
    <w:rsid w:val="007C1883"/>
    <w:rsid w:val="007C1936"/>
    <w:rsid w:val="007C1B18"/>
    <w:rsid w:val="007C1CB6"/>
    <w:rsid w:val="007C1E8A"/>
    <w:rsid w:val="007C1F63"/>
    <w:rsid w:val="007C24BE"/>
    <w:rsid w:val="007C27B3"/>
    <w:rsid w:val="007C2A0D"/>
    <w:rsid w:val="007C2CDD"/>
    <w:rsid w:val="007C2DBB"/>
    <w:rsid w:val="007C2ED7"/>
    <w:rsid w:val="007C33AB"/>
    <w:rsid w:val="007C3449"/>
    <w:rsid w:val="007C354F"/>
    <w:rsid w:val="007C3682"/>
    <w:rsid w:val="007C36B4"/>
    <w:rsid w:val="007C3716"/>
    <w:rsid w:val="007C37CF"/>
    <w:rsid w:val="007C3A98"/>
    <w:rsid w:val="007C3EBB"/>
    <w:rsid w:val="007C4194"/>
    <w:rsid w:val="007C4243"/>
    <w:rsid w:val="007C4938"/>
    <w:rsid w:val="007C49AB"/>
    <w:rsid w:val="007C4BBB"/>
    <w:rsid w:val="007C4F0E"/>
    <w:rsid w:val="007C5163"/>
    <w:rsid w:val="007C56B1"/>
    <w:rsid w:val="007C5ACF"/>
    <w:rsid w:val="007C5F86"/>
    <w:rsid w:val="007C6003"/>
    <w:rsid w:val="007C6B7C"/>
    <w:rsid w:val="007C76DA"/>
    <w:rsid w:val="007C7765"/>
    <w:rsid w:val="007C7922"/>
    <w:rsid w:val="007C7978"/>
    <w:rsid w:val="007C79DF"/>
    <w:rsid w:val="007C7B63"/>
    <w:rsid w:val="007D01C4"/>
    <w:rsid w:val="007D0235"/>
    <w:rsid w:val="007D02A1"/>
    <w:rsid w:val="007D0B01"/>
    <w:rsid w:val="007D0BE2"/>
    <w:rsid w:val="007D0DE3"/>
    <w:rsid w:val="007D0EE3"/>
    <w:rsid w:val="007D127C"/>
    <w:rsid w:val="007D139F"/>
    <w:rsid w:val="007D18C0"/>
    <w:rsid w:val="007D1B64"/>
    <w:rsid w:val="007D24A5"/>
    <w:rsid w:val="007D2548"/>
    <w:rsid w:val="007D2B25"/>
    <w:rsid w:val="007D2D76"/>
    <w:rsid w:val="007D2DD3"/>
    <w:rsid w:val="007D30CD"/>
    <w:rsid w:val="007D31C6"/>
    <w:rsid w:val="007D3AD9"/>
    <w:rsid w:val="007D3C05"/>
    <w:rsid w:val="007D4CD2"/>
    <w:rsid w:val="007D550B"/>
    <w:rsid w:val="007D568C"/>
    <w:rsid w:val="007D586B"/>
    <w:rsid w:val="007D661A"/>
    <w:rsid w:val="007D6FFC"/>
    <w:rsid w:val="007D71D8"/>
    <w:rsid w:val="007D729F"/>
    <w:rsid w:val="007D746C"/>
    <w:rsid w:val="007E012C"/>
    <w:rsid w:val="007E0648"/>
    <w:rsid w:val="007E06E7"/>
    <w:rsid w:val="007E0948"/>
    <w:rsid w:val="007E0F24"/>
    <w:rsid w:val="007E104E"/>
    <w:rsid w:val="007E1128"/>
    <w:rsid w:val="007E1130"/>
    <w:rsid w:val="007E1292"/>
    <w:rsid w:val="007E1366"/>
    <w:rsid w:val="007E153C"/>
    <w:rsid w:val="007E2268"/>
    <w:rsid w:val="007E25E5"/>
    <w:rsid w:val="007E2709"/>
    <w:rsid w:val="007E28C5"/>
    <w:rsid w:val="007E28D9"/>
    <w:rsid w:val="007E2E38"/>
    <w:rsid w:val="007E3168"/>
    <w:rsid w:val="007E3688"/>
    <w:rsid w:val="007E3B44"/>
    <w:rsid w:val="007E3D35"/>
    <w:rsid w:val="007E41E7"/>
    <w:rsid w:val="007E44F7"/>
    <w:rsid w:val="007E4701"/>
    <w:rsid w:val="007E475F"/>
    <w:rsid w:val="007E4A02"/>
    <w:rsid w:val="007E4CAD"/>
    <w:rsid w:val="007E5032"/>
    <w:rsid w:val="007E5398"/>
    <w:rsid w:val="007E55E7"/>
    <w:rsid w:val="007E576B"/>
    <w:rsid w:val="007E5B5C"/>
    <w:rsid w:val="007E5F88"/>
    <w:rsid w:val="007E64D8"/>
    <w:rsid w:val="007E6554"/>
    <w:rsid w:val="007E6768"/>
    <w:rsid w:val="007E6960"/>
    <w:rsid w:val="007E73EA"/>
    <w:rsid w:val="007E745E"/>
    <w:rsid w:val="007E7679"/>
    <w:rsid w:val="007E78A7"/>
    <w:rsid w:val="007E7F41"/>
    <w:rsid w:val="007F025C"/>
    <w:rsid w:val="007F0650"/>
    <w:rsid w:val="007F074A"/>
    <w:rsid w:val="007F08A3"/>
    <w:rsid w:val="007F0F8E"/>
    <w:rsid w:val="007F1274"/>
    <w:rsid w:val="007F12C6"/>
    <w:rsid w:val="007F1416"/>
    <w:rsid w:val="007F1445"/>
    <w:rsid w:val="007F1524"/>
    <w:rsid w:val="007F1890"/>
    <w:rsid w:val="007F1E89"/>
    <w:rsid w:val="007F2221"/>
    <w:rsid w:val="007F241E"/>
    <w:rsid w:val="007F26F8"/>
    <w:rsid w:val="007F28F0"/>
    <w:rsid w:val="007F3000"/>
    <w:rsid w:val="007F33F1"/>
    <w:rsid w:val="007F361A"/>
    <w:rsid w:val="007F3A7C"/>
    <w:rsid w:val="007F3B52"/>
    <w:rsid w:val="007F3B75"/>
    <w:rsid w:val="007F4459"/>
    <w:rsid w:val="007F452A"/>
    <w:rsid w:val="007F471E"/>
    <w:rsid w:val="007F47DE"/>
    <w:rsid w:val="007F51C5"/>
    <w:rsid w:val="007F5411"/>
    <w:rsid w:val="007F5901"/>
    <w:rsid w:val="007F5DFD"/>
    <w:rsid w:val="007F6405"/>
    <w:rsid w:val="007F6DD2"/>
    <w:rsid w:val="007F6E1D"/>
    <w:rsid w:val="007F6EF6"/>
    <w:rsid w:val="007F7181"/>
    <w:rsid w:val="007F739E"/>
    <w:rsid w:val="007F740E"/>
    <w:rsid w:val="007F7700"/>
    <w:rsid w:val="007F7930"/>
    <w:rsid w:val="007F7B4C"/>
    <w:rsid w:val="007F7BEC"/>
    <w:rsid w:val="007F7DCE"/>
    <w:rsid w:val="0080059D"/>
    <w:rsid w:val="008006A6"/>
    <w:rsid w:val="008007A7"/>
    <w:rsid w:val="00800950"/>
    <w:rsid w:val="00800BFA"/>
    <w:rsid w:val="0080150F"/>
    <w:rsid w:val="00801B0E"/>
    <w:rsid w:val="00801B4E"/>
    <w:rsid w:val="00801C9E"/>
    <w:rsid w:val="00801EAC"/>
    <w:rsid w:val="00802162"/>
    <w:rsid w:val="00802348"/>
    <w:rsid w:val="00802AC3"/>
    <w:rsid w:val="00802BE7"/>
    <w:rsid w:val="00802CD8"/>
    <w:rsid w:val="00802EEC"/>
    <w:rsid w:val="0080378E"/>
    <w:rsid w:val="008042B3"/>
    <w:rsid w:val="008044F8"/>
    <w:rsid w:val="008045E7"/>
    <w:rsid w:val="00805170"/>
    <w:rsid w:val="00805189"/>
    <w:rsid w:val="00805277"/>
    <w:rsid w:val="0080543C"/>
    <w:rsid w:val="00805DDF"/>
    <w:rsid w:val="00805E74"/>
    <w:rsid w:val="00805F35"/>
    <w:rsid w:val="0080609E"/>
    <w:rsid w:val="00806305"/>
    <w:rsid w:val="008063FA"/>
    <w:rsid w:val="008069B7"/>
    <w:rsid w:val="00806A36"/>
    <w:rsid w:val="00806D42"/>
    <w:rsid w:val="008070F0"/>
    <w:rsid w:val="00807246"/>
    <w:rsid w:val="00807336"/>
    <w:rsid w:val="00807665"/>
    <w:rsid w:val="0081021B"/>
    <w:rsid w:val="0081074A"/>
    <w:rsid w:val="00810ECD"/>
    <w:rsid w:val="00810F9C"/>
    <w:rsid w:val="00811281"/>
    <w:rsid w:val="00811AA1"/>
    <w:rsid w:val="00811B2E"/>
    <w:rsid w:val="0081209D"/>
    <w:rsid w:val="008120C8"/>
    <w:rsid w:val="00812226"/>
    <w:rsid w:val="00812AE2"/>
    <w:rsid w:val="00812BEA"/>
    <w:rsid w:val="00812F17"/>
    <w:rsid w:val="00813129"/>
    <w:rsid w:val="008132E7"/>
    <w:rsid w:val="00813420"/>
    <w:rsid w:val="00813608"/>
    <w:rsid w:val="00813720"/>
    <w:rsid w:val="008138AC"/>
    <w:rsid w:val="00813CFD"/>
    <w:rsid w:val="00813DA4"/>
    <w:rsid w:val="00814320"/>
    <w:rsid w:val="008144C7"/>
    <w:rsid w:val="00814536"/>
    <w:rsid w:val="00815579"/>
    <w:rsid w:val="0081586A"/>
    <w:rsid w:val="00815882"/>
    <w:rsid w:val="008159B0"/>
    <w:rsid w:val="00815EC2"/>
    <w:rsid w:val="00816072"/>
    <w:rsid w:val="00816291"/>
    <w:rsid w:val="008163AF"/>
    <w:rsid w:val="00816510"/>
    <w:rsid w:val="00816893"/>
    <w:rsid w:val="00816A21"/>
    <w:rsid w:val="008170B6"/>
    <w:rsid w:val="00817790"/>
    <w:rsid w:val="008201FA"/>
    <w:rsid w:val="00820434"/>
    <w:rsid w:val="008209D1"/>
    <w:rsid w:val="00820C28"/>
    <w:rsid w:val="00820F0C"/>
    <w:rsid w:val="00821063"/>
    <w:rsid w:val="00821574"/>
    <w:rsid w:val="008216D5"/>
    <w:rsid w:val="0082190D"/>
    <w:rsid w:val="00821BBC"/>
    <w:rsid w:val="008220B1"/>
    <w:rsid w:val="008220FB"/>
    <w:rsid w:val="00822265"/>
    <w:rsid w:val="008226EB"/>
    <w:rsid w:val="00822811"/>
    <w:rsid w:val="00822AA7"/>
    <w:rsid w:val="00823105"/>
    <w:rsid w:val="00823195"/>
    <w:rsid w:val="0082361C"/>
    <w:rsid w:val="0082391C"/>
    <w:rsid w:val="00823922"/>
    <w:rsid w:val="00823C17"/>
    <w:rsid w:val="00823D71"/>
    <w:rsid w:val="00823F8E"/>
    <w:rsid w:val="008245C2"/>
    <w:rsid w:val="008245E5"/>
    <w:rsid w:val="00824DBA"/>
    <w:rsid w:val="00824FD1"/>
    <w:rsid w:val="00825028"/>
    <w:rsid w:val="008250B0"/>
    <w:rsid w:val="0082529D"/>
    <w:rsid w:val="00825B3F"/>
    <w:rsid w:val="00825D1E"/>
    <w:rsid w:val="00826020"/>
    <w:rsid w:val="0082624D"/>
    <w:rsid w:val="00826259"/>
    <w:rsid w:val="00826FBE"/>
    <w:rsid w:val="0082741F"/>
    <w:rsid w:val="008275A1"/>
    <w:rsid w:val="008275B4"/>
    <w:rsid w:val="008275E9"/>
    <w:rsid w:val="008308DE"/>
    <w:rsid w:val="00830F13"/>
    <w:rsid w:val="00830F16"/>
    <w:rsid w:val="008317EB"/>
    <w:rsid w:val="008318A2"/>
    <w:rsid w:val="008318C0"/>
    <w:rsid w:val="00831DE1"/>
    <w:rsid w:val="00832450"/>
    <w:rsid w:val="008328F3"/>
    <w:rsid w:val="00832BC9"/>
    <w:rsid w:val="00832C0F"/>
    <w:rsid w:val="0083328D"/>
    <w:rsid w:val="00833627"/>
    <w:rsid w:val="00833C6B"/>
    <w:rsid w:val="00834354"/>
    <w:rsid w:val="008344DE"/>
    <w:rsid w:val="008344F3"/>
    <w:rsid w:val="0083477B"/>
    <w:rsid w:val="00834837"/>
    <w:rsid w:val="00834C68"/>
    <w:rsid w:val="00834D75"/>
    <w:rsid w:val="00835007"/>
    <w:rsid w:val="0083564D"/>
    <w:rsid w:val="00835B9E"/>
    <w:rsid w:val="00835BA6"/>
    <w:rsid w:val="00835CE6"/>
    <w:rsid w:val="008361AE"/>
    <w:rsid w:val="0083667E"/>
    <w:rsid w:val="00836985"/>
    <w:rsid w:val="00836B20"/>
    <w:rsid w:val="00837530"/>
    <w:rsid w:val="00837532"/>
    <w:rsid w:val="008379E1"/>
    <w:rsid w:val="00837A27"/>
    <w:rsid w:val="00837E1C"/>
    <w:rsid w:val="008401DC"/>
    <w:rsid w:val="008402AC"/>
    <w:rsid w:val="008402B3"/>
    <w:rsid w:val="00840347"/>
    <w:rsid w:val="0084041A"/>
    <w:rsid w:val="008405D8"/>
    <w:rsid w:val="00840861"/>
    <w:rsid w:val="00840D7E"/>
    <w:rsid w:val="00840E66"/>
    <w:rsid w:val="00840F85"/>
    <w:rsid w:val="0084100A"/>
    <w:rsid w:val="0084117C"/>
    <w:rsid w:val="00841739"/>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5C1"/>
    <w:rsid w:val="00843713"/>
    <w:rsid w:val="0084383F"/>
    <w:rsid w:val="008438D3"/>
    <w:rsid w:val="00843B8B"/>
    <w:rsid w:val="008449BD"/>
    <w:rsid w:val="00844B7C"/>
    <w:rsid w:val="00844E8D"/>
    <w:rsid w:val="0084518B"/>
    <w:rsid w:val="00845418"/>
    <w:rsid w:val="00845ACA"/>
    <w:rsid w:val="008463F5"/>
    <w:rsid w:val="00846B6A"/>
    <w:rsid w:val="00846BA5"/>
    <w:rsid w:val="00847142"/>
    <w:rsid w:val="008476FA"/>
    <w:rsid w:val="00847E30"/>
    <w:rsid w:val="008501C0"/>
    <w:rsid w:val="008501CC"/>
    <w:rsid w:val="00850515"/>
    <w:rsid w:val="0085052F"/>
    <w:rsid w:val="00850D16"/>
    <w:rsid w:val="00850E3A"/>
    <w:rsid w:val="00851159"/>
    <w:rsid w:val="00851862"/>
    <w:rsid w:val="008519CD"/>
    <w:rsid w:val="0085234D"/>
    <w:rsid w:val="008524A6"/>
    <w:rsid w:val="008525A8"/>
    <w:rsid w:val="008525F7"/>
    <w:rsid w:val="0085281A"/>
    <w:rsid w:val="00852FF0"/>
    <w:rsid w:val="00853716"/>
    <w:rsid w:val="0085373B"/>
    <w:rsid w:val="00853B3D"/>
    <w:rsid w:val="00853D47"/>
    <w:rsid w:val="00853EFF"/>
    <w:rsid w:val="00854165"/>
    <w:rsid w:val="0085444E"/>
    <w:rsid w:val="008547B2"/>
    <w:rsid w:val="00854E2C"/>
    <w:rsid w:val="00854E8A"/>
    <w:rsid w:val="00855414"/>
    <w:rsid w:val="0085564D"/>
    <w:rsid w:val="00855E6A"/>
    <w:rsid w:val="00855E6E"/>
    <w:rsid w:val="00855F2D"/>
    <w:rsid w:val="00855FAC"/>
    <w:rsid w:val="00856156"/>
    <w:rsid w:val="00856764"/>
    <w:rsid w:val="008568DF"/>
    <w:rsid w:val="00856C1F"/>
    <w:rsid w:val="00856F56"/>
    <w:rsid w:val="008571EC"/>
    <w:rsid w:val="008572FD"/>
    <w:rsid w:val="008575D7"/>
    <w:rsid w:val="008576AE"/>
    <w:rsid w:val="00857A76"/>
    <w:rsid w:val="00857AC1"/>
    <w:rsid w:val="008602E9"/>
    <w:rsid w:val="00860321"/>
    <w:rsid w:val="008604FF"/>
    <w:rsid w:val="00860CC5"/>
    <w:rsid w:val="00860E40"/>
    <w:rsid w:val="00860F04"/>
    <w:rsid w:val="008614CF"/>
    <w:rsid w:val="008616C3"/>
    <w:rsid w:val="008618E3"/>
    <w:rsid w:val="008619AC"/>
    <w:rsid w:val="00861BCB"/>
    <w:rsid w:val="00861C76"/>
    <w:rsid w:val="00862039"/>
    <w:rsid w:val="00862425"/>
    <w:rsid w:val="008624F3"/>
    <w:rsid w:val="008627FB"/>
    <w:rsid w:val="00862A16"/>
    <w:rsid w:val="008633A5"/>
    <w:rsid w:val="008636F3"/>
    <w:rsid w:val="00863AD3"/>
    <w:rsid w:val="00864659"/>
    <w:rsid w:val="0086498D"/>
    <w:rsid w:val="008649D5"/>
    <w:rsid w:val="00864B08"/>
    <w:rsid w:val="00865504"/>
    <w:rsid w:val="00865672"/>
    <w:rsid w:val="0086593E"/>
    <w:rsid w:val="00866082"/>
    <w:rsid w:val="008660C7"/>
    <w:rsid w:val="008663C0"/>
    <w:rsid w:val="008664C5"/>
    <w:rsid w:val="0086663B"/>
    <w:rsid w:val="00866677"/>
    <w:rsid w:val="00866FFE"/>
    <w:rsid w:val="0086709D"/>
    <w:rsid w:val="00867543"/>
    <w:rsid w:val="00867B01"/>
    <w:rsid w:val="00867F7A"/>
    <w:rsid w:val="0087034F"/>
    <w:rsid w:val="00870390"/>
    <w:rsid w:val="00870D03"/>
    <w:rsid w:val="00870E07"/>
    <w:rsid w:val="008713DF"/>
    <w:rsid w:val="00871674"/>
    <w:rsid w:val="008716A6"/>
    <w:rsid w:val="008716BD"/>
    <w:rsid w:val="00871988"/>
    <w:rsid w:val="00871AB1"/>
    <w:rsid w:val="00871D20"/>
    <w:rsid w:val="00871E5E"/>
    <w:rsid w:val="00871F1D"/>
    <w:rsid w:val="00871F61"/>
    <w:rsid w:val="008728FC"/>
    <w:rsid w:val="00872AA2"/>
    <w:rsid w:val="008730B1"/>
    <w:rsid w:val="00873267"/>
    <w:rsid w:val="00873463"/>
    <w:rsid w:val="008734B4"/>
    <w:rsid w:val="00873ADA"/>
    <w:rsid w:val="00873AFA"/>
    <w:rsid w:val="00873C70"/>
    <w:rsid w:val="00873DE9"/>
    <w:rsid w:val="00873F5D"/>
    <w:rsid w:val="008740DD"/>
    <w:rsid w:val="00874681"/>
    <w:rsid w:val="008746FF"/>
    <w:rsid w:val="00874CED"/>
    <w:rsid w:val="00874FF7"/>
    <w:rsid w:val="0087517A"/>
    <w:rsid w:val="008751B8"/>
    <w:rsid w:val="008757DF"/>
    <w:rsid w:val="00875D09"/>
    <w:rsid w:val="00876C38"/>
    <w:rsid w:val="00876E57"/>
    <w:rsid w:val="00877700"/>
    <w:rsid w:val="0088014D"/>
    <w:rsid w:val="008806FF"/>
    <w:rsid w:val="008808FE"/>
    <w:rsid w:val="00880A12"/>
    <w:rsid w:val="00881344"/>
    <w:rsid w:val="00881472"/>
    <w:rsid w:val="008816E0"/>
    <w:rsid w:val="00881DFB"/>
    <w:rsid w:val="00882446"/>
    <w:rsid w:val="008824B8"/>
    <w:rsid w:val="008825AA"/>
    <w:rsid w:val="00882BFE"/>
    <w:rsid w:val="00883066"/>
    <w:rsid w:val="00883330"/>
    <w:rsid w:val="008833AC"/>
    <w:rsid w:val="00883CC6"/>
    <w:rsid w:val="00883DB3"/>
    <w:rsid w:val="00884621"/>
    <w:rsid w:val="008849FD"/>
    <w:rsid w:val="00884A02"/>
    <w:rsid w:val="00884C4C"/>
    <w:rsid w:val="00884CE3"/>
    <w:rsid w:val="00884D06"/>
    <w:rsid w:val="00884EA1"/>
    <w:rsid w:val="00885907"/>
    <w:rsid w:val="00885C63"/>
    <w:rsid w:val="00885D1A"/>
    <w:rsid w:val="008866BC"/>
    <w:rsid w:val="008866C4"/>
    <w:rsid w:val="00886898"/>
    <w:rsid w:val="00886935"/>
    <w:rsid w:val="0088698C"/>
    <w:rsid w:val="008869C6"/>
    <w:rsid w:val="00886EBB"/>
    <w:rsid w:val="00886EBC"/>
    <w:rsid w:val="00887341"/>
    <w:rsid w:val="0088742A"/>
    <w:rsid w:val="00887A83"/>
    <w:rsid w:val="00887DB9"/>
    <w:rsid w:val="00887F9B"/>
    <w:rsid w:val="00890725"/>
    <w:rsid w:val="00890B35"/>
    <w:rsid w:val="00890D2F"/>
    <w:rsid w:val="00890ED2"/>
    <w:rsid w:val="00890EDC"/>
    <w:rsid w:val="008911D3"/>
    <w:rsid w:val="00891406"/>
    <w:rsid w:val="008916E3"/>
    <w:rsid w:val="008918AA"/>
    <w:rsid w:val="00891BF9"/>
    <w:rsid w:val="00891CBD"/>
    <w:rsid w:val="008922AA"/>
    <w:rsid w:val="008924B1"/>
    <w:rsid w:val="00892AB3"/>
    <w:rsid w:val="0089337B"/>
    <w:rsid w:val="00893ED8"/>
    <w:rsid w:val="00893F9B"/>
    <w:rsid w:val="008945D1"/>
    <w:rsid w:val="00894612"/>
    <w:rsid w:val="00894A10"/>
    <w:rsid w:val="00894A7B"/>
    <w:rsid w:val="00894AE4"/>
    <w:rsid w:val="00894C0A"/>
    <w:rsid w:val="00894D2B"/>
    <w:rsid w:val="00894E83"/>
    <w:rsid w:val="00894EFF"/>
    <w:rsid w:val="00894F8D"/>
    <w:rsid w:val="00894FB1"/>
    <w:rsid w:val="00894FE6"/>
    <w:rsid w:val="0089502D"/>
    <w:rsid w:val="00895388"/>
    <w:rsid w:val="008954B4"/>
    <w:rsid w:val="0089569C"/>
    <w:rsid w:val="0089638A"/>
    <w:rsid w:val="00896D37"/>
    <w:rsid w:val="00896D5F"/>
    <w:rsid w:val="00896D68"/>
    <w:rsid w:val="00897698"/>
    <w:rsid w:val="00897729"/>
    <w:rsid w:val="008977FC"/>
    <w:rsid w:val="00897DD9"/>
    <w:rsid w:val="008A0043"/>
    <w:rsid w:val="008A0448"/>
    <w:rsid w:val="008A0C03"/>
    <w:rsid w:val="008A0DAE"/>
    <w:rsid w:val="008A0DFB"/>
    <w:rsid w:val="008A0EAA"/>
    <w:rsid w:val="008A1873"/>
    <w:rsid w:val="008A1CE9"/>
    <w:rsid w:val="008A2042"/>
    <w:rsid w:val="008A2675"/>
    <w:rsid w:val="008A26FB"/>
    <w:rsid w:val="008A2899"/>
    <w:rsid w:val="008A2BC9"/>
    <w:rsid w:val="008A2E53"/>
    <w:rsid w:val="008A2F20"/>
    <w:rsid w:val="008A31CB"/>
    <w:rsid w:val="008A369C"/>
    <w:rsid w:val="008A387C"/>
    <w:rsid w:val="008A3C61"/>
    <w:rsid w:val="008A3CBD"/>
    <w:rsid w:val="008A3FCE"/>
    <w:rsid w:val="008A4272"/>
    <w:rsid w:val="008A42D3"/>
    <w:rsid w:val="008A46A4"/>
    <w:rsid w:val="008A4C08"/>
    <w:rsid w:val="008A4D14"/>
    <w:rsid w:val="008A4EC7"/>
    <w:rsid w:val="008A6055"/>
    <w:rsid w:val="008A6152"/>
    <w:rsid w:val="008A63B6"/>
    <w:rsid w:val="008A689B"/>
    <w:rsid w:val="008A68D3"/>
    <w:rsid w:val="008A6CD7"/>
    <w:rsid w:val="008A6D0E"/>
    <w:rsid w:val="008A7177"/>
    <w:rsid w:val="008A74FD"/>
    <w:rsid w:val="008A7AFB"/>
    <w:rsid w:val="008A7CC1"/>
    <w:rsid w:val="008B064D"/>
    <w:rsid w:val="008B07C9"/>
    <w:rsid w:val="008B128C"/>
    <w:rsid w:val="008B1441"/>
    <w:rsid w:val="008B19B9"/>
    <w:rsid w:val="008B1C31"/>
    <w:rsid w:val="008B1E69"/>
    <w:rsid w:val="008B27F3"/>
    <w:rsid w:val="008B2875"/>
    <w:rsid w:val="008B35DC"/>
    <w:rsid w:val="008B3AC6"/>
    <w:rsid w:val="008B3C04"/>
    <w:rsid w:val="008B3D53"/>
    <w:rsid w:val="008B4586"/>
    <w:rsid w:val="008B4725"/>
    <w:rsid w:val="008B4F56"/>
    <w:rsid w:val="008B5AE3"/>
    <w:rsid w:val="008B5BEE"/>
    <w:rsid w:val="008B6116"/>
    <w:rsid w:val="008B6700"/>
    <w:rsid w:val="008B6A65"/>
    <w:rsid w:val="008B6E35"/>
    <w:rsid w:val="008B6EBE"/>
    <w:rsid w:val="008B771C"/>
    <w:rsid w:val="008B7BAC"/>
    <w:rsid w:val="008B7D94"/>
    <w:rsid w:val="008C02A9"/>
    <w:rsid w:val="008C0862"/>
    <w:rsid w:val="008C08B5"/>
    <w:rsid w:val="008C0B48"/>
    <w:rsid w:val="008C0D07"/>
    <w:rsid w:val="008C18D4"/>
    <w:rsid w:val="008C1957"/>
    <w:rsid w:val="008C1B95"/>
    <w:rsid w:val="008C1D3A"/>
    <w:rsid w:val="008C2178"/>
    <w:rsid w:val="008C22D5"/>
    <w:rsid w:val="008C28FC"/>
    <w:rsid w:val="008C29E6"/>
    <w:rsid w:val="008C2CCD"/>
    <w:rsid w:val="008C3211"/>
    <w:rsid w:val="008C39B8"/>
    <w:rsid w:val="008C3EB2"/>
    <w:rsid w:val="008C4120"/>
    <w:rsid w:val="008C4345"/>
    <w:rsid w:val="008C4823"/>
    <w:rsid w:val="008C486F"/>
    <w:rsid w:val="008C4B1A"/>
    <w:rsid w:val="008C4B70"/>
    <w:rsid w:val="008C4B97"/>
    <w:rsid w:val="008C4CC5"/>
    <w:rsid w:val="008C5204"/>
    <w:rsid w:val="008C57D4"/>
    <w:rsid w:val="008C5B06"/>
    <w:rsid w:val="008C60EF"/>
    <w:rsid w:val="008C674B"/>
    <w:rsid w:val="008C67ED"/>
    <w:rsid w:val="008C6FB1"/>
    <w:rsid w:val="008C7152"/>
    <w:rsid w:val="008C724D"/>
    <w:rsid w:val="008C724F"/>
    <w:rsid w:val="008C7346"/>
    <w:rsid w:val="008C73BD"/>
    <w:rsid w:val="008C7695"/>
    <w:rsid w:val="008C76A6"/>
    <w:rsid w:val="008C796F"/>
    <w:rsid w:val="008C7C39"/>
    <w:rsid w:val="008C7D6B"/>
    <w:rsid w:val="008C7F58"/>
    <w:rsid w:val="008D0055"/>
    <w:rsid w:val="008D0D22"/>
    <w:rsid w:val="008D0D70"/>
    <w:rsid w:val="008D0F60"/>
    <w:rsid w:val="008D123B"/>
    <w:rsid w:val="008D1754"/>
    <w:rsid w:val="008D17F0"/>
    <w:rsid w:val="008D18E7"/>
    <w:rsid w:val="008D1B4E"/>
    <w:rsid w:val="008D1C02"/>
    <w:rsid w:val="008D1C8F"/>
    <w:rsid w:val="008D23B8"/>
    <w:rsid w:val="008D2561"/>
    <w:rsid w:val="008D26B0"/>
    <w:rsid w:val="008D2CF5"/>
    <w:rsid w:val="008D34B0"/>
    <w:rsid w:val="008D37C8"/>
    <w:rsid w:val="008D3C50"/>
    <w:rsid w:val="008D403E"/>
    <w:rsid w:val="008D4376"/>
    <w:rsid w:val="008D47E9"/>
    <w:rsid w:val="008D48BE"/>
    <w:rsid w:val="008D4D6E"/>
    <w:rsid w:val="008D5FF0"/>
    <w:rsid w:val="008D619E"/>
    <w:rsid w:val="008D6327"/>
    <w:rsid w:val="008D6551"/>
    <w:rsid w:val="008D65DF"/>
    <w:rsid w:val="008D66D1"/>
    <w:rsid w:val="008D77C9"/>
    <w:rsid w:val="008D78EB"/>
    <w:rsid w:val="008D7922"/>
    <w:rsid w:val="008D7C3B"/>
    <w:rsid w:val="008E027F"/>
    <w:rsid w:val="008E051E"/>
    <w:rsid w:val="008E0528"/>
    <w:rsid w:val="008E0588"/>
    <w:rsid w:val="008E0A26"/>
    <w:rsid w:val="008E0B28"/>
    <w:rsid w:val="008E143B"/>
    <w:rsid w:val="008E157C"/>
    <w:rsid w:val="008E188F"/>
    <w:rsid w:val="008E20FB"/>
    <w:rsid w:val="008E22DE"/>
    <w:rsid w:val="008E25C6"/>
    <w:rsid w:val="008E2631"/>
    <w:rsid w:val="008E2C95"/>
    <w:rsid w:val="008E2E85"/>
    <w:rsid w:val="008E357B"/>
    <w:rsid w:val="008E3634"/>
    <w:rsid w:val="008E39A1"/>
    <w:rsid w:val="008E3C93"/>
    <w:rsid w:val="008E3D7E"/>
    <w:rsid w:val="008E3EEA"/>
    <w:rsid w:val="008E5884"/>
    <w:rsid w:val="008E5BA9"/>
    <w:rsid w:val="008E5D4D"/>
    <w:rsid w:val="008E5F52"/>
    <w:rsid w:val="008E634E"/>
    <w:rsid w:val="008E689F"/>
    <w:rsid w:val="008E6941"/>
    <w:rsid w:val="008E6B78"/>
    <w:rsid w:val="008E6D91"/>
    <w:rsid w:val="008E6DA4"/>
    <w:rsid w:val="008E6EA3"/>
    <w:rsid w:val="008E7822"/>
    <w:rsid w:val="008E7A21"/>
    <w:rsid w:val="008E7AA6"/>
    <w:rsid w:val="008E7D93"/>
    <w:rsid w:val="008E7DD1"/>
    <w:rsid w:val="008E7FA1"/>
    <w:rsid w:val="008F0170"/>
    <w:rsid w:val="008F0582"/>
    <w:rsid w:val="008F0739"/>
    <w:rsid w:val="008F087B"/>
    <w:rsid w:val="008F08D8"/>
    <w:rsid w:val="008F105D"/>
    <w:rsid w:val="008F1171"/>
    <w:rsid w:val="008F183A"/>
    <w:rsid w:val="008F1D18"/>
    <w:rsid w:val="008F1F82"/>
    <w:rsid w:val="008F23B2"/>
    <w:rsid w:val="008F2557"/>
    <w:rsid w:val="008F2674"/>
    <w:rsid w:val="008F2BF2"/>
    <w:rsid w:val="008F3030"/>
    <w:rsid w:val="008F3565"/>
    <w:rsid w:val="008F3819"/>
    <w:rsid w:val="008F38D3"/>
    <w:rsid w:val="008F38DF"/>
    <w:rsid w:val="008F3D0C"/>
    <w:rsid w:val="008F4DDD"/>
    <w:rsid w:val="008F4E64"/>
    <w:rsid w:val="008F4EFB"/>
    <w:rsid w:val="008F53B5"/>
    <w:rsid w:val="008F53FC"/>
    <w:rsid w:val="008F59A8"/>
    <w:rsid w:val="008F5DC3"/>
    <w:rsid w:val="008F6137"/>
    <w:rsid w:val="008F63C7"/>
    <w:rsid w:val="008F63DB"/>
    <w:rsid w:val="008F64F5"/>
    <w:rsid w:val="008F664F"/>
    <w:rsid w:val="008F6732"/>
    <w:rsid w:val="008F6840"/>
    <w:rsid w:val="008F7067"/>
    <w:rsid w:val="008F72B5"/>
    <w:rsid w:val="008F734B"/>
    <w:rsid w:val="008F76B2"/>
    <w:rsid w:val="008F7C28"/>
    <w:rsid w:val="0090004B"/>
    <w:rsid w:val="00900077"/>
    <w:rsid w:val="00900432"/>
    <w:rsid w:val="00900479"/>
    <w:rsid w:val="0090047B"/>
    <w:rsid w:val="00900ED8"/>
    <w:rsid w:val="0090153B"/>
    <w:rsid w:val="00901A5E"/>
    <w:rsid w:val="009021D1"/>
    <w:rsid w:val="009026BC"/>
    <w:rsid w:val="00902EAE"/>
    <w:rsid w:val="009031EE"/>
    <w:rsid w:val="00903492"/>
    <w:rsid w:val="00903645"/>
    <w:rsid w:val="009039EC"/>
    <w:rsid w:val="00903F4D"/>
    <w:rsid w:val="00904075"/>
    <w:rsid w:val="009042DA"/>
    <w:rsid w:val="009044CC"/>
    <w:rsid w:val="00904668"/>
    <w:rsid w:val="00904757"/>
    <w:rsid w:val="009047DF"/>
    <w:rsid w:val="009048CB"/>
    <w:rsid w:val="009057F7"/>
    <w:rsid w:val="0090597B"/>
    <w:rsid w:val="009059F8"/>
    <w:rsid w:val="00905BBB"/>
    <w:rsid w:val="00905D0F"/>
    <w:rsid w:val="009068E0"/>
    <w:rsid w:val="00906B04"/>
    <w:rsid w:val="009074B6"/>
    <w:rsid w:val="009076E4"/>
    <w:rsid w:val="00907B2B"/>
    <w:rsid w:val="00907BDB"/>
    <w:rsid w:val="00907D32"/>
    <w:rsid w:val="00907D7A"/>
    <w:rsid w:val="00907E5B"/>
    <w:rsid w:val="00907E6F"/>
    <w:rsid w:val="009107AD"/>
    <w:rsid w:val="00910B3A"/>
    <w:rsid w:val="009116A9"/>
    <w:rsid w:val="009118ED"/>
    <w:rsid w:val="00911A6B"/>
    <w:rsid w:val="00911D4E"/>
    <w:rsid w:val="009125F6"/>
    <w:rsid w:val="00912A72"/>
    <w:rsid w:val="00913620"/>
    <w:rsid w:val="00913648"/>
    <w:rsid w:val="00913A39"/>
    <w:rsid w:val="00913A53"/>
    <w:rsid w:val="00913D35"/>
    <w:rsid w:val="0091466B"/>
    <w:rsid w:val="00914C6D"/>
    <w:rsid w:val="00914D0F"/>
    <w:rsid w:val="00914EE5"/>
    <w:rsid w:val="00915102"/>
    <w:rsid w:val="009155B0"/>
    <w:rsid w:val="009156A4"/>
    <w:rsid w:val="00915890"/>
    <w:rsid w:val="00916047"/>
    <w:rsid w:val="009165F1"/>
    <w:rsid w:val="0091728B"/>
    <w:rsid w:val="0091738D"/>
    <w:rsid w:val="00917656"/>
    <w:rsid w:val="00917C28"/>
    <w:rsid w:val="00920452"/>
    <w:rsid w:val="0092050E"/>
    <w:rsid w:val="00920974"/>
    <w:rsid w:val="0092097E"/>
    <w:rsid w:val="00920FC9"/>
    <w:rsid w:val="009215CE"/>
    <w:rsid w:val="00921632"/>
    <w:rsid w:val="009217F8"/>
    <w:rsid w:val="00921EC2"/>
    <w:rsid w:val="009223B4"/>
    <w:rsid w:val="009224E1"/>
    <w:rsid w:val="009224FC"/>
    <w:rsid w:val="00922B1B"/>
    <w:rsid w:val="00922B5D"/>
    <w:rsid w:val="00923234"/>
    <w:rsid w:val="00923333"/>
    <w:rsid w:val="0092378F"/>
    <w:rsid w:val="009237BA"/>
    <w:rsid w:val="00923847"/>
    <w:rsid w:val="00924076"/>
    <w:rsid w:val="0092410F"/>
    <w:rsid w:val="009242C2"/>
    <w:rsid w:val="00924526"/>
    <w:rsid w:val="00924562"/>
    <w:rsid w:val="00924890"/>
    <w:rsid w:val="00924B48"/>
    <w:rsid w:val="00924D47"/>
    <w:rsid w:val="009251E2"/>
    <w:rsid w:val="0092555D"/>
    <w:rsid w:val="00925928"/>
    <w:rsid w:val="0092595C"/>
    <w:rsid w:val="009259DB"/>
    <w:rsid w:val="00925A55"/>
    <w:rsid w:val="00925B5F"/>
    <w:rsid w:val="00925C4B"/>
    <w:rsid w:val="00925E50"/>
    <w:rsid w:val="009260E1"/>
    <w:rsid w:val="00926418"/>
    <w:rsid w:val="0092648A"/>
    <w:rsid w:val="00926694"/>
    <w:rsid w:val="009269D7"/>
    <w:rsid w:val="00926CF7"/>
    <w:rsid w:val="00926E97"/>
    <w:rsid w:val="00926EAB"/>
    <w:rsid w:val="0092709A"/>
    <w:rsid w:val="00927166"/>
    <w:rsid w:val="009279A3"/>
    <w:rsid w:val="00927D8B"/>
    <w:rsid w:val="00927EBA"/>
    <w:rsid w:val="009303B3"/>
    <w:rsid w:val="0093078D"/>
    <w:rsid w:val="009309BB"/>
    <w:rsid w:val="00930A95"/>
    <w:rsid w:val="00930ACC"/>
    <w:rsid w:val="00930B6E"/>
    <w:rsid w:val="00931165"/>
    <w:rsid w:val="0093135D"/>
    <w:rsid w:val="0093156D"/>
    <w:rsid w:val="009316B4"/>
    <w:rsid w:val="00931929"/>
    <w:rsid w:val="009319BE"/>
    <w:rsid w:val="00931A98"/>
    <w:rsid w:val="00931ACC"/>
    <w:rsid w:val="00931FBD"/>
    <w:rsid w:val="00932174"/>
    <w:rsid w:val="00932536"/>
    <w:rsid w:val="009326E5"/>
    <w:rsid w:val="0093291D"/>
    <w:rsid w:val="009329AA"/>
    <w:rsid w:val="00932B33"/>
    <w:rsid w:val="00932D37"/>
    <w:rsid w:val="00932D67"/>
    <w:rsid w:val="00933170"/>
    <w:rsid w:val="0093324D"/>
    <w:rsid w:val="00933649"/>
    <w:rsid w:val="0093381F"/>
    <w:rsid w:val="0093407D"/>
    <w:rsid w:val="009340C4"/>
    <w:rsid w:val="0093426A"/>
    <w:rsid w:val="009344FF"/>
    <w:rsid w:val="00934E3A"/>
    <w:rsid w:val="009351C4"/>
    <w:rsid w:val="009355AB"/>
    <w:rsid w:val="00935624"/>
    <w:rsid w:val="00935729"/>
    <w:rsid w:val="00935857"/>
    <w:rsid w:val="00935A20"/>
    <w:rsid w:val="00935B41"/>
    <w:rsid w:val="00935C78"/>
    <w:rsid w:val="00935CEF"/>
    <w:rsid w:val="00935D43"/>
    <w:rsid w:val="00936513"/>
    <w:rsid w:val="00936C20"/>
    <w:rsid w:val="00936DF0"/>
    <w:rsid w:val="00937034"/>
    <w:rsid w:val="00937222"/>
    <w:rsid w:val="009375FC"/>
    <w:rsid w:val="00937640"/>
    <w:rsid w:val="009377F7"/>
    <w:rsid w:val="009403F7"/>
    <w:rsid w:val="0094055E"/>
    <w:rsid w:val="009407D0"/>
    <w:rsid w:val="00940A19"/>
    <w:rsid w:val="00940C9E"/>
    <w:rsid w:val="00940CD6"/>
    <w:rsid w:val="00940EDE"/>
    <w:rsid w:val="0094126F"/>
    <w:rsid w:val="00941750"/>
    <w:rsid w:val="00941BA9"/>
    <w:rsid w:val="00941D18"/>
    <w:rsid w:val="00941F81"/>
    <w:rsid w:val="009425EF"/>
    <w:rsid w:val="00942D7F"/>
    <w:rsid w:val="00942F31"/>
    <w:rsid w:val="0094318D"/>
    <w:rsid w:val="009433DA"/>
    <w:rsid w:val="009433DC"/>
    <w:rsid w:val="009435DC"/>
    <w:rsid w:val="00943B6C"/>
    <w:rsid w:val="00943C39"/>
    <w:rsid w:val="00943D76"/>
    <w:rsid w:val="00943E45"/>
    <w:rsid w:val="00943E91"/>
    <w:rsid w:val="00943FD8"/>
    <w:rsid w:val="009445C1"/>
    <w:rsid w:val="009448D7"/>
    <w:rsid w:val="00944E6D"/>
    <w:rsid w:val="00945004"/>
    <w:rsid w:val="009455E7"/>
    <w:rsid w:val="0094572E"/>
    <w:rsid w:val="00945EE8"/>
    <w:rsid w:val="00945F53"/>
    <w:rsid w:val="00945FA3"/>
    <w:rsid w:val="00946212"/>
    <w:rsid w:val="0094657B"/>
    <w:rsid w:val="00946871"/>
    <w:rsid w:val="0094692B"/>
    <w:rsid w:val="00946BD6"/>
    <w:rsid w:val="0094708F"/>
    <w:rsid w:val="0094715E"/>
    <w:rsid w:val="009471CF"/>
    <w:rsid w:val="0094756B"/>
    <w:rsid w:val="0094758F"/>
    <w:rsid w:val="0094782E"/>
    <w:rsid w:val="0095003D"/>
    <w:rsid w:val="009500E4"/>
    <w:rsid w:val="00950556"/>
    <w:rsid w:val="0095059F"/>
    <w:rsid w:val="009507A5"/>
    <w:rsid w:val="00950828"/>
    <w:rsid w:val="009510E8"/>
    <w:rsid w:val="00951458"/>
    <w:rsid w:val="009517A5"/>
    <w:rsid w:val="0095189F"/>
    <w:rsid w:val="009518C6"/>
    <w:rsid w:val="00951A10"/>
    <w:rsid w:val="00951B30"/>
    <w:rsid w:val="00951B6B"/>
    <w:rsid w:val="00951C12"/>
    <w:rsid w:val="00951DC0"/>
    <w:rsid w:val="00951E0E"/>
    <w:rsid w:val="00951E18"/>
    <w:rsid w:val="00951FC7"/>
    <w:rsid w:val="0095258C"/>
    <w:rsid w:val="009526E8"/>
    <w:rsid w:val="00952A62"/>
    <w:rsid w:val="00952C44"/>
    <w:rsid w:val="00952F14"/>
    <w:rsid w:val="00953255"/>
    <w:rsid w:val="009537B9"/>
    <w:rsid w:val="00953CF0"/>
    <w:rsid w:val="0095400C"/>
    <w:rsid w:val="0095412E"/>
    <w:rsid w:val="00954383"/>
    <w:rsid w:val="00954627"/>
    <w:rsid w:val="00954702"/>
    <w:rsid w:val="00954D79"/>
    <w:rsid w:val="00954F27"/>
    <w:rsid w:val="00955021"/>
    <w:rsid w:val="00955349"/>
    <w:rsid w:val="00955520"/>
    <w:rsid w:val="00955EF5"/>
    <w:rsid w:val="00956A6B"/>
    <w:rsid w:val="00956C1B"/>
    <w:rsid w:val="00956E2D"/>
    <w:rsid w:val="0095719C"/>
    <w:rsid w:val="009573F8"/>
    <w:rsid w:val="00957422"/>
    <w:rsid w:val="00957782"/>
    <w:rsid w:val="00957817"/>
    <w:rsid w:val="00957A48"/>
    <w:rsid w:val="00957F85"/>
    <w:rsid w:val="00957FC8"/>
    <w:rsid w:val="009602A3"/>
    <w:rsid w:val="0096031E"/>
    <w:rsid w:val="0096068A"/>
    <w:rsid w:val="009606A4"/>
    <w:rsid w:val="009607A8"/>
    <w:rsid w:val="0096095E"/>
    <w:rsid w:val="0096097E"/>
    <w:rsid w:val="00960CE1"/>
    <w:rsid w:val="009613B1"/>
    <w:rsid w:val="00961D54"/>
    <w:rsid w:val="00961E14"/>
    <w:rsid w:val="00962174"/>
    <w:rsid w:val="009626ED"/>
    <w:rsid w:val="00962983"/>
    <w:rsid w:val="00962BD7"/>
    <w:rsid w:val="00962D04"/>
    <w:rsid w:val="00962D77"/>
    <w:rsid w:val="00963467"/>
    <w:rsid w:val="009639EA"/>
    <w:rsid w:val="00963A34"/>
    <w:rsid w:val="00963B2D"/>
    <w:rsid w:val="00963BFB"/>
    <w:rsid w:val="00964328"/>
    <w:rsid w:val="009644F6"/>
    <w:rsid w:val="009648F3"/>
    <w:rsid w:val="00964C6C"/>
    <w:rsid w:val="00965492"/>
    <w:rsid w:val="009655B6"/>
    <w:rsid w:val="00965B8C"/>
    <w:rsid w:val="00966102"/>
    <w:rsid w:val="0096697F"/>
    <w:rsid w:val="00966A65"/>
    <w:rsid w:val="00966AAF"/>
    <w:rsid w:val="009674C5"/>
    <w:rsid w:val="0096794F"/>
    <w:rsid w:val="00967B22"/>
    <w:rsid w:val="00967B4C"/>
    <w:rsid w:val="0097003E"/>
    <w:rsid w:val="00970750"/>
    <w:rsid w:val="00970E86"/>
    <w:rsid w:val="00970F2C"/>
    <w:rsid w:val="00971036"/>
    <w:rsid w:val="00971156"/>
    <w:rsid w:val="00971288"/>
    <w:rsid w:val="009719A9"/>
    <w:rsid w:val="00971FD6"/>
    <w:rsid w:val="009721C4"/>
    <w:rsid w:val="009728EF"/>
    <w:rsid w:val="00972E99"/>
    <w:rsid w:val="00973172"/>
    <w:rsid w:val="0097324D"/>
    <w:rsid w:val="009735B1"/>
    <w:rsid w:val="0097408F"/>
    <w:rsid w:val="0097461F"/>
    <w:rsid w:val="00974685"/>
    <w:rsid w:val="009746A5"/>
    <w:rsid w:val="009747A1"/>
    <w:rsid w:val="00974DDE"/>
    <w:rsid w:val="00975056"/>
    <w:rsid w:val="009752F1"/>
    <w:rsid w:val="00975405"/>
    <w:rsid w:val="00975E04"/>
    <w:rsid w:val="0097600A"/>
    <w:rsid w:val="009761A3"/>
    <w:rsid w:val="0097693B"/>
    <w:rsid w:val="00976D2D"/>
    <w:rsid w:val="00976DD6"/>
    <w:rsid w:val="0097763E"/>
    <w:rsid w:val="009776DC"/>
    <w:rsid w:val="00977A6D"/>
    <w:rsid w:val="00977EC4"/>
    <w:rsid w:val="009801FC"/>
    <w:rsid w:val="009805D7"/>
    <w:rsid w:val="009806B5"/>
    <w:rsid w:val="009807C8"/>
    <w:rsid w:val="00980B59"/>
    <w:rsid w:val="00980F11"/>
    <w:rsid w:val="00980FC8"/>
    <w:rsid w:val="00980FCC"/>
    <w:rsid w:val="0098123D"/>
    <w:rsid w:val="00981331"/>
    <w:rsid w:val="00982602"/>
    <w:rsid w:val="009830F5"/>
    <w:rsid w:val="00983211"/>
    <w:rsid w:val="0098358A"/>
    <w:rsid w:val="0098394C"/>
    <w:rsid w:val="00983AEB"/>
    <w:rsid w:val="00984110"/>
    <w:rsid w:val="00984380"/>
    <w:rsid w:val="00984575"/>
    <w:rsid w:val="009845C6"/>
    <w:rsid w:val="009847E1"/>
    <w:rsid w:val="00984C50"/>
    <w:rsid w:val="009852B0"/>
    <w:rsid w:val="00985364"/>
    <w:rsid w:val="00985494"/>
    <w:rsid w:val="00985BB5"/>
    <w:rsid w:val="00985BFB"/>
    <w:rsid w:val="00985C23"/>
    <w:rsid w:val="00985EBB"/>
    <w:rsid w:val="00985EF8"/>
    <w:rsid w:val="00985F8E"/>
    <w:rsid w:val="00985F8F"/>
    <w:rsid w:val="00986010"/>
    <w:rsid w:val="0098603D"/>
    <w:rsid w:val="0098627B"/>
    <w:rsid w:val="009869A3"/>
    <w:rsid w:val="00986B0D"/>
    <w:rsid w:val="00986B15"/>
    <w:rsid w:val="00986DE6"/>
    <w:rsid w:val="00986E02"/>
    <w:rsid w:val="009872E5"/>
    <w:rsid w:val="00987BC6"/>
    <w:rsid w:val="00987F06"/>
    <w:rsid w:val="009900AC"/>
    <w:rsid w:val="00990249"/>
    <w:rsid w:val="0099058F"/>
    <w:rsid w:val="00990904"/>
    <w:rsid w:val="00990C3E"/>
    <w:rsid w:val="0099140C"/>
    <w:rsid w:val="009914A7"/>
    <w:rsid w:val="00991A6E"/>
    <w:rsid w:val="00991AD5"/>
    <w:rsid w:val="00991EB1"/>
    <w:rsid w:val="00991ED7"/>
    <w:rsid w:val="009921BD"/>
    <w:rsid w:val="0099269E"/>
    <w:rsid w:val="009926BF"/>
    <w:rsid w:val="009929BE"/>
    <w:rsid w:val="009929E8"/>
    <w:rsid w:val="00992ABB"/>
    <w:rsid w:val="00992BCE"/>
    <w:rsid w:val="00993347"/>
    <w:rsid w:val="00993442"/>
    <w:rsid w:val="009934D2"/>
    <w:rsid w:val="009938C4"/>
    <w:rsid w:val="00993D42"/>
    <w:rsid w:val="00993EED"/>
    <w:rsid w:val="0099413B"/>
    <w:rsid w:val="00994180"/>
    <w:rsid w:val="00994296"/>
    <w:rsid w:val="00995028"/>
    <w:rsid w:val="0099566C"/>
    <w:rsid w:val="009961D3"/>
    <w:rsid w:val="00996503"/>
    <w:rsid w:val="009967DE"/>
    <w:rsid w:val="009970BF"/>
    <w:rsid w:val="00997342"/>
    <w:rsid w:val="00997450"/>
    <w:rsid w:val="00997683"/>
    <w:rsid w:val="009978E1"/>
    <w:rsid w:val="009979D1"/>
    <w:rsid w:val="009A05A4"/>
    <w:rsid w:val="009A05BD"/>
    <w:rsid w:val="009A05C1"/>
    <w:rsid w:val="009A0AA8"/>
    <w:rsid w:val="009A0C00"/>
    <w:rsid w:val="009A11FA"/>
    <w:rsid w:val="009A12FE"/>
    <w:rsid w:val="009A166D"/>
    <w:rsid w:val="009A177D"/>
    <w:rsid w:val="009A17E2"/>
    <w:rsid w:val="009A19DA"/>
    <w:rsid w:val="009A2211"/>
    <w:rsid w:val="009A2506"/>
    <w:rsid w:val="009A2789"/>
    <w:rsid w:val="009A2D65"/>
    <w:rsid w:val="009A3234"/>
    <w:rsid w:val="009A33C7"/>
    <w:rsid w:val="009A3649"/>
    <w:rsid w:val="009A3655"/>
    <w:rsid w:val="009A3731"/>
    <w:rsid w:val="009A43F1"/>
    <w:rsid w:val="009A4845"/>
    <w:rsid w:val="009A4C72"/>
    <w:rsid w:val="009A4CB7"/>
    <w:rsid w:val="009A4F4B"/>
    <w:rsid w:val="009A4FDD"/>
    <w:rsid w:val="009A5857"/>
    <w:rsid w:val="009A5B4F"/>
    <w:rsid w:val="009A5FA0"/>
    <w:rsid w:val="009A658C"/>
    <w:rsid w:val="009A6B8D"/>
    <w:rsid w:val="009A6D55"/>
    <w:rsid w:val="009A6E65"/>
    <w:rsid w:val="009A6F9B"/>
    <w:rsid w:val="009A7074"/>
    <w:rsid w:val="009A733C"/>
    <w:rsid w:val="009A76F8"/>
    <w:rsid w:val="009A7AA9"/>
    <w:rsid w:val="009B011B"/>
    <w:rsid w:val="009B06D6"/>
    <w:rsid w:val="009B075E"/>
    <w:rsid w:val="009B0AAB"/>
    <w:rsid w:val="009B0AF9"/>
    <w:rsid w:val="009B0CA6"/>
    <w:rsid w:val="009B1079"/>
    <w:rsid w:val="009B12F1"/>
    <w:rsid w:val="009B1313"/>
    <w:rsid w:val="009B19FF"/>
    <w:rsid w:val="009B1C7A"/>
    <w:rsid w:val="009B1D08"/>
    <w:rsid w:val="009B1D79"/>
    <w:rsid w:val="009B1E8B"/>
    <w:rsid w:val="009B2020"/>
    <w:rsid w:val="009B2072"/>
    <w:rsid w:val="009B2DF0"/>
    <w:rsid w:val="009B2F12"/>
    <w:rsid w:val="009B32A7"/>
    <w:rsid w:val="009B36DD"/>
    <w:rsid w:val="009B3948"/>
    <w:rsid w:val="009B3A93"/>
    <w:rsid w:val="009B3DCB"/>
    <w:rsid w:val="009B416A"/>
    <w:rsid w:val="009B479D"/>
    <w:rsid w:val="009B4DBD"/>
    <w:rsid w:val="009B4E03"/>
    <w:rsid w:val="009B5175"/>
    <w:rsid w:val="009B52AF"/>
    <w:rsid w:val="009B52D6"/>
    <w:rsid w:val="009B558E"/>
    <w:rsid w:val="009B6306"/>
    <w:rsid w:val="009B6BFB"/>
    <w:rsid w:val="009B6CBC"/>
    <w:rsid w:val="009B6D4A"/>
    <w:rsid w:val="009B70AD"/>
    <w:rsid w:val="009B73DC"/>
    <w:rsid w:val="009B7816"/>
    <w:rsid w:val="009B7DCC"/>
    <w:rsid w:val="009B7F96"/>
    <w:rsid w:val="009C00C7"/>
    <w:rsid w:val="009C0122"/>
    <w:rsid w:val="009C068F"/>
    <w:rsid w:val="009C0A89"/>
    <w:rsid w:val="009C0B3B"/>
    <w:rsid w:val="009C0DD0"/>
    <w:rsid w:val="009C1087"/>
    <w:rsid w:val="009C15A8"/>
    <w:rsid w:val="009C1793"/>
    <w:rsid w:val="009C18C5"/>
    <w:rsid w:val="009C18D2"/>
    <w:rsid w:val="009C2205"/>
    <w:rsid w:val="009C244C"/>
    <w:rsid w:val="009C25E2"/>
    <w:rsid w:val="009C2DAA"/>
    <w:rsid w:val="009C3433"/>
    <w:rsid w:val="009C3A15"/>
    <w:rsid w:val="009C3B98"/>
    <w:rsid w:val="009C3DE2"/>
    <w:rsid w:val="009C3EBD"/>
    <w:rsid w:val="009C420B"/>
    <w:rsid w:val="009C48ED"/>
    <w:rsid w:val="009C493C"/>
    <w:rsid w:val="009C4A5B"/>
    <w:rsid w:val="009C4A78"/>
    <w:rsid w:val="009C4B21"/>
    <w:rsid w:val="009C5054"/>
    <w:rsid w:val="009C5062"/>
    <w:rsid w:val="009C57E8"/>
    <w:rsid w:val="009C5B44"/>
    <w:rsid w:val="009C5CBA"/>
    <w:rsid w:val="009C60C2"/>
    <w:rsid w:val="009C6134"/>
    <w:rsid w:val="009C652D"/>
    <w:rsid w:val="009C656C"/>
    <w:rsid w:val="009C6701"/>
    <w:rsid w:val="009C6856"/>
    <w:rsid w:val="009C68F4"/>
    <w:rsid w:val="009C6926"/>
    <w:rsid w:val="009C69CC"/>
    <w:rsid w:val="009C69F5"/>
    <w:rsid w:val="009C6A40"/>
    <w:rsid w:val="009C6BC9"/>
    <w:rsid w:val="009C6C3E"/>
    <w:rsid w:val="009C73FC"/>
    <w:rsid w:val="009C78B9"/>
    <w:rsid w:val="009D01BE"/>
    <w:rsid w:val="009D0368"/>
    <w:rsid w:val="009D0A30"/>
    <w:rsid w:val="009D0A93"/>
    <w:rsid w:val="009D0E57"/>
    <w:rsid w:val="009D0F25"/>
    <w:rsid w:val="009D11F0"/>
    <w:rsid w:val="009D1320"/>
    <w:rsid w:val="009D137D"/>
    <w:rsid w:val="009D1583"/>
    <w:rsid w:val="009D16AA"/>
    <w:rsid w:val="009D1E13"/>
    <w:rsid w:val="009D1FAC"/>
    <w:rsid w:val="009D2046"/>
    <w:rsid w:val="009D2399"/>
    <w:rsid w:val="009D256C"/>
    <w:rsid w:val="009D31C7"/>
    <w:rsid w:val="009D3939"/>
    <w:rsid w:val="009D395A"/>
    <w:rsid w:val="009D3B7E"/>
    <w:rsid w:val="009D3CCB"/>
    <w:rsid w:val="009D3FA2"/>
    <w:rsid w:val="009D4044"/>
    <w:rsid w:val="009D44E4"/>
    <w:rsid w:val="009D4699"/>
    <w:rsid w:val="009D4A35"/>
    <w:rsid w:val="009D4CBB"/>
    <w:rsid w:val="009D5706"/>
    <w:rsid w:val="009D57A2"/>
    <w:rsid w:val="009D5A61"/>
    <w:rsid w:val="009D5B97"/>
    <w:rsid w:val="009D5B9E"/>
    <w:rsid w:val="009D5BE2"/>
    <w:rsid w:val="009D601E"/>
    <w:rsid w:val="009D6349"/>
    <w:rsid w:val="009D66C4"/>
    <w:rsid w:val="009D6A5C"/>
    <w:rsid w:val="009D6AD8"/>
    <w:rsid w:val="009D6DDB"/>
    <w:rsid w:val="009D7065"/>
    <w:rsid w:val="009D7874"/>
    <w:rsid w:val="009D78B4"/>
    <w:rsid w:val="009E0218"/>
    <w:rsid w:val="009E0288"/>
    <w:rsid w:val="009E056B"/>
    <w:rsid w:val="009E059F"/>
    <w:rsid w:val="009E075C"/>
    <w:rsid w:val="009E08E4"/>
    <w:rsid w:val="009E132F"/>
    <w:rsid w:val="009E1773"/>
    <w:rsid w:val="009E199D"/>
    <w:rsid w:val="009E1A38"/>
    <w:rsid w:val="009E1AAB"/>
    <w:rsid w:val="009E20D8"/>
    <w:rsid w:val="009E244F"/>
    <w:rsid w:val="009E3082"/>
    <w:rsid w:val="009E332A"/>
    <w:rsid w:val="009E36BD"/>
    <w:rsid w:val="009E3B9D"/>
    <w:rsid w:val="009E3D15"/>
    <w:rsid w:val="009E3D6E"/>
    <w:rsid w:val="009E4159"/>
    <w:rsid w:val="009E42A8"/>
    <w:rsid w:val="009E46A8"/>
    <w:rsid w:val="009E4B50"/>
    <w:rsid w:val="009E4C64"/>
    <w:rsid w:val="009E5227"/>
    <w:rsid w:val="009E5659"/>
    <w:rsid w:val="009E5C5B"/>
    <w:rsid w:val="009E5D0E"/>
    <w:rsid w:val="009E5E3C"/>
    <w:rsid w:val="009E677A"/>
    <w:rsid w:val="009E6851"/>
    <w:rsid w:val="009E6E18"/>
    <w:rsid w:val="009E7661"/>
    <w:rsid w:val="009E767E"/>
    <w:rsid w:val="009E7E98"/>
    <w:rsid w:val="009F02F7"/>
    <w:rsid w:val="009F08F1"/>
    <w:rsid w:val="009F08F9"/>
    <w:rsid w:val="009F0C44"/>
    <w:rsid w:val="009F115A"/>
    <w:rsid w:val="009F138D"/>
    <w:rsid w:val="009F176A"/>
    <w:rsid w:val="009F1C6E"/>
    <w:rsid w:val="009F21F6"/>
    <w:rsid w:val="009F2370"/>
    <w:rsid w:val="009F2D7A"/>
    <w:rsid w:val="009F2DEE"/>
    <w:rsid w:val="009F311E"/>
    <w:rsid w:val="009F370A"/>
    <w:rsid w:val="009F3D3D"/>
    <w:rsid w:val="009F4228"/>
    <w:rsid w:val="009F48DF"/>
    <w:rsid w:val="009F4D9B"/>
    <w:rsid w:val="009F521F"/>
    <w:rsid w:val="009F5431"/>
    <w:rsid w:val="009F58F6"/>
    <w:rsid w:val="009F5D23"/>
    <w:rsid w:val="009F5F6F"/>
    <w:rsid w:val="009F6293"/>
    <w:rsid w:val="009F62A7"/>
    <w:rsid w:val="009F6635"/>
    <w:rsid w:val="009F66D8"/>
    <w:rsid w:val="009F67A0"/>
    <w:rsid w:val="009F690F"/>
    <w:rsid w:val="009F6AB1"/>
    <w:rsid w:val="009F6C45"/>
    <w:rsid w:val="009F70BC"/>
    <w:rsid w:val="009F7411"/>
    <w:rsid w:val="009F7466"/>
    <w:rsid w:val="009F789B"/>
    <w:rsid w:val="009F795D"/>
    <w:rsid w:val="009F79F8"/>
    <w:rsid w:val="00A000B3"/>
    <w:rsid w:val="00A00492"/>
    <w:rsid w:val="00A00B06"/>
    <w:rsid w:val="00A00B1F"/>
    <w:rsid w:val="00A00B36"/>
    <w:rsid w:val="00A00E11"/>
    <w:rsid w:val="00A00FB5"/>
    <w:rsid w:val="00A01213"/>
    <w:rsid w:val="00A014B0"/>
    <w:rsid w:val="00A016AF"/>
    <w:rsid w:val="00A01CEF"/>
    <w:rsid w:val="00A01F01"/>
    <w:rsid w:val="00A022FB"/>
    <w:rsid w:val="00A02313"/>
    <w:rsid w:val="00A023FD"/>
    <w:rsid w:val="00A0246E"/>
    <w:rsid w:val="00A02714"/>
    <w:rsid w:val="00A027AD"/>
    <w:rsid w:val="00A02E39"/>
    <w:rsid w:val="00A0302C"/>
    <w:rsid w:val="00A032E9"/>
    <w:rsid w:val="00A03385"/>
    <w:rsid w:val="00A03EF1"/>
    <w:rsid w:val="00A0412A"/>
    <w:rsid w:val="00A0487D"/>
    <w:rsid w:val="00A04D8C"/>
    <w:rsid w:val="00A04E5C"/>
    <w:rsid w:val="00A0527F"/>
    <w:rsid w:val="00A0555D"/>
    <w:rsid w:val="00A05A8D"/>
    <w:rsid w:val="00A05A9C"/>
    <w:rsid w:val="00A05ABF"/>
    <w:rsid w:val="00A06076"/>
    <w:rsid w:val="00A06217"/>
    <w:rsid w:val="00A06A2C"/>
    <w:rsid w:val="00A06BEC"/>
    <w:rsid w:val="00A06CF4"/>
    <w:rsid w:val="00A07183"/>
    <w:rsid w:val="00A077E3"/>
    <w:rsid w:val="00A07D37"/>
    <w:rsid w:val="00A102E6"/>
    <w:rsid w:val="00A105E1"/>
    <w:rsid w:val="00A108F1"/>
    <w:rsid w:val="00A109BA"/>
    <w:rsid w:val="00A109E8"/>
    <w:rsid w:val="00A10A0F"/>
    <w:rsid w:val="00A10BEA"/>
    <w:rsid w:val="00A10E9F"/>
    <w:rsid w:val="00A10FDF"/>
    <w:rsid w:val="00A117EF"/>
    <w:rsid w:val="00A11A9B"/>
    <w:rsid w:val="00A11AD6"/>
    <w:rsid w:val="00A11E56"/>
    <w:rsid w:val="00A11ECD"/>
    <w:rsid w:val="00A12062"/>
    <w:rsid w:val="00A12311"/>
    <w:rsid w:val="00A124D1"/>
    <w:rsid w:val="00A128A2"/>
    <w:rsid w:val="00A12A46"/>
    <w:rsid w:val="00A12E71"/>
    <w:rsid w:val="00A135D9"/>
    <w:rsid w:val="00A1377D"/>
    <w:rsid w:val="00A13AE4"/>
    <w:rsid w:val="00A14007"/>
    <w:rsid w:val="00A14D65"/>
    <w:rsid w:val="00A14F24"/>
    <w:rsid w:val="00A1506F"/>
    <w:rsid w:val="00A158A7"/>
    <w:rsid w:val="00A15B24"/>
    <w:rsid w:val="00A15B43"/>
    <w:rsid w:val="00A15BAF"/>
    <w:rsid w:val="00A15C79"/>
    <w:rsid w:val="00A15EF1"/>
    <w:rsid w:val="00A15FC1"/>
    <w:rsid w:val="00A15FC7"/>
    <w:rsid w:val="00A16316"/>
    <w:rsid w:val="00A16546"/>
    <w:rsid w:val="00A16726"/>
    <w:rsid w:val="00A1679C"/>
    <w:rsid w:val="00A16851"/>
    <w:rsid w:val="00A1694E"/>
    <w:rsid w:val="00A16ABE"/>
    <w:rsid w:val="00A16CDA"/>
    <w:rsid w:val="00A17191"/>
    <w:rsid w:val="00A17662"/>
    <w:rsid w:val="00A177D3"/>
    <w:rsid w:val="00A17A30"/>
    <w:rsid w:val="00A17CB0"/>
    <w:rsid w:val="00A17DED"/>
    <w:rsid w:val="00A20790"/>
    <w:rsid w:val="00A20892"/>
    <w:rsid w:val="00A20D15"/>
    <w:rsid w:val="00A20E83"/>
    <w:rsid w:val="00A20F9C"/>
    <w:rsid w:val="00A216C4"/>
    <w:rsid w:val="00A21826"/>
    <w:rsid w:val="00A225F8"/>
    <w:rsid w:val="00A227DE"/>
    <w:rsid w:val="00A229FC"/>
    <w:rsid w:val="00A22BEB"/>
    <w:rsid w:val="00A22F16"/>
    <w:rsid w:val="00A23645"/>
    <w:rsid w:val="00A23F08"/>
    <w:rsid w:val="00A24624"/>
    <w:rsid w:val="00A246B5"/>
    <w:rsid w:val="00A24750"/>
    <w:rsid w:val="00A24782"/>
    <w:rsid w:val="00A24790"/>
    <w:rsid w:val="00A24A9D"/>
    <w:rsid w:val="00A24CB6"/>
    <w:rsid w:val="00A251AE"/>
    <w:rsid w:val="00A2532C"/>
    <w:rsid w:val="00A25AB2"/>
    <w:rsid w:val="00A262AF"/>
    <w:rsid w:val="00A263EA"/>
    <w:rsid w:val="00A26B1D"/>
    <w:rsid w:val="00A27383"/>
    <w:rsid w:val="00A277E4"/>
    <w:rsid w:val="00A27876"/>
    <w:rsid w:val="00A27AB0"/>
    <w:rsid w:val="00A27FE7"/>
    <w:rsid w:val="00A305AA"/>
    <w:rsid w:val="00A314EE"/>
    <w:rsid w:val="00A31511"/>
    <w:rsid w:val="00A318A7"/>
    <w:rsid w:val="00A31D1F"/>
    <w:rsid w:val="00A31E69"/>
    <w:rsid w:val="00A31E6F"/>
    <w:rsid w:val="00A31EEE"/>
    <w:rsid w:val="00A32593"/>
    <w:rsid w:val="00A329EC"/>
    <w:rsid w:val="00A32C4C"/>
    <w:rsid w:val="00A3323D"/>
    <w:rsid w:val="00A3397E"/>
    <w:rsid w:val="00A33CA1"/>
    <w:rsid w:val="00A33FDC"/>
    <w:rsid w:val="00A34B92"/>
    <w:rsid w:val="00A34D20"/>
    <w:rsid w:val="00A34EF9"/>
    <w:rsid w:val="00A357AA"/>
    <w:rsid w:val="00A35E1C"/>
    <w:rsid w:val="00A35FED"/>
    <w:rsid w:val="00A36EB9"/>
    <w:rsid w:val="00A37083"/>
    <w:rsid w:val="00A375FE"/>
    <w:rsid w:val="00A37AFF"/>
    <w:rsid w:val="00A37B8D"/>
    <w:rsid w:val="00A37C4B"/>
    <w:rsid w:val="00A37EEE"/>
    <w:rsid w:val="00A37FFA"/>
    <w:rsid w:val="00A40011"/>
    <w:rsid w:val="00A4045A"/>
    <w:rsid w:val="00A40A1B"/>
    <w:rsid w:val="00A40F4F"/>
    <w:rsid w:val="00A41DD2"/>
    <w:rsid w:val="00A41EA0"/>
    <w:rsid w:val="00A42013"/>
    <w:rsid w:val="00A422C7"/>
    <w:rsid w:val="00A4241F"/>
    <w:rsid w:val="00A42B1E"/>
    <w:rsid w:val="00A42B64"/>
    <w:rsid w:val="00A42C0C"/>
    <w:rsid w:val="00A43630"/>
    <w:rsid w:val="00A443E2"/>
    <w:rsid w:val="00A447C1"/>
    <w:rsid w:val="00A447D3"/>
    <w:rsid w:val="00A44D4D"/>
    <w:rsid w:val="00A45316"/>
    <w:rsid w:val="00A45CC1"/>
    <w:rsid w:val="00A45D02"/>
    <w:rsid w:val="00A4727A"/>
    <w:rsid w:val="00A47352"/>
    <w:rsid w:val="00A47497"/>
    <w:rsid w:val="00A4798B"/>
    <w:rsid w:val="00A50050"/>
    <w:rsid w:val="00A5054E"/>
    <w:rsid w:val="00A5099B"/>
    <w:rsid w:val="00A50DEE"/>
    <w:rsid w:val="00A510A1"/>
    <w:rsid w:val="00A517F7"/>
    <w:rsid w:val="00A51898"/>
    <w:rsid w:val="00A51B30"/>
    <w:rsid w:val="00A51D3A"/>
    <w:rsid w:val="00A527E5"/>
    <w:rsid w:val="00A52965"/>
    <w:rsid w:val="00A529B5"/>
    <w:rsid w:val="00A52DA6"/>
    <w:rsid w:val="00A5373C"/>
    <w:rsid w:val="00A537E0"/>
    <w:rsid w:val="00A53839"/>
    <w:rsid w:val="00A5391C"/>
    <w:rsid w:val="00A53949"/>
    <w:rsid w:val="00A53AFE"/>
    <w:rsid w:val="00A53B29"/>
    <w:rsid w:val="00A53B78"/>
    <w:rsid w:val="00A53E7C"/>
    <w:rsid w:val="00A54185"/>
    <w:rsid w:val="00A54935"/>
    <w:rsid w:val="00A54A16"/>
    <w:rsid w:val="00A54D1F"/>
    <w:rsid w:val="00A54E6A"/>
    <w:rsid w:val="00A55B95"/>
    <w:rsid w:val="00A56962"/>
    <w:rsid w:val="00A569D8"/>
    <w:rsid w:val="00A56EE2"/>
    <w:rsid w:val="00A56F26"/>
    <w:rsid w:val="00A57081"/>
    <w:rsid w:val="00A570FC"/>
    <w:rsid w:val="00A572AC"/>
    <w:rsid w:val="00A57E00"/>
    <w:rsid w:val="00A60C14"/>
    <w:rsid w:val="00A60DEB"/>
    <w:rsid w:val="00A61117"/>
    <w:rsid w:val="00A613A4"/>
    <w:rsid w:val="00A61455"/>
    <w:rsid w:val="00A61461"/>
    <w:rsid w:val="00A617FD"/>
    <w:rsid w:val="00A61D1E"/>
    <w:rsid w:val="00A61D6F"/>
    <w:rsid w:val="00A61E89"/>
    <w:rsid w:val="00A62268"/>
    <w:rsid w:val="00A62E7B"/>
    <w:rsid w:val="00A62F56"/>
    <w:rsid w:val="00A63017"/>
    <w:rsid w:val="00A63295"/>
    <w:rsid w:val="00A63548"/>
    <w:rsid w:val="00A63948"/>
    <w:rsid w:val="00A639AA"/>
    <w:rsid w:val="00A63A56"/>
    <w:rsid w:val="00A63A5D"/>
    <w:rsid w:val="00A6400C"/>
    <w:rsid w:val="00A642C3"/>
    <w:rsid w:val="00A645C1"/>
    <w:rsid w:val="00A649DA"/>
    <w:rsid w:val="00A65152"/>
    <w:rsid w:val="00A6516E"/>
    <w:rsid w:val="00A651A1"/>
    <w:rsid w:val="00A65B80"/>
    <w:rsid w:val="00A65D65"/>
    <w:rsid w:val="00A65E2E"/>
    <w:rsid w:val="00A65EF0"/>
    <w:rsid w:val="00A65F08"/>
    <w:rsid w:val="00A662A0"/>
    <w:rsid w:val="00A66594"/>
    <w:rsid w:val="00A66C8E"/>
    <w:rsid w:val="00A66E6B"/>
    <w:rsid w:val="00A67016"/>
    <w:rsid w:val="00A6709C"/>
    <w:rsid w:val="00A67204"/>
    <w:rsid w:val="00A672BA"/>
    <w:rsid w:val="00A676EA"/>
    <w:rsid w:val="00A67943"/>
    <w:rsid w:val="00A67C74"/>
    <w:rsid w:val="00A7018F"/>
    <w:rsid w:val="00A703B0"/>
    <w:rsid w:val="00A70403"/>
    <w:rsid w:val="00A70555"/>
    <w:rsid w:val="00A70795"/>
    <w:rsid w:val="00A707FD"/>
    <w:rsid w:val="00A70D09"/>
    <w:rsid w:val="00A71307"/>
    <w:rsid w:val="00A71CB8"/>
    <w:rsid w:val="00A71D67"/>
    <w:rsid w:val="00A720BC"/>
    <w:rsid w:val="00A721DB"/>
    <w:rsid w:val="00A72240"/>
    <w:rsid w:val="00A7233E"/>
    <w:rsid w:val="00A723EF"/>
    <w:rsid w:val="00A72588"/>
    <w:rsid w:val="00A726BF"/>
    <w:rsid w:val="00A72CBA"/>
    <w:rsid w:val="00A73057"/>
    <w:rsid w:val="00A73102"/>
    <w:rsid w:val="00A7319B"/>
    <w:rsid w:val="00A733C9"/>
    <w:rsid w:val="00A733E9"/>
    <w:rsid w:val="00A73401"/>
    <w:rsid w:val="00A7359A"/>
    <w:rsid w:val="00A73C3F"/>
    <w:rsid w:val="00A73F39"/>
    <w:rsid w:val="00A74304"/>
    <w:rsid w:val="00A743EB"/>
    <w:rsid w:val="00A74400"/>
    <w:rsid w:val="00A7463D"/>
    <w:rsid w:val="00A7488D"/>
    <w:rsid w:val="00A74DB0"/>
    <w:rsid w:val="00A74EA8"/>
    <w:rsid w:val="00A75007"/>
    <w:rsid w:val="00A75133"/>
    <w:rsid w:val="00A752FB"/>
    <w:rsid w:val="00A75358"/>
    <w:rsid w:val="00A756FC"/>
    <w:rsid w:val="00A757DD"/>
    <w:rsid w:val="00A75BEF"/>
    <w:rsid w:val="00A75C69"/>
    <w:rsid w:val="00A76018"/>
    <w:rsid w:val="00A7623E"/>
    <w:rsid w:val="00A76324"/>
    <w:rsid w:val="00A7633F"/>
    <w:rsid w:val="00A769BD"/>
    <w:rsid w:val="00A76DA1"/>
    <w:rsid w:val="00A77077"/>
    <w:rsid w:val="00A770E6"/>
    <w:rsid w:val="00A7727C"/>
    <w:rsid w:val="00A7746C"/>
    <w:rsid w:val="00A7755C"/>
    <w:rsid w:val="00A777FD"/>
    <w:rsid w:val="00A77A43"/>
    <w:rsid w:val="00A77B3F"/>
    <w:rsid w:val="00A80247"/>
    <w:rsid w:val="00A80931"/>
    <w:rsid w:val="00A80AA9"/>
    <w:rsid w:val="00A81273"/>
    <w:rsid w:val="00A812D4"/>
    <w:rsid w:val="00A813F1"/>
    <w:rsid w:val="00A8161A"/>
    <w:rsid w:val="00A81C88"/>
    <w:rsid w:val="00A81E0C"/>
    <w:rsid w:val="00A81E1E"/>
    <w:rsid w:val="00A82FB7"/>
    <w:rsid w:val="00A83032"/>
    <w:rsid w:val="00A83135"/>
    <w:rsid w:val="00A83363"/>
    <w:rsid w:val="00A833AF"/>
    <w:rsid w:val="00A83472"/>
    <w:rsid w:val="00A8360A"/>
    <w:rsid w:val="00A83818"/>
    <w:rsid w:val="00A839BE"/>
    <w:rsid w:val="00A83BBA"/>
    <w:rsid w:val="00A83BDD"/>
    <w:rsid w:val="00A83F87"/>
    <w:rsid w:val="00A83FA6"/>
    <w:rsid w:val="00A842C4"/>
    <w:rsid w:val="00A84685"/>
    <w:rsid w:val="00A84714"/>
    <w:rsid w:val="00A84AC1"/>
    <w:rsid w:val="00A84DE1"/>
    <w:rsid w:val="00A84E0F"/>
    <w:rsid w:val="00A84ED3"/>
    <w:rsid w:val="00A85576"/>
    <w:rsid w:val="00A855CF"/>
    <w:rsid w:val="00A858D1"/>
    <w:rsid w:val="00A85B45"/>
    <w:rsid w:val="00A85C45"/>
    <w:rsid w:val="00A85F12"/>
    <w:rsid w:val="00A85F6C"/>
    <w:rsid w:val="00A8604F"/>
    <w:rsid w:val="00A8608A"/>
    <w:rsid w:val="00A86490"/>
    <w:rsid w:val="00A86754"/>
    <w:rsid w:val="00A869E6"/>
    <w:rsid w:val="00A869F4"/>
    <w:rsid w:val="00A86D28"/>
    <w:rsid w:val="00A870E3"/>
    <w:rsid w:val="00A87209"/>
    <w:rsid w:val="00A8751F"/>
    <w:rsid w:val="00A877EF"/>
    <w:rsid w:val="00A87881"/>
    <w:rsid w:val="00A87A8D"/>
    <w:rsid w:val="00A87C93"/>
    <w:rsid w:val="00A87DF7"/>
    <w:rsid w:val="00A9012C"/>
    <w:rsid w:val="00A907AA"/>
    <w:rsid w:val="00A90A12"/>
    <w:rsid w:val="00A90ADB"/>
    <w:rsid w:val="00A90B8D"/>
    <w:rsid w:val="00A912A9"/>
    <w:rsid w:val="00A91528"/>
    <w:rsid w:val="00A91B00"/>
    <w:rsid w:val="00A91B0E"/>
    <w:rsid w:val="00A91D57"/>
    <w:rsid w:val="00A91D93"/>
    <w:rsid w:val="00A91DAD"/>
    <w:rsid w:val="00A91EEC"/>
    <w:rsid w:val="00A92016"/>
    <w:rsid w:val="00A923D3"/>
    <w:rsid w:val="00A92CDC"/>
    <w:rsid w:val="00A931DC"/>
    <w:rsid w:val="00A932D0"/>
    <w:rsid w:val="00A9337A"/>
    <w:rsid w:val="00A93469"/>
    <w:rsid w:val="00A93800"/>
    <w:rsid w:val="00A93B36"/>
    <w:rsid w:val="00A93EB6"/>
    <w:rsid w:val="00A942D2"/>
    <w:rsid w:val="00A94582"/>
    <w:rsid w:val="00A94775"/>
    <w:rsid w:val="00A947D1"/>
    <w:rsid w:val="00A94883"/>
    <w:rsid w:val="00A949E0"/>
    <w:rsid w:val="00A94CD7"/>
    <w:rsid w:val="00A955E0"/>
    <w:rsid w:val="00A957D8"/>
    <w:rsid w:val="00A96029"/>
    <w:rsid w:val="00A96099"/>
    <w:rsid w:val="00A96134"/>
    <w:rsid w:val="00A963E8"/>
    <w:rsid w:val="00A964B4"/>
    <w:rsid w:val="00A9651B"/>
    <w:rsid w:val="00A967A7"/>
    <w:rsid w:val="00A96E6C"/>
    <w:rsid w:val="00A96EA1"/>
    <w:rsid w:val="00A9759C"/>
    <w:rsid w:val="00A97908"/>
    <w:rsid w:val="00A979E5"/>
    <w:rsid w:val="00A97A93"/>
    <w:rsid w:val="00AA100F"/>
    <w:rsid w:val="00AA147B"/>
    <w:rsid w:val="00AA17FD"/>
    <w:rsid w:val="00AA18C0"/>
    <w:rsid w:val="00AA19F2"/>
    <w:rsid w:val="00AA1A63"/>
    <w:rsid w:val="00AA2850"/>
    <w:rsid w:val="00AA29A0"/>
    <w:rsid w:val="00AA29FD"/>
    <w:rsid w:val="00AA2E2F"/>
    <w:rsid w:val="00AA3139"/>
    <w:rsid w:val="00AA32D0"/>
    <w:rsid w:val="00AA34D0"/>
    <w:rsid w:val="00AA3564"/>
    <w:rsid w:val="00AA3950"/>
    <w:rsid w:val="00AA3963"/>
    <w:rsid w:val="00AA3A3B"/>
    <w:rsid w:val="00AA42BE"/>
    <w:rsid w:val="00AA5BEF"/>
    <w:rsid w:val="00AA5D21"/>
    <w:rsid w:val="00AA6647"/>
    <w:rsid w:val="00AA69E5"/>
    <w:rsid w:val="00AA6A18"/>
    <w:rsid w:val="00AA6AD9"/>
    <w:rsid w:val="00AA6C08"/>
    <w:rsid w:val="00AA6E48"/>
    <w:rsid w:val="00AA708D"/>
    <w:rsid w:val="00AB04A6"/>
    <w:rsid w:val="00AB0640"/>
    <w:rsid w:val="00AB06E2"/>
    <w:rsid w:val="00AB0809"/>
    <w:rsid w:val="00AB08E9"/>
    <w:rsid w:val="00AB0D12"/>
    <w:rsid w:val="00AB11A7"/>
    <w:rsid w:val="00AB13D9"/>
    <w:rsid w:val="00AB1406"/>
    <w:rsid w:val="00AB1CF4"/>
    <w:rsid w:val="00AB1E67"/>
    <w:rsid w:val="00AB2401"/>
    <w:rsid w:val="00AB2696"/>
    <w:rsid w:val="00AB27D8"/>
    <w:rsid w:val="00AB29D4"/>
    <w:rsid w:val="00AB2A91"/>
    <w:rsid w:val="00AB2F38"/>
    <w:rsid w:val="00AB3315"/>
    <w:rsid w:val="00AB3795"/>
    <w:rsid w:val="00AB3803"/>
    <w:rsid w:val="00AB3883"/>
    <w:rsid w:val="00AB3908"/>
    <w:rsid w:val="00AB395D"/>
    <w:rsid w:val="00AB39CB"/>
    <w:rsid w:val="00AB3CB2"/>
    <w:rsid w:val="00AB3F15"/>
    <w:rsid w:val="00AB3F76"/>
    <w:rsid w:val="00AB3F83"/>
    <w:rsid w:val="00AB40C6"/>
    <w:rsid w:val="00AB4600"/>
    <w:rsid w:val="00AB4900"/>
    <w:rsid w:val="00AB4AF0"/>
    <w:rsid w:val="00AB4B01"/>
    <w:rsid w:val="00AB4B28"/>
    <w:rsid w:val="00AB4D16"/>
    <w:rsid w:val="00AB52D2"/>
    <w:rsid w:val="00AB5797"/>
    <w:rsid w:val="00AB59F6"/>
    <w:rsid w:val="00AB5B1E"/>
    <w:rsid w:val="00AB6459"/>
    <w:rsid w:val="00AB68D3"/>
    <w:rsid w:val="00AB6B67"/>
    <w:rsid w:val="00AB6EB6"/>
    <w:rsid w:val="00AB74D8"/>
    <w:rsid w:val="00AB7586"/>
    <w:rsid w:val="00AB760F"/>
    <w:rsid w:val="00AB7AF5"/>
    <w:rsid w:val="00AB7CFF"/>
    <w:rsid w:val="00AC05D1"/>
    <w:rsid w:val="00AC05EA"/>
    <w:rsid w:val="00AC06A8"/>
    <w:rsid w:val="00AC0B8C"/>
    <w:rsid w:val="00AC0CB3"/>
    <w:rsid w:val="00AC0D6A"/>
    <w:rsid w:val="00AC0E85"/>
    <w:rsid w:val="00AC0FD0"/>
    <w:rsid w:val="00AC1157"/>
    <w:rsid w:val="00AC12AB"/>
    <w:rsid w:val="00AC1300"/>
    <w:rsid w:val="00AC17F3"/>
    <w:rsid w:val="00AC1A19"/>
    <w:rsid w:val="00AC2179"/>
    <w:rsid w:val="00AC23A1"/>
    <w:rsid w:val="00AC26DE"/>
    <w:rsid w:val="00AC2842"/>
    <w:rsid w:val="00AC2D4B"/>
    <w:rsid w:val="00AC3351"/>
    <w:rsid w:val="00AC3933"/>
    <w:rsid w:val="00AC3B99"/>
    <w:rsid w:val="00AC3BF3"/>
    <w:rsid w:val="00AC3F54"/>
    <w:rsid w:val="00AC4410"/>
    <w:rsid w:val="00AC448A"/>
    <w:rsid w:val="00AC4581"/>
    <w:rsid w:val="00AC4811"/>
    <w:rsid w:val="00AC4BE5"/>
    <w:rsid w:val="00AC519E"/>
    <w:rsid w:val="00AC5759"/>
    <w:rsid w:val="00AC588E"/>
    <w:rsid w:val="00AC58A0"/>
    <w:rsid w:val="00AC5F58"/>
    <w:rsid w:val="00AC5FBA"/>
    <w:rsid w:val="00AC5FE4"/>
    <w:rsid w:val="00AC6012"/>
    <w:rsid w:val="00AC632B"/>
    <w:rsid w:val="00AC6B31"/>
    <w:rsid w:val="00AC6BAA"/>
    <w:rsid w:val="00AC6C1A"/>
    <w:rsid w:val="00AC6DAE"/>
    <w:rsid w:val="00AC6E6F"/>
    <w:rsid w:val="00AC6EB9"/>
    <w:rsid w:val="00AC6ED7"/>
    <w:rsid w:val="00AC70C8"/>
    <w:rsid w:val="00AC7210"/>
    <w:rsid w:val="00AC73FB"/>
    <w:rsid w:val="00AC7659"/>
    <w:rsid w:val="00AC77EE"/>
    <w:rsid w:val="00AC7915"/>
    <w:rsid w:val="00AC7DF3"/>
    <w:rsid w:val="00AC7F40"/>
    <w:rsid w:val="00AD01FA"/>
    <w:rsid w:val="00AD06B1"/>
    <w:rsid w:val="00AD0895"/>
    <w:rsid w:val="00AD09B2"/>
    <w:rsid w:val="00AD0B11"/>
    <w:rsid w:val="00AD0CD3"/>
    <w:rsid w:val="00AD1039"/>
    <w:rsid w:val="00AD1343"/>
    <w:rsid w:val="00AD1654"/>
    <w:rsid w:val="00AD1BCF"/>
    <w:rsid w:val="00AD1E81"/>
    <w:rsid w:val="00AD210A"/>
    <w:rsid w:val="00AD265C"/>
    <w:rsid w:val="00AD287A"/>
    <w:rsid w:val="00AD2A88"/>
    <w:rsid w:val="00AD2DB5"/>
    <w:rsid w:val="00AD3232"/>
    <w:rsid w:val="00AD38A5"/>
    <w:rsid w:val="00AD39AD"/>
    <w:rsid w:val="00AD3C72"/>
    <w:rsid w:val="00AD4244"/>
    <w:rsid w:val="00AD4771"/>
    <w:rsid w:val="00AD4805"/>
    <w:rsid w:val="00AD4B84"/>
    <w:rsid w:val="00AD4D44"/>
    <w:rsid w:val="00AD57B8"/>
    <w:rsid w:val="00AD5B03"/>
    <w:rsid w:val="00AD5CC0"/>
    <w:rsid w:val="00AD5DC1"/>
    <w:rsid w:val="00AD5E01"/>
    <w:rsid w:val="00AD602F"/>
    <w:rsid w:val="00AD6301"/>
    <w:rsid w:val="00AD66F7"/>
    <w:rsid w:val="00AD7052"/>
    <w:rsid w:val="00AD7494"/>
    <w:rsid w:val="00AD74A1"/>
    <w:rsid w:val="00AD75CC"/>
    <w:rsid w:val="00AD772E"/>
    <w:rsid w:val="00AD7CC0"/>
    <w:rsid w:val="00AE01CA"/>
    <w:rsid w:val="00AE077E"/>
    <w:rsid w:val="00AE0A8A"/>
    <w:rsid w:val="00AE0AAE"/>
    <w:rsid w:val="00AE0D26"/>
    <w:rsid w:val="00AE0E3A"/>
    <w:rsid w:val="00AE0F65"/>
    <w:rsid w:val="00AE0FEC"/>
    <w:rsid w:val="00AE10FF"/>
    <w:rsid w:val="00AE13F6"/>
    <w:rsid w:val="00AE1CBE"/>
    <w:rsid w:val="00AE2A59"/>
    <w:rsid w:val="00AE2F26"/>
    <w:rsid w:val="00AE32DD"/>
    <w:rsid w:val="00AE344F"/>
    <w:rsid w:val="00AE387A"/>
    <w:rsid w:val="00AE3B48"/>
    <w:rsid w:val="00AE3EBC"/>
    <w:rsid w:val="00AE3F7D"/>
    <w:rsid w:val="00AE40EE"/>
    <w:rsid w:val="00AE4291"/>
    <w:rsid w:val="00AE4408"/>
    <w:rsid w:val="00AE4426"/>
    <w:rsid w:val="00AE46B1"/>
    <w:rsid w:val="00AE4EA5"/>
    <w:rsid w:val="00AE5075"/>
    <w:rsid w:val="00AE559D"/>
    <w:rsid w:val="00AE56A3"/>
    <w:rsid w:val="00AE5AB5"/>
    <w:rsid w:val="00AE5E64"/>
    <w:rsid w:val="00AE66C3"/>
    <w:rsid w:val="00AE67DF"/>
    <w:rsid w:val="00AE6F2F"/>
    <w:rsid w:val="00AE6FD9"/>
    <w:rsid w:val="00AE70F9"/>
    <w:rsid w:val="00AE7127"/>
    <w:rsid w:val="00AE718E"/>
    <w:rsid w:val="00AE7190"/>
    <w:rsid w:val="00AE748A"/>
    <w:rsid w:val="00AE7587"/>
    <w:rsid w:val="00AE77EA"/>
    <w:rsid w:val="00AE78AE"/>
    <w:rsid w:val="00AE7A7D"/>
    <w:rsid w:val="00AE7A83"/>
    <w:rsid w:val="00AF068B"/>
    <w:rsid w:val="00AF06B8"/>
    <w:rsid w:val="00AF0AC4"/>
    <w:rsid w:val="00AF0B2A"/>
    <w:rsid w:val="00AF13A7"/>
    <w:rsid w:val="00AF16F1"/>
    <w:rsid w:val="00AF176E"/>
    <w:rsid w:val="00AF2017"/>
    <w:rsid w:val="00AF22D4"/>
    <w:rsid w:val="00AF22DE"/>
    <w:rsid w:val="00AF310A"/>
    <w:rsid w:val="00AF3736"/>
    <w:rsid w:val="00AF3964"/>
    <w:rsid w:val="00AF3CBA"/>
    <w:rsid w:val="00AF3DAB"/>
    <w:rsid w:val="00AF400B"/>
    <w:rsid w:val="00AF4631"/>
    <w:rsid w:val="00AF4695"/>
    <w:rsid w:val="00AF4949"/>
    <w:rsid w:val="00AF4A07"/>
    <w:rsid w:val="00AF4DFE"/>
    <w:rsid w:val="00AF4F99"/>
    <w:rsid w:val="00AF5012"/>
    <w:rsid w:val="00AF53AA"/>
    <w:rsid w:val="00AF5B46"/>
    <w:rsid w:val="00AF5F7B"/>
    <w:rsid w:val="00AF640D"/>
    <w:rsid w:val="00AF64F5"/>
    <w:rsid w:val="00AF676D"/>
    <w:rsid w:val="00AF6ABE"/>
    <w:rsid w:val="00AF6B60"/>
    <w:rsid w:val="00AF6DAB"/>
    <w:rsid w:val="00AF6EA1"/>
    <w:rsid w:val="00AF6FAD"/>
    <w:rsid w:val="00AF70BD"/>
    <w:rsid w:val="00AF73AF"/>
    <w:rsid w:val="00AF7468"/>
    <w:rsid w:val="00AF7A01"/>
    <w:rsid w:val="00AF7D8B"/>
    <w:rsid w:val="00B00586"/>
    <w:rsid w:val="00B0080A"/>
    <w:rsid w:val="00B00844"/>
    <w:rsid w:val="00B009D1"/>
    <w:rsid w:val="00B00CFF"/>
    <w:rsid w:val="00B01390"/>
    <w:rsid w:val="00B0153B"/>
    <w:rsid w:val="00B01611"/>
    <w:rsid w:val="00B017EA"/>
    <w:rsid w:val="00B01B95"/>
    <w:rsid w:val="00B01C12"/>
    <w:rsid w:val="00B01C16"/>
    <w:rsid w:val="00B01E6F"/>
    <w:rsid w:val="00B01EB4"/>
    <w:rsid w:val="00B023C3"/>
    <w:rsid w:val="00B023DE"/>
    <w:rsid w:val="00B02575"/>
    <w:rsid w:val="00B02932"/>
    <w:rsid w:val="00B02AE1"/>
    <w:rsid w:val="00B02D40"/>
    <w:rsid w:val="00B02F34"/>
    <w:rsid w:val="00B039FA"/>
    <w:rsid w:val="00B03DE3"/>
    <w:rsid w:val="00B0422C"/>
    <w:rsid w:val="00B05A0D"/>
    <w:rsid w:val="00B05D1F"/>
    <w:rsid w:val="00B062FF"/>
    <w:rsid w:val="00B069E0"/>
    <w:rsid w:val="00B06CC8"/>
    <w:rsid w:val="00B07373"/>
    <w:rsid w:val="00B07F50"/>
    <w:rsid w:val="00B10A9B"/>
    <w:rsid w:val="00B10B68"/>
    <w:rsid w:val="00B111B0"/>
    <w:rsid w:val="00B11948"/>
    <w:rsid w:val="00B119DE"/>
    <w:rsid w:val="00B11E4E"/>
    <w:rsid w:val="00B11F22"/>
    <w:rsid w:val="00B120E3"/>
    <w:rsid w:val="00B122A4"/>
    <w:rsid w:val="00B12324"/>
    <w:rsid w:val="00B12FFF"/>
    <w:rsid w:val="00B130A6"/>
    <w:rsid w:val="00B13715"/>
    <w:rsid w:val="00B138D7"/>
    <w:rsid w:val="00B141B8"/>
    <w:rsid w:val="00B141EB"/>
    <w:rsid w:val="00B143F6"/>
    <w:rsid w:val="00B14A23"/>
    <w:rsid w:val="00B14E6C"/>
    <w:rsid w:val="00B14FB3"/>
    <w:rsid w:val="00B150AE"/>
    <w:rsid w:val="00B15175"/>
    <w:rsid w:val="00B1562B"/>
    <w:rsid w:val="00B15653"/>
    <w:rsid w:val="00B15B89"/>
    <w:rsid w:val="00B169D7"/>
    <w:rsid w:val="00B16E4E"/>
    <w:rsid w:val="00B171F3"/>
    <w:rsid w:val="00B17263"/>
    <w:rsid w:val="00B17695"/>
    <w:rsid w:val="00B17A1D"/>
    <w:rsid w:val="00B17E43"/>
    <w:rsid w:val="00B20301"/>
    <w:rsid w:val="00B2070A"/>
    <w:rsid w:val="00B207B8"/>
    <w:rsid w:val="00B209A3"/>
    <w:rsid w:val="00B20AD3"/>
    <w:rsid w:val="00B20BAC"/>
    <w:rsid w:val="00B20D35"/>
    <w:rsid w:val="00B20DCF"/>
    <w:rsid w:val="00B21530"/>
    <w:rsid w:val="00B21CED"/>
    <w:rsid w:val="00B21FEB"/>
    <w:rsid w:val="00B21FF7"/>
    <w:rsid w:val="00B225CC"/>
    <w:rsid w:val="00B23880"/>
    <w:rsid w:val="00B23883"/>
    <w:rsid w:val="00B23B63"/>
    <w:rsid w:val="00B23F6B"/>
    <w:rsid w:val="00B246CF"/>
    <w:rsid w:val="00B246E5"/>
    <w:rsid w:val="00B25032"/>
    <w:rsid w:val="00B25C5E"/>
    <w:rsid w:val="00B2613F"/>
    <w:rsid w:val="00B263E3"/>
    <w:rsid w:val="00B26502"/>
    <w:rsid w:val="00B2655D"/>
    <w:rsid w:val="00B2674A"/>
    <w:rsid w:val="00B26987"/>
    <w:rsid w:val="00B269DF"/>
    <w:rsid w:val="00B26E59"/>
    <w:rsid w:val="00B27757"/>
    <w:rsid w:val="00B27ABF"/>
    <w:rsid w:val="00B27B1A"/>
    <w:rsid w:val="00B27C71"/>
    <w:rsid w:val="00B27DB2"/>
    <w:rsid w:val="00B27DDB"/>
    <w:rsid w:val="00B312E0"/>
    <w:rsid w:val="00B313E2"/>
    <w:rsid w:val="00B31977"/>
    <w:rsid w:val="00B31B2B"/>
    <w:rsid w:val="00B31E21"/>
    <w:rsid w:val="00B31FEF"/>
    <w:rsid w:val="00B322B5"/>
    <w:rsid w:val="00B327D5"/>
    <w:rsid w:val="00B32846"/>
    <w:rsid w:val="00B328EB"/>
    <w:rsid w:val="00B32B47"/>
    <w:rsid w:val="00B32CCC"/>
    <w:rsid w:val="00B3308F"/>
    <w:rsid w:val="00B3377E"/>
    <w:rsid w:val="00B3377F"/>
    <w:rsid w:val="00B337A6"/>
    <w:rsid w:val="00B337FA"/>
    <w:rsid w:val="00B33B17"/>
    <w:rsid w:val="00B33EF9"/>
    <w:rsid w:val="00B34732"/>
    <w:rsid w:val="00B34747"/>
    <w:rsid w:val="00B34B3A"/>
    <w:rsid w:val="00B34CC7"/>
    <w:rsid w:val="00B34F8A"/>
    <w:rsid w:val="00B3532B"/>
    <w:rsid w:val="00B3564F"/>
    <w:rsid w:val="00B3569D"/>
    <w:rsid w:val="00B357E2"/>
    <w:rsid w:val="00B35D2D"/>
    <w:rsid w:val="00B35D30"/>
    <w:rsid w:val="00B3671B"/>
    <w:rsid w:val="00B36D39"/>
    <w:rsid w:val="00B36DA7"/>
    <w:rsid w:val="00B370C9"/>
    <w:rsid w:val="00B37247"/>
    <w:rsid w:val="00B372AC"/>
    <w:rsid w:val="00B3749A"/>
    <w:rsid w:val="00B379BD"/>
    <w:rsid w:val="00B379FB"/>
    <w:rsid w:val="00B37A40"/>
    <w:rsid w:val="00B37A75"/>
    <w:rsid w:val="00B37B25"/>
    <w:rsid w:val="00B37D42"/>
    <w:rsid w:val="00B40206"/>
    <w:rsid w:val="00B40233"/>
    <w:rsid w:val="00B4042E"/>
    <w:rsid w:val="00B40710"/>
    <w:rsid w:val="00B40879"/>
    <w:rsid w:val="00B4093F"/>
    <w:rsid w:val="00B40EEE"/>
    <w:rsid w:val="00B4176C"/>
    <w:rsid w:val="00B4181E"/>
    <w:rsid w:val="00B41F07"/>
    <w:rsid w:val="00B420D5"/>
    <w:rsid w:val="00B42238"/>
    <w:rsid w:val="00B42482"/>
    <w:rsid w:val="00B42638"/>
    <w:rsid w:val="00B426FF"/>
    <w:rsid w:val="00B42AF2"/>
    <w:rsid w:val="00B42C05"/>
    <w:rsid w:val="00B431B0"/>
    <w:rsid w:val="00B4320A"/>
    <w:rsid w:val="00B435E9"/>
    <w:rsid w:val="00B436E3"/>
    <w:rsid w:val="00B43BD7"/>
    <w:rsid w:val="00B44491"/>
    <w:rsid w:val="00B445A7"/>
    <w:rsid w:val="00B447BF"/>
    <w:rsid w:val="00B44AF2"/>
    <w:rsid w:val="00B45265"/>
    <w:rsid w:val="00B455F0"/>
    <w:rsid w:val="00B45C63"/>
    <w:rsid w:val="00B45ECF"/>
    <w:rsid w:val="00B4672E"/>
    <w:rsid w:val="00B468D4"/>
    <w:rsid w:val="00B46BA7"/>
    <w:rsid w:val="00B46BD6"/>
    <w:rsid w:val="00B46E77"/>
    <w:rsid w:val="00B47107"/>
    <w:rsid w:val="00B471F7"/>
    <w:rsid w:val="00B472AC"/>
    <w:rsid w:val="00B476E6"/>
    <w:rsid w:val="00B479B0"/>
    <w:rsid w:val="00B47B95"/>
    <w:rsid w:val="00B500AA"/>
    <w:rsid w:val="00B506CA"/>
    <w:rsid w:val="00B50732"/>
    <w:rsid w:val="00B5097F"/>
    <w:rsid w:val="00B50A0E"/>
    <w:rsid w:val="00B50CCC"/>
    <w:rsid w:val="00B50CCE"/>
    <w:rsid w:val="00B5114E"/>
    <w:rsid w:val="00B5134D"/>
    <w:rsid w:val="00B514F1"/>
    <w:rsid w:val="00B5167E"/>
    <w:rsid w:val="00B518A1"/>
    <w:rsid w:val="00B51BBA"/>
    <w:rsid w:val="00B5230E"/>
    <w:rsid w:val="00B523A9"/>
    <w:rsid w:val="00B52997"/>
    <w:rsid w:val="00B52DA8"/>
    <w:rsid w:val="00B532A4"/>
    <w:rsid w:val="00B534E0"/>
    <w:rsid w:val="00B536AA"/>
    <w:rsid w:val="00B538D3"/>
    <w:rsid w:val="00B53DD6"/>
    <w:rsid w:val="00B5410C"/>
    <w:rsid w:val="00B5411D"/>
    <w:rsid w:val="00B541E7"/>
    <w:rsid w:val="00B550B8"/>
    <w:rsid w:val="00B55BB8"/>
    <w:rsid w:val="00B55DBC"/>
    <w:rsid w:val="00B55DF1"/>
    <w:rsid w:val="00B560D5"/>
    <w:rsid w:val="00B5610F"/>
    <w:rsid w:val="00B56341"/>
    <w:rsid w:val="00B5645E"/>
    <w:rsid w:val="00B568B4"/>
    <w:rsid w:val="00B56B5D"/>
    <w:rsid w:val="00B573CB"/>
    <w:rsid w:val="00B57731"/>
    <w:rsid w:val="00B57DC8"/>
    <w:rsid w:val="00B600D1"/>
    <w:rsid w:val="00B60116"/>
    <w:rsid w:val="00B605B1"/>
    <w:rsid w:val="00B610BD"/>
    <w:rsid w:val="00B61115"/>
    <w:rsid w:val="00B6183B"/>
    <w:rsid w:val="00B618D9"/>
    <w:rsid w:val="00B6223C"/>
    <w:rsid w:val="00B6237C"/>
    <w:rsid w:val="00B630C4"/>
    <w:rsid w:val="00B6355A"/>
    <w:rsid w:val="00B63698"/>
    <w:rsid w:val="00B639BA"/>
    <w:rsid w:val="00B63E72"/>
    <w:rsid w:val="00B643D3"/>
    <w:rsid w:val="00B64501"/>
    <w:rsid w:val="00B64578"/>
    <w:rsid w:val="00B64880"/>
    <w:rsid w:val="00B6489A"/>
    <w:rsid w:val="00B64C00"/>
    <w:rsid w:val="00B64FDC"/>
    <w:rsid w:val="00B65818"/>
    <w:rsid w:val="00B65E4B"/>
    <w:rsid w:val="00B661D5"/>
    <w:rsid w:val="00B666BF"/>
    <w:rsid w:val="00B66BAB"/>
    <w:rsid w:val="00B66DDE"/>
    <w:rsid w:val="00B66FEC"/>
    <w:rsid w:val="00B670FC"/>
    <w:rsid w:val="00B671C2"/>
    <w:rsid w:val="00B67236"/>
    <w:rsid w:val="00B67349"/>
    <w:rsid w:val="00B6743B"/>
    <w:rsid w:val="00B676A2"/>
    <w:rsid w:val="00B6779C"/>
    <w:rsid w:val="00B67A89"/>
    <w:rsid w:val="00B67B46"/>
    <w:rsid w:val="00B67D34"/>
    <w:rsid w:val="00B70158"/>
    <w:rsid w:val="00B7020A"/>
    <w:rsid w:val="00B707DF"/>
    <w:rsid w:val="00B713A9"/>
    <w:rsid w:val="00B71456"/>
    <w:rsid w:val="00B71493"/>
    <w:rsid w:val="00B7156A"/>
    <w:rsid w:val="00B7183E"/>
    <w:rsid w:val="00B71A2C"/>
    <w:rsid w:val="00B71CEC"/>
    <w:rsid w:val="00B71E44"/>
    <w:rsid w:val="00B71F7E"/>
    <w:rsid w:val="00B71FE7"/>
    <w:rsid w:val="00B7206C"/>
    <w:rsid w:val="00B7256B"/>
    <w:rsid w:val="00B72722"/>
    <w:rsid w:val="00B73437"/>
    <w:rsid w:val="00B73C77"/>
    <w:rsid w:val="00B741EA"/>
    <w:rsid w:val="00B74666"/>
    <w:rsid w:val="00B748B7"/>
    <w:rsid w:val="00B750C1"/>
    <w:rsid w:val="00B751C7"/>
    <w:rsid w:val="00B7545D"/>
    <w:rsid w:val="00B7634F"/>
    <w:rsid w:val="00B767BE"/>
    <w:rsid w:val="00B7680E"/>
    <w:rsid w:val="00B768AD"/>
    <w:rsid w:val="00B76959"/>
    <w:rsid w:val="00B76CA9"/>
    <w:rsid w:val="00B7748A"/>
    <w:rsid w:val="00B77586"/>
    <w:rsid w:val="00B77931"/>
    <w:rsid w:val="00B7795C"/>
    <w:rsid w:val="00B77C85"/>
    <w:rsid w:val="00B77CCB"/>
    <w:rsid w:val="00B77DCE"/>
    <w:rsid w:val="00B77EC6"/>
    <w:rsid w:val="00B77F79"/>
    <w:rsid w:val="00B80256"/>
    <w:rsid w:val="00B8025C"/>
    <w:rsid w:val="00B80425"/>
    <w:rsid w:val="00B806B0"/>
    <w:rsid w:val="00B808CC"/>
    <w:rsid w:val="00B810C6"/>
    <w:rsid w:val="00B81139"/>
    <w:rsid w:val="00B8151E"/>
    <w:rsid w:val="00B8197E"/>
    <w:rsid w:val="00B8261B"/>
    <w:rsid w:val="00B82F4E"/>
    <w:rsid w:val="00B8355D"/>
    <w:rsid w:val="00B83957"/>
    <w:rsid w:val="00B83B0F"/>
    <w:rsid w:val="00B83E15"/>
    <w:rsid w:val="00B8449D"/>
    <w:rsid w:val="00B84671"/>
    <w:rsid w:val="00B84788"/>
    <w:rsid w:val="00B84CA0"/>
    <w:rsid w:val="00B8534F"/>
    <w:rsid w:val="00B85ACF"/>
    <w:rsid w:val="00B85C88"/>
    <w:rsid w:val="00B85E53"/>
    <w:rsid w:val="00B8623F"/>
    <w:rsid w:val="00B86553"/>
    <w:rsid w:val="00B86606"/>
    <w:rsid w:val="00B86B12"/>
    <w:rsid w:val="00B86EB6"/>
    <w:rsid w:val="00B86F66"/>
    <w:rsid w:val="00B874BC"/>
    <w:rsid w:val="00B876F7"/>
    <w:rsid w:val="00B87B2B"/>
    <w:rsid w:val="00B901AB"/>
    <w:rsid w:val="00B90483"/>
    <w:rsid w:val="00B908D8"/>
    <w:rsid w:val="00B9102E"/>
    <w:rsid w:val="00B913FF"/>
    <w:rsid w:val="00B91507"/>
    <w:rsid w:val="00B9160A"/>
    <w:rsid w:val="00B91704"/>
    <w:rsid w:val="00B917FE"/>
    <w:rsid w:val="00B91C2F"/>
    <w:rsid w:val="00B91C5C"/>
    <w:rsid w:val="00B91E15"/>
    <w:rsid w:val="00B91FB1"/>
    <w:rsid w:val="00B92038"/>
    <w:rsid w:val="00B9227C"/>
    <w:rsid w:val="00B92548"/>
    <w:rsid w:val="00B9288C"/>
    <w:rsid w:val="00B92EE6"/>
    <w:rsid w:val="00B9311C"/>
    <w:rsid w:val="00B93674"/>
    <w:rsid w:val="00B93854"/>
    <w:rsid w:val="00B939F0"/>
    <w:rsid w:val="00B93B4D"/>
    <w:rsid w:val="00B93EB5"/>
    <w:rsid w:val="00B94382"/>
    <w:rsid w:val="00B947B6"/>
    <w:rsid w:val="00B94BCD"/>
    <w:rsid w:val="00B94BE3"/>
    <w:rsid w:val="00B94CBB"/>
    <w:rsid w:val="00B9506E"/>
    <w:rsid w:val="00B952CB"/>
    <w:rsid w:val="00B955EC"/>
    <w:rsid w:val="00B95602"/>
    <w:rsid w:val="00B9699C"/>
    <w:rsid w:val="00B96C9E"/>
    <w:rsid w:val="00B96DB8"/>
    <w:rsid w:val="00B970BA"/>
    <w:rsid w:val="00B971E2"/>
    <w:rsid w:val="00B974AC"/>
    <w:rsid w:val="00B974D5"/>
    <w:rsid w:val="00B978FE"/>
    <w:rsid w:val="00B97CC7"/>
    <w:rsid w:val="00B97F1C"/>
    <w:rsid w:val="00B97FCB"/>
    <w:rsid w:val="00BA01BE"/>
    <w:rsid w:val="00BA0A30"/>
    <w:rsid w:val="00BA0B95"/>
    <w:rsid w:val="00BA0CBC"/>
    <w:rsid w:val="00BA0FA6"/>
    <w:rsid w:val="00BA1473"/>
    <w:rsid w:val="00BA14F6"/>
    <w:rsid w:val="00BA22B8"/>
    <w:rsid w:val="00BA262F"/>
    <w:rsid w:val="00BA2758"/>
    <w:rsid w:val="00BA2BF4"/>
    <w:rsid w:val="00BA3B8B"/>
    <w:rsid w:val="00BA3BD9"/>
    <w:rsid w:val="00BA3D9B"/>
    <w:rsid w:val="00BA3F6E"/>
    <w:rsid w:val="00BA4863"/>
    <w:rsid w:val="00BA4971"/>
    <w:rsid w:val="00BA529E"/>
    <w:rsid w:val="00BA5C98"/>
    <w:rsid w:val="00BA5F24"/>
    <w:rsid w:val="00BA5F92"/>
    <w:rsid w:val="00BA63E8"/>
    <w:rsid w:val="00BA6611"/>
    <w:rsid w:val="00BA6AD8"/>
    <w:rsid w:val="00BA6CE7"/>
    <w:rsid w:val="00BA6F93"/>
    <w:rsid w:val="00BA6FCC"/>
    <w:rsid w:val="00BA7109"/>
    <w:rsid w:val="00BA75C4"/>
    <w:rsid w:val="00BA7A81"/>
    <w:rsid w:val="00BA7D0A"/>
    <w:rsid w:val="00BA7D2F"/>
    <w:rsid w:val="00BB0467"/>
    <w:rsid w:val="00BB0651"/>
    <w:rsid w:val="00BB0C8C"/>
    <w:rsid w:val="00BB0CC4"/>
    <w:rsid w:val="00BB0DE8"/>
    <w:rsid w:val="00BB1420"/>
    <w:rsid w:val="00BB1DDB"/>
    <w:rsid w:val="00BB1E16"/>
    <w:rsid w:val="00BB2063"/>
    <w:rsid w:val="00BB2112"/>
    <w:rsid w:val="00BB2128"/>
    <w:rsid w:val="00BB22FE"/>
    <w:rsid w:val="00BB2F53"/>
    <w:rsid w:val="00BB33FF"/>
    <w:rsid w:val="00BB381C"/>
    <w:rsid w:val="00BB3A85"/>
    <w:rsid w:val="00BB3AAD"/>
    <w:rsid w:val="00BB45F0"/>
    <w:rsid w:val="00BB4859"/>
    <w:rsid w:val="00BB49DC"/>
    <w:rsid w:val="00BB4C0D"/>
    <w:rsid w:val="00BB51C2"/>
    <w:rsid w:val="00BB52D9"/>
    <w:rsid w:val="00BB5372"/>
    <w:rsid w:val="00BB557E"/>
    <w:rsid w:val="00BB55E4"/>
    <w:rsid w:val="00BB5AFF"/>
    <w:rsid w:val="00BB5C67"/>
    <w:rsid w:val="00BB5F8C"/>
    <w:rsid w:val="00BB6BDA"/>
    <w:rsid w:val="00BB6CA8"/>
    <w:rsid w:val="00BB6EAC"/>
    <w:rsid w:val="00BB71D2"/>
    <w:rsid w:val="00BB7375"/>
    <w:rsid w:val="00BB75F4"/>
    <w:rsid w:val="00BB792E"/>
    <w:rsid w:val="00BB7A9C"/>
    <w:rsid w:val="00BB7B3E"/>
    <w:rsid w:val="00BB7CEB"/>
    <w:rsid w:val="00BC073E"/>
    <w:rsid w:val="00BC084A"/>
    <w:rsid w:val="00BC0AA1"/>
    <w:rsid w:val="00BC1528"/>
    <w:rsid w:val="00BC1CF9"/>
    <w:rsid w:val="00BC229D"/>
    <w:rsid w:val="00BC23B0"/>
    <w:rsid w:val="00BC2496"/>
    <w:rsid w:val="00BC2708"/>
    <w:rsid w:val="00BC29CA"/>
    <w:rsid w:val="00BC2E95"/>
    <w:rsid w:val="00BC312C"/>
    <w:rsid w:val="00BC3166"/>
    <w:rsid w:val="00BC33AC"/>
    <w:rsid w:val="00BC3AA0"/>
    <w:rsid w:val="00BC3B55"/>
    <w:rsid w:val="00BC4418"/>
    <w:rsid w:val="00BC47ED"/>
    <w:rsid w:val="00BC48BD"/>
    <w:rsid w:val="00BC4AED"/>
    <w:rsid w:val="00BC51B0"/>
    <w:rsid w:val="00BC53B2"/>
    <w:rsid w:val="00BC541D"/>
    <w:rsid w:val="00BC5802"/>
    <w:rsid w:val="00BC5A7D"/>
    <w:rsid w:val="00BC60D8"/>
    <w:rsid w:val="00BC60FF"/>
    <w:rsid w:val="00BC61E6"/>
    <w:rsid w:val="00BC6E38"/>
    <w:rsid w:val="00BC6E63"/>
    <w:rsid w:val="00BC6F33"/>
    <w:rsid w:val="00BC6F5B"/>
    <w:rsid w:val="00BC706A"/>
    <w:rsid w:val="00BC743A"/>
    <w:rsid w:val="00BC792C"/>
    <w:rsid w:val="00BD08A5"/>
    <w:rsid w:val="00BD0CC3"/>
    <w:rsid w:val="00BD1004"/>
    <w:rsid w:val="00BD1037"/>
    <w:rsid w:val="00BD116F"/>
    <w:rsid w:val="00BD144C"/>
    <w:rsid w:val="00BD1867"/>
    <w:rsid w:val="00BD1F0A"/>
    <w:rsid w:val="00BD1F6C"/>
    <w:rsid w:val="00BD203A"/>
    <w:rsid w:val="00BD2618"/>
    <w:rsid w:val="00BD29B0"/>
    <w:rsid w:val="00BD2A14"/>
    <w:rsid w:val="00BD3F22"/>
    <w:rsid w:val="00BD3F2E"/>
    <w:rsid w:val="00BD4521"/>
    <w:rsid w:val="00BD486D"/>
    <w:rsid w:val="00BD489C"/>
    <w:rsid w:val="00BD49CE"/>
    <w:rsid w:val="00BD4F73"/>
    <w:rsid w:val="00BD52CD"/>
    <w:rsid w:val="00BD5BAD"/>
    <w:rsid w:val="00BD5BC6"/>
    <w:rsid w:val="00BD5E48"/>
    <w:rsid w:val="00BD63B2"/>
    <w:rsid w:val="00BD65CE"/>
    <w:rsid w:val="00BD66B6"/>
    <w:rsid w:val="00BD676F"/>
    <w:rsid w:val="00BD6910"/>
    <w:rsid w:val="00BD6B76"/>
    <w:rsid w:val="00BD6F74"/>
    <w:rsid w:val="00BD71B5"/>
    <w:rsid w:val="00BD7D42"/>
    <w:rsid w:val="00BD7D56"/>
    <w:rsid w:val="00BE043D"/>
    <w:rsid w:val="00BE0C32"/>
    <w:rsid w:val="00BE1323"/>
    <w:rsid w:val="00BE1A27"/>
    <w:rsid w:val="00BE1B7A"/>
    <w:rsid w:val="00BE2128"/>
    <w:rsid w:val="00BE238B"/>
    <w:rsid w:val="00BE31B3"/>
    <w:rsid w:val="00BE3B9A"/>
    <w:rsid w:val="00BE416C"/>
    <w:rsid w:val="00BE420F"/>
    <w:rsid w:val="00BE4554"/>
    <w:rsid w:val="00BE4784"/>
    <w:rsid w:val="00BE4AB5"/>
    <w:rsid w:val="00BE4D5C"/>
    <w:rsid w:val="00BE4DA7"/>
    <w:rsid w:val="00BE4FC7"/>
    <w:rsid w:val="00BE5227"/>
    <w:rsid w:val="00BE52EB"/>
    <w:rsid w:val="00BE5377"/>
    <w:rsid w:val="00BE5417"/>
    <w:rsid w:val="00BE54CE"/>
    <w:rsid w:val="00BE57B1"/>
    <w:rsid w:val="00BE6008"/>
    <w:rsid w:val="00BE6AA9"/>
    <w:rsid w:val="00BE6F31"/>
    <w:rsid w:val="00BE74F1"/>
    <w:rsid w:val="00BE7541"/>
    <w:rsid w:val="00BE76EE"/>
    <w:rsid w:val="00BE77AD"/>
    <w:rsid w:val="00BE786A"/>
    <w:rsid w:val="00BE7977"/>
    <w:rsid w:val="00BE7CAA"/>
    <w:rsid w:val="00BE7E6B"/>
    <w:rsid w:val="00BF02AF"/>
    <w:rsid w:val="00BF05D1"/>
    <w:rsid w:val="00BF0967"/>
    <w:rsid w:val="00BF09E2"/>
    <w:rsid w:val="00BF1142"/>
    <w:rsid w:val="00BF1371"/>
    <w:rsid w:val="00BF1670"/>
    <w:rsid w:val="00BF260E"/>
    <w:rsid w:val="00BF2713"/>
    <w:rsid w:val="00BF2814"/>
    <w:rsid w:val="00BF2C67"/>
    <w:rsid w:val="00BF319E"/>
    <w:rsid w:val="00BF3C25"/>
    <w:rsid w:val="00BF3FD6"/>
    <w:rsid w:val="00BF4090"/>
    <w:rsid w:val="00BF40F9"/>
    <w:rsid w:val="00BF4583"/>
    <w:rsid w:val="00BF4B3F"/>
    <w:rsid w:val="00BF4BF9"/>
    <w:rsid w:val="00BF4D79"/>
    <w:rsid w:val="00BF53B4"/>
    <w:rsid w:val="00BF53D5"/>
    <w:rsid w:val="00BF5432"/>
    <w:rsid w:val="00BF56AA"/>
    <w:rsid w:val="00BF59F8"/>
    <w:rsid w:val="00BF5A18"/>
    <w:rsid w:val="00BF5C8B"/>
    <w:rsid w:val="00BF672A"/>
    <w:rsid w:val="00BF697F"/>
    <w:rsid w:val="00BF69CD"/>
    <w:rsid w:val="00BF6AB2"/>
    <w:rsid w:val="00BF7090"/>
    <w:rsid w:val="00BF7199"/>
    <w:rsid w:val="00BF798A"/>
    <w:rsid w:val="00BF79B2"/>
    <w:rsid w:val="00BF7FB9"/>
    <w:rsid w:val="00C0059D"/>
    <w:rsid w:val="00C00843"/>
    <w:rsid w:val="00C00B25"/>
    <w:rsid w:val="00C00B3C"/>
    <w:rsid w:val="00C00BF7"/>
    <w:rsid w:val="00C00DC4"/>
    <w:rsid w:val="00C011D6"/>
    <w:rsid w:val="00C01474"/>
    <w:rsid w:val="00C017CD"/>
    <w:rsid w:val="00C01AEB"/>
    <w:rsid w:val="00C01C8D"/>
    <w:rsid w:val="00C01CAA"/>
    <w:rsid w:val="00C01D28"/>
    <w:rsid w:val="00C01E22"/>
    <w:rsid w:val="00C01E29"/>
    <w:rsid w:val="00C02080"/>
    <w:rsid w:val="00C02355"/>
    <w:rsid w:val="00C02538"/>
    <w:rsid w:val="00C029BC"/>
    <w:rsid w:val="00C02A74"/>
    <w:rsid w:val="00C02E57"/>
    <w:rsid w:val="00C02F05"/>
    <w:rsid w:val="00C030AD"/>
    <w:rsid w:val="00C030D9"/>
    <w:rsid w:val="00C031A2"/>
    <w:rsid w:val="00C03242"/>
    <w:rsid w:val="00C03245"/>
    <w:rsid w:val="00C03997"/>
    <w:rsid w:val="00C043AC"/>
    <w:rsid w:val="00C04537"/>
    <w:rsid w:val="00C0491B"/>
    <w:rsid w:val="00C04D39"/>
    <w:rsid w:val="00C04E7A"/>
    <w:rsid w:val="00C05345"/>
    <w:rsid w:val="00C06106"/>
    <w:rsid w:val="00C0689C"/>
    <w:rsid w:val="00C06E92"/>
    <w:rsid w:val="00C07101"/>
    <w:rsid w:val="00C0727B"/>
    <w:rsid w:val="00C07380"/>
    <w:rsid w:val="00C0767C"/>
    <w:rsid w:val="00C07712"/>
    <w:rsid w:val="00C10285"/>
    <w:rsid w:val="00C1088D"/>
    <w:rsid w:val="00C108BE"/>
    <w:rsid w:val="00C10EE6"/>
    <w:rsid w:val="00C1129B"/>
    <w:rsid w:val="00C112A2"/>
    <w:rsid w:val="00C11660"/>
    <w:rsid w:val="00C11893"/>
    <w:rsid w:val="00C11BA3"/>
    <w:rsid w:val="00C11C44"/>
    <w:rsid w:val="00C11CD3"/>
    <w:rsid w:val="00C1239B"/>
    <w:rsid w:val="00C123AF"/>
    <w:rsid w:val="00C1287F"/>
    <w:rsid w:val="00C12C44"/>
    <w:rsid w:val="00C12CF0"/>
    <w:rsid w:val="00C12D03"/>
    <w:rsid w:val="00C12DE0"/>
    <w:rsid w:val="00C12FC0"/>
    <w:rsid w:val="00C13553"/>
    <w:rsid w:val="00C13FEB"/>
    <w:rsid w:val="00C14119"/>
    <w:rsid w:val="00C141DB"/>
    <w:rsid w:val="00C145B0"/>
    <w:rsid w:val="00C1461E"/>
    <w:rsid w:val="00C14672"/>
    <w:rsid w:val="00C147CF"/>
    <w:rsid w:val="00C14B64"/>
    <w:rsid w:val="00C1505A"/>
    <w:rsid w:val="00C154DF"/>
    <w:rsid w:val="00C155B0"/>
    <w:rsid w:val="00C156A5"/>
    <w:rsid w:val="00C15A88"/>
    <w:rsid w:val="00C15B40"/>
    <w:rsid w:val="00C162F1"/>
    <w:rsid w:val="00C16627"/>
    <w:rsid w:val="00C1684F"/>
    <w:rsid w:val="00C16890"/>
    <w:rsid w:val="00C16F27"/>
    <w:rsid w:val="00C17252"/>
    <w:rsid w:val="00C17970"/>
    <w:rsid w:val="00C17A56"/>
    <w:rsid w:val="00C17C0B"/>
    <w:rsid w:val="00C20A48"/>
    <w:rsid w:val="00C20BCA"/>
    <w:rsid w:val="00C20CA0"/>
    <w:rsid w:val="00C20FF8"/>
    <w:rsid w:val="00C2106E"/>
    <w:rsid w:val="00C212A7"/>
    <w:rsid w:val="00C21EDD"/>
    <w:rsid w:val="00C22392"/>
    <w:rsid w:val="00C225CC"/>
    <w:rsid w:val="00C22814"/>
    <w:rsid w:val="00C22863"/>
    <w:rsid w:val="00C22CC2"/>
    <w:rsid w:val="00C23200"/>
    <w:rsid w:val="00C23389"/>
    <w:rsid w:val="00C23795"/>
    <w:rsid w:val="00C23A26"/>
    <w:rsid w:val="00C23C98"/>
    <w:rsid w:val="00C23CFB"/>
    <w:rsid w:val="00C23EBC"/>
    <w:rsid w:val="00C23F0D"/>
    <w:rsid w:val="00C2414A"/>
    <w:rsid w:val="00C241F6"/>
    <w:rsid w:val="00C24447"/>
    <w:rsid w:val="00C246ED"/>
    <w:rsid w:val="00C24D62"/>
    <w:rsid w:val="00C25542"/>
    <w:rsid w:val="00C255FA"/>
    <w:rsid w:val="00C25B5B"/>
    <w:rsid w:val="00C26773"/>
    <w:rsid w:val="00C26817"/>
    <w:rsid w:val="00C26E7C"/>
    <w:rsid w:val="00C26F7A"/>
    <w:rsid w:val="00C2752A"/>
    <w:rsid w:val="00C277F5"/>
    <w:rsid w:val="00C2799F"/>
    <w:rsid w:val="00C279A4"/>
    <w:rsid w:val="00C304C1"/>
    <w:rsid w:val="00C30594"/>
    <w:rsid w:val="00C307B7"/>
    <w:rsid w:val="00C30950"/>
    <w:rsid w:val="00C30D51"/>
    <w:rsid w:val="00C311D6"/>
    <w:rsid w:val="00C3169B"/>
    <w:rsid w:val="00C31751"/>
    <w:rsid w:val="00C3193F"/>
    <w:rsid w:val="00C31A0E"/>
    <w:rsid w:val="00C31CCB"/>
    <w:rsid w:val="00C3233C"/>
    <w:rsid w:val="00C32461"/>
    <w:rsid w:val="00C324CD"/>
    <w:rsid w:val="00C32B18"/>
    <w:rsid w:val="00C330F2"/>
    <w:rsid w:val="00C33268"/>
    <w:rsid w:val="00C33C19"/>
    <w:rsid w:val="00C33D8A"/>
    <w:rsid w:val="00C34015"/>
    <w:rsid w:val="00C343FA"/>
    <w:rsid w:val="00C34493"/>
    <w:rsid w:val="00C34740"/>
    <w:rsid w:val="00C34962"/>
    <w:rsid w:val="00C34B0A"/>
    <w:rsid w:val="00C34B5B"/>
    <w:rsid w:val="00C357A2"/>
    <w:rsid w:val="00C35809"/>
    <w:rsid w:val="00C35DF9"/>
    <w:rsid w:val="00C35E6F"/>
    <w:rsid w:val="00C3646B"/>
    <w:rsid w:val="00C36698"/>
    <w:rsid w:val="00C3675A"/>
    <w:rsid w:val="00C36CDA"/>
    <w:rsid w:val="00C36D63"/>
    <w:rsid w:val="00C36EC0"/>
    <w:rsid w:val="00C374D6"/>
    <w:rsid w:val="00C37C78"/>
    <w:rsid w:val="00C37F28"/>
    <w:rsid w:val="00C402DB"/>
    <w:rsid w:val="00C403E1"/>
    <w:rsid w:val="00C40577"/>
    <w:rsid w:val="00C4079E"/>
    <w:rsid w:val="00C407AE"/>
    <w:rsid w:val="00C40B33"/>
    <w:rsid w:val="00C40D42"/>
    <w:rsid w:val="00C40F90"/>
    <w:rsid w:val="00C4105D"/>
    <w:rsid w:val="00C41334"/>
    <w:rsid w:val="00C414A4"/>
    <w:rsid w:val="00C41575"/>
    <w:rsid w:val="00C41965"/>
    <w:rsid w:val="00C41B5B"/>
    <w:rsid w:val="00C41BAD"/>
    <w:rsid w:val="00C42217"/>
    <w:rsid w:val="00C424D7"/>
    <w:rsid w:val="00C4257E"/>
    <w:rsid w:val="00C42D59"/>
    <w:rsid w:val="00C43B99"/>
    <w:rsid w:val="00C43BFF"/>
    <w:rsid w:val="00C43CA5"/>
    <w:rsid w:val="00C43E78"/>
    <w:rsid w:val="00C43F67"/>
    <w:rsid w:val="00C440C8"/>
    <w:rsid w:val="00C44193"/>
    <w:rsid w:val="00C4429D"/>
    <w:rsid w:val="00C449C5"/>
    <w:rsid w:val="00C44C65"/>
    <w:rsid w:val="00C450F0"/>
    <w:rsid w:val="00C45220"/>
    <w:rsid w:val="00C45675"/>
    <w:rsid w:val="00C4595A"/>
    <w:rsid w:val="00C45F8C"/>
    <w:rsid w:val="00C4624A"/>
    <w:rsid w:val="00C4665C"/>
    <w:rsid w:val="00C472DB"/>
    <w:rsid w:val="00C47764"/>
    <w:rsid w:val="00C477C2"/>
    <w:rsid w:val="00C479BB"/>
    <w:rsid w:val="00C479EE"/>
    <w:rsid w:val="00C47A37"/>
    <w:rsid w:val="00C47B7F"/>
    <w:rsid w:val="00C47C42"/>
    <w:rsid w:val="00C500A6"/>
    <w:rsid w:val="00C5031F"/>
    <w:rsid w:val="00C503B7"/>
    <w:rsid w:val="00C5081C"/>
    <w:rsid w:val="00C508CB"/>
    <w:rsid w:val="00C50AA3"/>
    <w:rsid w:val="00C50AC9"/>
    <w:rsid w:val="00C50ECF"/>
    <w:rsid w:val="00C50F39"/>
    <w:rsid w:val="00C513B8"/>
    <w:rsid w:val="00C51645"/>
    <w:rsid w:val="00C516B5"/>
    <w:rsid w:val="00C51F5C"/>
    <w:rsid w:val="00C52196"/>
    <w:rsid w:val="00C521A0"/>
    <w:rsid w:val="00C521F1"/>
    <w:rsid w:val="00C52393"/>
    <w:rsid w:val="00C523B4"/>
    <w:rsid w:val="00C52ACC"/>
    <w:rsid w:val="00C52B6E"/>
    <w:rsid w:val="00C535E4"/>
    <w:rsid w:val="00C53875"/>
    <w:rsid w:val="00C53B4B"/>
    <w:rsid w:val="00C53B7D"/>
    <w:rsid w:val="00C53B92"/>
    <w:rsid w:val="00C53E14"/>
    <w:rsid w:val="00C53F20"/>
    <w:rsid w:val="00C540C0"/>
    <w:rsid w:val="00C544EF"/>
    <w:rsid w:val="00C54716"/>
    <w:rsid w:val="00C547D2"/>
    <w:rsid w:val="00C54CCE"/>
    <w:rsid w:val="00C550C1"/>
    <w:rsid w:val="00C5525F"/>
    <w:rsid w:val="00C55CAD"/>
    <w:rsid w:val="00C55EDB"/>
    <w:rsid w:val="00C55EEC"/>
    <w:rsid w:val="00C561A9"/>
    <w:rsid w:val="00C56586"/>
    <w:rsid w:val="00C56A1F"/>
    <w:rsid w:val="00C56C35"/>
    <w:rsid w:val="00C56D1E"/>
    <w:rsid w:val="00C56E13"/>
    <w:rsid w:val="00C57A4A"/>
    <w:rsid w:val="00C57B37"/>
    <w:rsid w:val="00C57C0A"/>
    <w:rsid w:val="00C57D50"/>
    <w:rsid w:val="00C603E1"/>
    <w:rsid w:val="00C60657"/>
    <w:rsid w:val="00C60CCA"/>
    <w:rsid w:val="00C60E02"/>
    <w:rsid w:val="00C60F45"/>
    <w:rsid w:val="00C60FE1"/>
    <w:rsid w:val="00C6108C"/>
    <w:rsid w:val="00C617B8"/>
    <w:rsid w:val="00C618E4"/>
    <w:rsid w:val="00C61A11"/>
    <w:rsid w:val="00C61FD6"/>
    <w:rsid w:val="00C62352"/>
    <w:rsid w:val="00C6247E"/>
    <w:rsid w:val="00C62F05"/>
    <w:rsid w:val="00C63172"/>
    <w:rsid w:val="00C63284"/>
    <w:rsid w:val="00C6358E"/>
    <w:rsid w:val="00C63A55"/>
    <w:rsid w:val="00C63AC7"/>
    <w:rsid w:val="00C641CB"/>
    <w:rsid w:val="00C64681"/>
    <w:rsid w:val="00C64BE2"/>
    <w:rsid w:val="00C64C5D"/>
    <w:rsid w:val="00C64D21"/>
    <w:rsid w:val="00C65090"/>
    <w:rsid w:val="00C651C7"/>
    <w:rsid w:val="00C66122"/>
    <w:rsid w:val="00C6613D"/>
    <w:rsid w:val="00C6670D"/>
    <w:rsid w:val="00C6675B"/>
    <w:rsid w:val="00C669E3"/>
    <w:rsid w:val="00C669E4"/>
    <w:rsid w:val="00C66E75"/>
    <w:rsid w:val="00C676D3"/>
    <w:rsid w:val="00C678B2"/>
    <w:rsid w:val="00C678BE"/>
    <w:rsid w:val="00C67AD4"/>
    <w:rsid w:val="00C67C08"/>
    <w:rsid w:val="00C67D30"/>
    <w:rsid w:val="00C67E94"/>
    <w:rsid w:val="00C67F97"/>
    <w:rsid w:val="00C70031"/>
    <w:rsid w:val="00C7006C"/>
    <w:rsid w:val="00C70167"/>
    <w:rsid w:val="00C702B6"/>
    <w:rsid w:val="00C70531"/>
    <w:rsid w:val="00C707E1"/>
    <w:rsid w:val="00C70C3C"/>
    <w:rsid w:val="00C70DA2"/>
    <w:rsid w:val="00C70E65"/>
    <w:rsid w:val="00C70F03"/>
    <w:rsid w:val="00C71381"/>
    <w:rsid w:val="00C7139A"/>
    <w:rsid w:val="00C7167C"/>
    <w:rsid w:val="00C7167E"/>
    <w:rsid w:val="00C71919"/>
    <w:rsid w:val="00C71A00"/>
    <w:rsid w:val="00C71B07"/>
    <w:rsid w:val="00C71B41"/>
    <w:rsid w:val="00C7214E"/>
    <w:rsid w:val="00C7237C"/>
    <w:rsid w:val="00C72DA3"/>
    <w:rsid w:val="00C73023"/>
    <w:rsid w:val="00C73C4D"/>
    <w:rsid w:val="00C73DAB"/>
    <w:rsid w:val="00C74129"/>
    <w:rsid w:val="00C74304"/>
    <w:rsid w:val="00C7465C"/>
    <w:rsid w:val="00C747BA"/>
    <w:rsid w:val="00C74965"/>
    <w:rsid w:val="00C74C8C"/>
    <w:rsid w:val="00C74FFE"/>
    <w:rsid w:val="00C75183"/>
    <w:rsid w:val="00C7547B"/>
    <w:rsid w:val="00C75543"/>
    <w:rsid w:val="00C75600"/>
    <w:rsid w:val="00C75F16"/>
    <w:rsid w:val="00C765D0"/>
    <w:rsid w:val="00C7664B"/>
    <w:rsid w:val="00C766C6"/>
    <w:rsid w:val="00C76FB0"/>
    <w:rsid w:val="00C770B9"/>
    <w:rsid w:val="00C771B2"/>
    <w:rsid w:val="00C771BF"/>
    <w:rsid w:val="00C775A4"/>
    <w:rsid w:val="00C77665"/>
    <w:rsid w:val="00C77805"/>
    <w:rsid w:val="00C77A7B"/>
    <w:rsid w:val="00C77C50"/>
    <w:rsid w:val="00C77D20"/>
    <w:rsid w:val="00C77E82"/>
    <w:rsid w:val="00C802C4"/>
    <w:rsid w:val="00C80C08"/>
    <w:rsid w:val="00C80C5B"/>
    <w:rsid w:val="00C80FE2"/>
    <w:rsid w:val="00C812CF"/>
    <w:rsid w:val="00C8141B"/>
    <w:rsid w:val="00C8152E"/>
    <w:rsid w:val="00C81758"/>
    <w:rsid w:val="00C8185E"/>
    <w:rsid w:val="00C819A5"/>
    <w:rsid w:val="00C81CE0"/>
    <w:rsid w:val="00C825C0"/>
    <w:rsid w:val="00C82DDD"/>
    <w:rsid w:val="00C83309"/>
    <w:rsid w:val="00C836B7"/>
    <w:rsid w:val="00C837A4"/>
    <w:rsid w:val="00C839DD"/>
    <w:rsid w:val="00C843FF"/>
    <w:rsid w:val="00C84690"/>
    <w:rsid w:val="00C846CE"/>
    <w:rsid w:val="00C8492C"/>
    <w:rsid w:val="00C84DEE"/>
    <w:rsid w:val="00C84E5F"/>
    <w:rsid w:val="00C84EEE"/>
    <w:rsid w:val="00C85227"/>
    <w:rsid w:val="00C85685"/>
    <w:rsid w:val="00C85A27"/>
    <w:rsid w:val="00C85C14"/>
    <w:rsid w:val="00C8605F"/>
    <w:rsid w:val="00C86372"/>
    <w:rsid w:val="00C86956"/>
    <w:rsid w:val="00C86D05"/>
    <w:rsid w:val="00C87336"/>
    <w:rsid w:val="00C874BE"/>
    <w:rsid w:val="00C875D1"/>
    <w:rsid w:val="00C876A2"/>
    <w:rsid w:val="00C87A18"/>
    <w:rsid w:val="00C87F22"/>
    <w:rsid w:val="00C9014F"/>
    <w:rsid w:val="00C901EC"/>
    <w:rsid w:val="00C90309"/>
    <w:rsid w:val="00C9040A"/>
    <w:rsid w:val="00C91086"/>
    <w:rsid w:val="00C910BA"/>
    <w:rsid w:val="00C911CE"/>
    <w:rsid w:val="00C9136B"/>
    <w:rsid w:val="00C9141C"/>
    <w:rsid w:val="00C914F9"/>
    <w:rsid w:val="00C91AA0"/>
    <w:rsid w:val="00C91C23"/>
    <w:rsid w:val="00C91D4D"/>
    <w:rsid w:val="00C91EA6"/>
    <w:rsid w:val="00C92015"/>
    <w:rsid w:val="00C92151"/>
    <w:rsid w:val="00C9230F"/>
    <w:rsid w:val="00C925C4"/>
    <w:rsid w:val="00C92708"/>
    <w:rsid w:val="00C9298D"/>
    <w:rsid w:val="00C92DD2"/>
    <w:rsid w:val="00C93003"/>
    <w:rsid w:val="00C9311D"/>
    <w:rsid w:val="00C9330D"/>
    <w:rsid w:val="00C936BB"/>
    <w:rsid w:val="00C93748"/>
    <w:rsid w:val="00C93FED"/>
    <w:rsid w:val="00C9415D"/>
    <w:rsid w:val="00C94723"/>
    <w:rsid w:val="00C9484A"/>
    <w:rsid w:val="00C94CF5"/>
    <w:rsid w:val="00C94EAE"/>
    <w:rsid w:val="00C955AA"/>
    <w:rsid w:val="00C95904"/>
    <w:rsid w:val="00C95DE0"/>
    <w:rsid w:val="00C967D8"/>
    <w:rsid w:val="00C9697B"/>
    <w:rsid w:val="00C96A3B"/>
    <w:rsid w:val="00C96D1D"/>
    <w:rsid w:val="00C96FE9"/>
    <w:rsid w:val="00C970A5"/>
    <w:rsid w:val="00C97169"/>
    <w:rsid w:val="00C972F2"/>
    <w:rsid w:val="00C97316"/>
    <w:rsid w:val="00C9746E"/>
    <w:rsid w:val="00C9786B"/>
    <w:rsid w:val="00C97C6A"/>
    <w:rsid w:val="00CA02A9"/>
    <w:rsid w:val="00CA0736"/>
    <w:rsid w:val="00CA0E4D"/>
    <w:rsid w:val="00CA0E78"/>
    <w:rsid w:val="00CA1B5A"/>
    <w:rsid w:val="00CA1C69"/>
    <w:rsid w:val="00CA1C94"/>
    <w:rsid w:val="00CA2115"/>
    <w:rsid w:val="00CA22CA"/>
    <w:rsid w:val="00CA29A4"/>
    <w:rsid w:val="00CA2B4C"/>
    <w:rsid w:val="00CA2C56"/>
    <w:rsid w:val="00CA3A79"/>
    <w:rsid w:val="00CA3C6B"/>
    <w:rsid w:val="00CA3C8A"/>
    <w:rsid w:val="00CA3E22"/>
    <w:rsid w:val="00CA4167"/>
    <w:rsid w:val="00CA4332"/>
    <w:rsid w:val="00CA48B7"/>
    <w:rsid w:val="00CA4C60"/>
    <w:rsid w:val="00CA57B0"/>
    <w:rsid w:val="00CA57E3"/>
    <w:rsid w:val="00CA586F"/>
    <w:rsid w:val="00CA5E4C"/>
    <w:rsid w:val="00CA6227"/>
    <w:rsid w:val="00CA62C5"/>
    <w:rsid w:val="00CA6312"/>
    <w:rsid w:val="00CA6DC5"/>
    <w:rsid w:val="00CA72AC"/>
    <w:rsid w:val="00CA7376"/>
    <w:rsid w:val="00CA73DC"/>
    <w:rsid w:val="00CA7424"/>
    <w:rsid w:val="00CB02D2"/>
    <w:rsid w:val="00CB04F6"/>
    <w:rsid w:val="00CB05BE"/>
    <w:rsid w:val="00CB0BAE"/>
    <w:rsid w:val="00CB0C32"/>
    <w:rsid w:val="00CB0E94"/>
    <w:rsid w:val="00CB0EBB"/>
    <w:rsid w:val="00CB11A3"/>
    <w:rsid w:val="00CB17AD"/>
    <w:rsid w:val="00CB19B7"/>
    <w:rsid w:val="00CB19EE"/>
    <w:rsid w:val="00CB20DE"/>
    <w:rsid w:val="00CB237A"/>
    <w:rsid w:val="00CB2500"/>
    <w:rsid w:val="00CB2923"/>
    <w:rsid w:val="00CB2DDF"/>
    <w:rsid w:val="00CB2E18"/>
    <w:rsid w:val="00CB2EE9"/>
    <w:rsid w:val="00CB3081"/>
    <w:rsid w:val="00CB390A"/>
    <w:rsid w:val="00CB405D"/>
    <w:rsid w:val="00CB40CC"/>
    <w:rsid w:val="00CB432A"/>
    <w:rsid w:val="00CB4727"/>
    <w:rsid w:val="00CB4740"/>
    <w:rsid w:val="00CB4B60"/>
    <w:rsid w:val="00CB4C49"/>
    <w:rsid w:val="00CB4DF5"/>
    <w:rsid w:val="00CB5384"/>
    <w:rsid w:val="00CB53C4"/>
    <w:rsid w:val="00CB5677"/>
    <w:rsid w:val="00CB58EB"/>
    <w:rsid w:val="00CB59AE"/>
    <w:rsid w:val="00CB5AFF"/>
    <w:rsid w:val="00CB5EEC"/>
    <w:rsid w:val="00CB613F"/>
    <w:rsid w:val="00CB6357"/>
    <w:rsid w:val="00CB6461"/>
    <w:rsid w:val="00CB6766"/>
    <w:rsid w:val="00CB6A85"/>
    <w:rsid w:val="00CB6B51"/>
    <w:rsid w:val="00CB7960"/>
    <w:rsid w:val="00CC0223"/>
    <w:rsid w:val="00CC06E2"/>
    <w:rsid w:val="00CC0A59"/>
    <w:rsid w:val="00CC1884"/>
    <w:rsid w:val="00CC197E"/>
    <w:rsid w:val="00CC1D82"/>
    <w:rsid w:val="00CC1EF7"/>
    <w:rsid w:val="00CC2089"/>
    <w:rsid w:val="00CC33F0"/>
    <w:rsid w:val="00CC3482"/>
    <w:rsid w:val="00CC362A"/>
    <w:rsid w:val="00CC3E3D"/>
    <w:rsid w:val="00CC3F33"/>
    <w:rsid w:val="00CC4009"/>
    <w:rsid w:val="00CC43B8"/>
    <w:rsid w:val="00CC4546"/>
    <w:rsid w:val="00CC5307"/>
    <w:rsid w:val="00CC54C6"/>
    <w:rsid w:val="00CC558C"/>
    <w:rsid w:val="00CC57C1"/>
    <w:rsid w:val="00CC5900"/>
    <w:rsid w:val="00CC61E1"/>
    <w:rsid w:val="00CC6D44"/>
    <w:rsid w:val="00CC745C"/>
    <w:rsid w:val="00CC7484"/>
    <w:rsid w:val="00CC75A4"/>
    <w:rsid w:val="00CD041A"/>
    <w:rsid w:val="00CD0427"/>
    <w:rsid w:val="00CD0680"/>
    <w:rsid w:val="00CD0CA5"/>
    <w:rsid w:val="00CD1470"/>
    <w:rsid w:val="00CD1613"/>
    <w:rsid w:val="00CD1833"/>
    <w:rsid w:val="00CD18CD"/>
    <w:rsid w:val="00CD1A35"/>
    <w:rsid w:val="00CD204F"/>
    <w:rsid w:val="00CD2119"/>
    <w:rsid w:val="00CD24D4"/>
    <w:rsid w:val="00CD24D9"/>
    <w:rsid w:val="00CD25D9"/>
    <w:rsid w:val="00CD30A1"/>
    <w:rsid w:val="00CD3375"/>
    <w:rsid w:val="00CD3986"/>
    <w:rsid w:val="00CD399B"/>
    <w:rsid w:val="00CD3D34"/>
    <w:rsid w:val="00CD3E7A"/>
    <w:rsid w:val="00CD4344"/>
    <w:rsid w:val="00CD4803"/>
    <w:rsid w:val="00CD4BE7"/>
    <w:rsid w:val="00CD4C36"/>
    <w:rsid w:val="00CD4E94"/>
    <w:rsid w:val="00CD5378"/>
    <w:rsid w:val="00CD546A"/>
    <w:rsid w:val="00CD56A0"/>
    <w:rsid w:val="00CD5FA9"/>
    <w:rsid w:val="00CD619A"/>
    <w:rsid w:val="00CD64D9"/>
    <w:rsid w:val="00CD7170"/>
    <w:rsid w:val="00CD72D7"/>
    <w:rsid w:val="00CD7556"/>
    <w:rsid w:val="00CD75F9"/>
    <w:rsid w:val="00CD77B3"/>
    <w:rsid w:val="00CD781A"/>
    <w:rsid w:val="00CD7AA7"/>
    <w:rsid w:val="00CE02E2"/>
    <w:rsid w:val="00CE042C"/>
    <w:rsid w:val="00CE09D9"/>
    <w:rsid w:val="00CE11C7"/>
    <w:rsid w:val="00CE19BA"/>
    <w:rsid w:val="00CE1E9A"/>
    <w:rsid w:val="00CE215E"/>
    <w:rsid w:val="00CE2AB7"/>
    <w:rsid w:val="00CE2B46"/>
    <w:rsid w:val="00CE2D72"/>
    <w:rsid w:val="00CE413D"/>
    <w:rsid w:val="00CE4734"/>
    <w:rsid w:val="00CE47E5"/>
    <w:rsid w:val="00CE4E22"/>
    <w:rsid w:val="00CE500F"/>
    <w:rsid w:val="00CE54B7"/>
    <w:rsid w:val="00CE566B"/>
    <w:rsid w:val="00CE5704"/>
    <w:rsid w:val="00CE5917"/>
    <w:rsid w:val="00CE5D9B"/>
    <w:rsid w:val="00CE6799"/>
    <w:rsid w:val="00CE68A4"/>
    <w:rsid w:val="00CE69A7"/>
    <w:rsid w:val="00CE6B89"/>
    <w:rsid w:val="00CE6B8C"/>
    <w:rsid w:val="00CE6D81"/>
    <w:rsid w:val="00CE6D8E"/>
    <w:rsid w:val="00CE6DB5"/>
    <w:rsid w:val="00CE6DE6"/>
    <w:rsid w:val="00CE760C"/>
    <w:rsid w:val="00CE784A"/>
    <w:rsid w:val="00CE7C5F"/>
    <w:rsid w:val="00CE7DCD"/>
    <w:rsid w:val="00CE7E08"/>
    <w:rsid w:val="00CF0080"/>
    <w:rsid w:val="00CF03F3"/>
    <w:rsid w:val="00CF0B81"/>
    <w:rsid w:val="00CF100A"/>
    <w:rsid w:val="00CF1353"/>
    <w:rsid w:val="00CF1542"/>
    <w:rsid w:val="00CF1957"/>
    <w:rsid w:val="00CF1A7A"/>
    <w:rsid w:val="00CF1D26"/>
    <w:rsid w:val="00CF2622"/>
    <w:rsid w:val="00CF27E7"/>
    <w:rsid w:val="00CF2BFA"/>
    <w:rsid w:val="00CF2C2C"/>
    <w:rsid w:val="00CF340F"/>
    <w:rsid w:val="00CF3756"/>
    <w:rsid w:val="00CF3C54"/>
    <w:rsid w:val="00CF3C94"/>
    <w:rsid w:val="00CF423E"/>
    <w:rsid w:val="00CF505A"/>
    <w:rsid w:val="00CF50E9"/>
    <w:rsid w:val="00CF531A"/>
    <w:rsid w:val="00CF5B65"/>
    <w:rsid w:val="00CF6128"/>
    <w:rsid w:val="00CF643E"/>
    <w:rsid w:val="00CF6502"/>
    <w:rsid w:val="00CF654C"/>
    <w:rsid w:val="00CF73E2"/>
    <w:rsid w:val="00CF7C95"/>
    <w:rsid w:val="00CF7FD6"/>
    <w:rsid w:val="00D003DE"/>
    <w:rsid w:val="00D00653"/>
    <w:rsid w:val="00D007BD"/>
    <w:rsid w:val="00D008BD"/>
    <w:rsid w:val="00D00C4A"/>
    <w:rsid w:val="00D00FCC"/>
    <w:rsid w:val="00D013F2"/>
    <w:rsid w:val="00D015C3"/>
    <w:rsid w:val="00D0193F"/>
    <w:rsid w:val="00D0198E"/>
    <w:rsid w:val="00D019F6"/>
    <w:rsid w:val="00D02240"/>
    <w:rsid w:val="00D02313"/>
    <w:rsid w:val="00D0240B"/>
    <w:rsid w:val="00D030A4"/>
    <w:rsid w:val="00D03196"/>
    <w:rsid w:val="00D035F8"/>
    <w:rsid w:val="00D03613"/>
    <w:rsid w:val="00D03E5D"/>
    <w:rsid w:val="00D047ED"/>
    <w:rsid w:val="00D049DE"/>
    <w:rsid w:val="00D04E34"/>
    <w:rsid w:val="00D04F6F"/>
    <w:rsid w:val="00D0501A"/>
    <w:rsid w:val="00D054A3"/>
    <w:rsid w:val="00D05847"/>
    <w:rsid w:val="00D05C4C"/>
    <w:rsid w:val="00D05D18"/>
    <w:rsid w:val="00D05E9A"/>
    <w:rsid w:val="00D061FF"/>
    <w:rsid w:val="00D0630C"/>
    <w:rsid w:val="00D06676"/>
    <w:rsid w:val="00D068C8"/>
    <w:rsid w:val="00D0728A"/>
    <w:rsid w:val="00D075BD"/>
    <w:rsid w:val="00D0791C"/>
    <w:rsid w:val="00D10237"/>
    <w:rsid w:val="00D10623"/>
    <w:rsid w:val="00D1066F"/>
    <w:rsid w:val="00D10DEA"/>
    <w:rsid w:val="00D11053"/>
    <w:rsid w:val="00D11635"/>
    <w:rsid w:val="00D11BBA"/>
    <w:rsid w:val="00D11BE3"/>
    <w:rsid w:val="00D11C49"/>
    <w:rsid w:val="00D12427"/>
    <w:rsid w:val="00D124EA"/>
    <w:rsid w:val="00D129F0"/>
    <w:rsid w:val="00D12BE1"/>
    <w:rsid w:val="00D12E15"/>
    <w:rsid w:val="00D1350D"/>
    <w:rsid w:val="00D1354A"/>
    <w:rsid w:val="00D13778"/>
    <w:rsid w:val="00D13A0F"/>
    <w:rsid w:val="00D14210"/>
    <w:rsid w:val="00D14A9C"/>
    <w:rsid w:val="00D14D3E"/>
    <w:rsid w:val="00D14DD7"/>
    <w:rsid w:val="00D14F91"/>
    <w:rsid w:val="00D14FFF"/>
    <w:rsid w:val="00D157BD"/>
    <w:rsid w:val="00D1586E"/>
    <w:rsid w:val="00D15891"/>
    <w:rsid w:val="00D15B49"/>
    <w:rsid w:val="00D15D85"/>
    <w:rsid w:val="00D160E0"/>
    <w:rsid w:val="00D16620"/>
    <w:rsid w:val="00D166DB"/>
    <w:rsid w:val="00D166F5"/>
    <w:rsid w:val="00D169AE"/>
    <w:rsid w:val="00D16A70"/>
    <w:rsid w:val="00D170BC"/>
    <w:rsid w:val="00D17757"/>
    <w:rsid w:val="00D179E6"/>
    <w:rsid w:val="00D179EC"/>
    <w:rsid w:val="00D17C34"/>
    <w:rsid w:val="00D17E6E"/>
    <w:rsid w:val="00D17F1D"/>
    <w:rsid w:val="00D20377"/>
    <w:rsid w:val="00D2053F"/>
    <w:rsid w:val="00D20C4B"/>
    <w:rsid w:val="00D20ECD"/>
    <w:rsid w:val="00D21532"/>
    <w:rsid w:val="00D21671"/>
    <w:rsid w:val="00D218DD"/>
    <w:rsid w:val="00D21A22"/>
    <w:rsid w:val="00D21DCE"/>
    <w:rsid w:val="00D220F5"/>
    <w:rsid w:val="00D222A1"/>
    <w:rsid w:val="00D22383"/>
    <w:rsid w:val="00D22468"/>
    <w:rsid w:val="00D2264F"/>
    <w:rsid w:val="00D229C7"/>
    <w:rsid w:val="00D23480"/>
    <w:rsid w:val="00D235C5"/>
    <w:rsid w:val="00D235D2"/>
    <w:rsid w:val="00D236A5"/>
    <w:rsid w:val="00D23746"/>
    <w:rsid w:val="00D23773"/>
    <w:rsid w:val="00D24407"/>
    <w:rsid w:val="00D24576"/>
    <w:rsid w:val="00D24844"/>
    <w:rsid w:val="00D2490F"/>
    <w:rsid w:val="00D249F7"/>
    <w:rsid w:val="00D24B67"/>
    <w:rsid w:val="00D24C77"/>
    <w:rsid w:val="00D25EAE"/>
    <w:rsid w:val="00D260DC"/>
    <w:rsid w:val="00D26276"/>
    <w:rsid w:val="00D26468"/>
    <w:rsid w:val="00D26905"/>
    <w:rsid w:val="00D26F2F"/>
    <w:rsid w:val="00D2748F"/>
    <w:rsid w:val="00D2798A"/>
    <w:rsid w:val="00D27AD7"/>
    <w:rsid w:val="00D301DD"/>
    <w:rsid w:val="00D30234"/>
    <w:rsid w:val="00D30684"/>
    <w:rsid w:val="00D30D24"/>
    <w:rsid w:val="00D311A0"/>
    <w:rsid w:val="00D31433"/>
    <w:rsid w:val="00D3185A"/>
    <w:rsid w:val="00D31CED"/>
    <w:rsid w:val="00D31ED8"/>
    <w:rsid w:val="00D3237D"/>
    <w:rsid w:val="00D32517"/>
    <w:rsid w:val="00D32AF0"/>
    <w:rsid w:val="00D32C75"/>
    <w:rsid w:val="00D32FE2"/>
    <w:rsid w:val="00D3332B"/>
    <w:rsid w:val="00D33429"/>
    <w:rsid w:val="00D334BA"/>
    <w:rsid w:val="00D33FEA"/>
    <w:rsid w:val="00D34BAF"/>
    <w:rsid w:val="00D34C4E"/>
    <w:rsid w:val="00D34D38"/>
    <w:rsid w:val="00D34F98"/>
    <w:rsid w:val="00D35010"/>
    <w:rsid w:val="00D35270"/>
    <w:rsid w:val="00D35337"/>
    <w:rsid w:val="00D3545E"/>
    <w:rsid w:val="00D35504"/>
    <w:rsid w:val="00D35624"/>
    <w:rsid w:val="00D358F5"/>
    <w:rsid w:val="00D35C82"/>
    <w:rsid w:val="00D36238"/>
    <w:rsid w:val="00D363FF"/>
    <w:rsid w:val="00D364B7"/>
    <w:rsid w:val="00D364DE"/>
    <w:rsid w:val="00D366DE"/>
    <w:rsid w:val="00D36E58"/>
    <w:rsid w:val="00D3753A"/>
    <w:rsid w:val="00D376C8"/>
    <w:rsid w:val="00D37744"/>
    <w:rsid w:val="00D3778F"/>
    <w:rsid w:val="00D37807"/>
    <w:rsid w:val="00D37BDD"/>
    <w:rsid w:val="00D37ED6"/>
    <w:rsid w:val="00D37F5F"/>
    <w:rsid w:val="00D405D4"/>
    <w:rsid w:val="00D406CD"/>
    <w:rsid w:val="00D40D1A"/>
    <w:rsid w:val="00D412C5"/>
    <w:rsid w:val="00D414D9"/>
    <w:rsid w:val="00D4176E"/>
    <w:rsid w:val="00D41F71"/>
    <w:rsid w:val="00D42333"/>
    <w:rsid w:val="00D428C9"/>
    <w:rsid w:val="00D42914"/>
    <w:rsid w:val="00D42A66"/>
    <w:rsid w:val="00D43089"/>
    <w:rsid w:val="00D43340"/>
    <w:rsid w:val="00D4374C"/>
    <w:rsid w:val="00D438EE"/>
    <w:rsid w:val="00D43A94"/>
    <w:rsid w:val="00D43DE6"/>
    <w:rsid w:val="00D43E79"/>
    <w:rsid w:val="00D441D7"/>
    <w:rsid w:val="00D448F8"/>
    <w:rsid w:val="00D44BDA"/>
    <w:rsid w:val="00D44E5F"/>
    <w:rsid w:val="00D44FFF"/>
    <w:rsid w:val="00D452E0"/>
    <w:rsid w:val="00D4554F"/>
    <w:rsid w:val="00D456C2"/>
    <w:rsid w:val="00D45979"/>
    <w:rsid w:val="00D45AA1"/>
    <w:rsid w:val="00D45FBB"/>
    <w:rsid w:val="00D4640F"/>
    <w:rsid w:val="00D46DCA"/>
    <w:rsid w:val="00D4714F"/>
    <w:rsid w:val="00D4777C"/>
    <w:rsid w:val="00D477ED"/>
    <w:rsid w:val="00D47B2B"/>
    <w:rsid w:val="00D47F84"/>
    <w:rsid w:val="00D47F9A"/>
    <w:rsid w:val="00D50123"/>
    <w:rsid w:val="00D50709"/>
    <w:rsid w:val="00D50D7E"/>
    <w:rsid w:val="00D511F4"/>
    <w:rsid w:val="00D512CE"/>
    <w:rsid w:val="00D5149E"/>
    <w:rsid w:val="00D5158E"/>
    <w:rsid w:val="00D51A9F"/>
    <w:rsid w:val="00D51C3D"/>
    <w:rsid w:val="00D523F2"/>
    <w:rsid w:val="00D52A25"/>
    <w:rsid w:val="00D52CD6"/>
    <w:rsid w:val="00D52E74"/>
    <w:rsid w:val="00D53E88"/>
    <w:rsid w:val="00D5429F"/>
    <w:rsid w:val="00D542E6"/>
    <w:rsid w:val="00D547EE"/>
    <w:rsid w:val="00D5489B"/>
    <w:rsid w:val="00D54E7D"/>
    <w:rsid w:val="00D54EEF"/>
    <w:rsid w:val="00D55367"/>
    <w:rsid w:val="00D55444"/>
    <w:rsid w:val="00D5571D"/>
    <w:rsid w:val="00D55E49"/>
    <w:rsid w:val="00D5638A"/>
    <w:rsid w:val="00D56B1E"/>
    <w:rsid w:val="00D56DCA"/>
    <w:rsid w:val="00D570EB"/>
    <w:rsid w:val="00D57353"/>
    <w:rsid w:val="00D5748A"/>
    <w:rsid w:val="00D5798C"/>
    <w:rsid w:val="00D57E2D"/>
    <w:rsid w:val="00D603C2"/>
    <w:rsid w:val="00D60574"/>
    <w:rsid w:val="00D60FB7"/>
    <w:rsid w:val="00D611EB"/>
    <w:rsid w:val="00D61F13"/>
    <w:rsid w:val="00D620B7"/>
    <w:rsid w:val="00D6214F"/>
    <w:rsid w:val="00D62455"/>
    <w:rsid w:val="00D62471"/>
    <w:rsid w:val="00D62ADF"/>
    <w:rsid w:val="00D62C83"/>
    <w:rsid w:val="00D62F07"/>
    <w:rsid w:val="00D62FDD"/>
    <w:rsid w:val="00D6367A"/>
    <w:rsid w:val="00D639C1"/>
    <w:rsid w:val="00D63E10"/>
    <w:rsid w:val="00D63E2B"/>
    <w:rsid w:val="00D65005"/>
    <w:rsid w:val="00D65134"/>
    <w:rsid w:val="00D656EE"/>
    <w:rsid w:val="00D65BD1"/>
    <w:rsid w:val="00D6609B"/>
    <w:rsid w:val="00D663AB"/>
    <w:rsid w:val="00D66C4C"/>
    <w:rsid w:val="00D66E0F"/>
    <w:rsid w:val="00D66FDE"/>
    <w:rsid w:val="00D67436"/>
    <w:rsid w:val="00D679BB"/>
    <w:rsid w:val="00D67B86"/>
    <w:rsid w:val="00D67BAC"/>
    <w:rsid w:val="00D67D60"/>
    <w:rsid w:val="00D67F1E"/>
    <w:rsid w:val="00D70292"/>
    <w:rsid w:val="00D70297"/>
    <w:rsid w:val="00D702B3"/>
    <w:rsid w:val="00D704AC"/>
    <w:rsid w:val="00D70CF5"/>
    <w:rsid w:val="00D71948"/>
    <w:rsid w:val="00D719B6"/>
    <w:rsid w:val="00D71E2E"/>
    <w:rsid w:val="00D71F97"/>
    <w:rsid w:val="00D720D4"/>
    <w:rsid w:val="00D7250C"/>
    <w:rsid w:val="00D72BFE"/>
    <w:rsid w:val="00D736EE"/>
    <w:rsid w:val="00D7377F"/>
    <w:rsid w:val="00D73E04"/>
    <w:rsid w:val="00D74033"/>
    <w:rsid w:val="00D7423F"/>
    <w:rsid w:val="00D7426B"/>
    <w:rsid w:val="00D7433F"/>
    <w:rsid w:val="00D748E0"/>
    <w:rsid w:val="00D74963"/>
    <w:rsid w:val="00D74A09"/>
    <w:rsid w:val="00D74A70"/>
    <w:rsid w:val="00D74B04"/>
    <w:rsid w:val="00D74E9F"/>
    <w:rsid w:val="00D751F8"/>
    <w:rsid w:val="00D75D3C"/>
    <w:rsid w:val="00D75E28"/>
    <w:rsid w:val="00D760BB"/>
    <w:rsid w:val="00D7617B"/>
    <w:rsid w:val="00D76A9E"/>
    <w:rsid w:val="00D771A4"/>
    <w:rsid w:val="00D77273"/>
    <w:rsid w:val="00D772CC"/>
    <w:rsid w:val="00D7742C"/>
    <w:rsid w:val="00D77678"/>
    <w:rsid w:val="00D77B05"/>
    <w:rsid w:val="00D77D42"/>
    <w:rsid w:val="00D77E15"/>
    <w:rsid w:val="00D80048"/>
    <w:rsid w:val="00D802EB"/>
    <w:rsid w:val="00D806E0"/>
    <w:rsid w:val="00D80903"/>
    <w:rsid w:val="00D810F3"/>
    <w:rsid w:val="00D81179"/>
    <w:rsid w:val="00D813A0"/>
    <w:rsid w:val="00D816C3"/>
    <w:rsid w:val="00D81B08"/>
    <w:rsid w:val="00D823A0"/>
    <w:rsid w:val="00D8263D"/>
    <w:rsid w:val="00D82ACD"/>
    <w:rsid w:val="00D82C40"/>
    <w:rsid w:val="00D82CB1"/>
    <w:rsid w:val="00D8323D"/>
    <w:rsid w:val="00D835E5"/>
    <w:rsid w:val="00D83A6F"/>
    <w:rsid w:val="00D83D5E"/>
    <w:rsid w:val="00D84FE0"/>
    <w:rsid w:val="00D850A5"/>
    <w:rsid w:val="00D8544F"/>
    <w:rsid w:val="00D85608"/>
    <w:rsid w:val="00D857D0"/>
    <w:rsid w:val="00D862C2"/>
    <w:rsid w:val="00D867C4"/>
    <w:rsid w:val="00D86EAB"/>
    <w:rsid w:val="00D86EB2"/>
    <w:rsid w:val="00D86FF8"/>
    <w:rsid w:val="00D87429"/>
    <w:rsid w:val="00D87D4F"/>
    <w:rsid w:val="00D9006A"/>
    <w:rsid w:val="00D90199"/>
    <w:rsid w:val="00D90371"/>
    <w:rsid w:val="00D90598"/>
    <w:rsid w:val="00D9076C"/>
    <w:rsid w:val="00D90A26"/>
    <w:rsid w:val="00D90BC4"/>
    <w:rsid w:val="00D912E7"/>
    <w:rsid w:val="00D916C5"/>
    <w:rsid w:val="00D916EF"/>
    <w:rsid w:val="00D918EC"/>
    <w:rsid w:val="00D91C66"/>
    <w:rsid w:val="00D91C97"/>
    <w:rsid w:val="00D920EB"/>
    <w:rsid w:val="00D922A8"/>
    <w:rsid w:val="00D92854"/>
    <w:rsid w:val="00D92F80"/>
    <w:rsid w:val="00D93091"/>
    <w:rsid w:val="00D9338C"/>
    <w:rsid w:val="00D934B1"/>
    <w:rsid w:val="00D93527"/>
    <w:rsid w:val="00D93657"/>
    <w:rsid w:val="00D936D9"/>
    <w:rsid w:val="00D93943"/>
    <w:rsid w:val="00D93961"/>
    <w:rsid w:val="00D93AFA"/>
    <w:rsid w:val="00D940DB"/>
    <w:rsid w:val="00D94462"/>
    <w:rsid w:val="00D9461C"/>
    <w:rsid w:val="00D94764"/>
    <w:rsid w:val="00D94C74"/>
    <w:rsid w:val="00D94FCE"/>
    <w:rsid w:val="00D952F7"/>
    <w:rsid w:val="00D95477"/>
    <w:rsid w:val="00D957AB"/>
    <w:rsid w:val="00D959C4"/>
    <w:rsid w:val="00D95AD0"/>
    <w:rsid w:val="00D95BCE"/>
    <w:rsid w:val="00D95C9C"/>
    <w:rsid w:val="00D96E5D"/>
    <w:rsid w:val="00D96FD9"/>
    <w:rsid w:val="00D970D3"/>
    <w:rsid w:val="00D9711F"/>
    <w:rsid w:val="00D97302"/>
    <w:rsid w:val="00D97638"/>
    <w:rsid w:val="00D978C6"/>
    <w:rsid w:val="00D97DEF"/>
    <w:rsid w:val="00D97E61"/>
    <w:rsid w:val="00DA0294"/>
    <w:rsid w:val="00DA04E7"/>
    <w:rsid w:val="00DA087F"/>
    <w:rsid w:val="00DA1220"/>
    <w:rsid w:val="00DA12F3"/>
    <w:rsid w:val="00DA1A21"/>
    <w:rsid w:val="00DA1B1C"/>
    <w:rsid w:val="00DA1BD1"/>
    <w:rsid w:val="00DA1CBC"/>
    <w:rsid w:val="00DA23D9"/>
    <w:rsid w:val="00DA24FF"/>
    <w:rsid w:val="00DA2AFE"/>
    <w:rsid w:val="00DA2BF5"/>
    <w:rsid w:val="00DA2EA3"/>
    <w:rsid w:val="00DA2ECA"/>
    <w:rsid w:val="00DA32F6"/>
    <w:rsid w:val="00DA35E4"/>
    <w:rsid w:val="00DA37E8"/>
    <w:rsid w:val="00DA3820"/>
    <w:rsid w:val="00DA3A0C"/>
    <w:rsid w:val="00DA3B7E"/>
    <w:rsid w:val="00DA3B8C"/>
    <w:rsid w:val="00DA3E4E"/>
    <w:rsid w:val="00DA3FAD"/>
    <w:rsid w:val="00DA45BB"/>
    <w:rsid w:val="00DA46F5"/>
    <w:rsid w:val="00DA4B60"/>
    <w:rsid w:val="00DA50C7"/>
    <w:rsid w:val="00DA514D"/>
    <w:rsid w:val="00DA5998"/>
    <w:rsid w:val="00DA5B50"/>
    <w:rsid w:val="00DA5DBF"/>
    <w:rsid w:val="00DA6167"/>
    <w:rsid w:val="00DA6542"/>
    <w:rsid w:val="00DA6726"/>
    <w:rsid w:val="00DA68CF"/>
    <w:rsid w:val="00DA6BBC"/>
    <w:rsid w:val="00DA7024"/>
    <w:rsid w:val="00DA71D1"/>
    <w:rsid w:val="00DA78A9"/>
    <w:rsid w:val="00DA7D25"/>
    <w:rsid w:val="00DA7E74"/>
    <w:rsid w:val="00DA7F3E"/>
    <w:rsid w:val="00DB012E"/>
    <w:rsid w:val="00DB0343"/>
    <w:rsid w:val="00DB0410"/>
    <w:rsid w:val="00DB0AD3"/>
    <w:rsid w:val="00DB0FBA"/>
    <w:rsid w:val="00DB12CB"/>
    <w:rsid w:val="00DB14CE"/>
    <w:rsid w:val="00DB167D"/>
    <w:rsid w:val="00DB1DDF"/>
    <w:rsid w:val="00DB1E96"/>
    <w:rsid w:val="00DB2035"/>
    <w:rsid w:val="00DB21EF"/>
    <w:rsid w:val="00DB23B2"/>
    <w:rsid w:val="00DB23DD"/>
    <w:rsid w:val="00DB25B6"/>
    <w:rsid w:val="00DB298D"/>
    <w:rsid w:val="00DB2B2C"/>
    <w:rsid w:val="00DB2B3C"/>
    <w:rsid w:val="00DB3295"/>
    <w:rsid w:val="00DB3348"/>
    <w:rsid w:val="00DB33F5"/>
    <w:rsid w:val="00DB3878"/>
    <w:rsid w:val="00DB40CE"/>
    <w:rsid w:val="00DB41AE"/>
    <w:rsid w:val="00DB43E7"/>
    <w:rsid w:val="00DB494E"/>
    <w:rsid w:val="00DB4B4C"/>
    <w:rsid w:val="00DB4BBD"/>
    <w:rsid w:val="00DB5608"/>
    <w:rsid w:val="00DB5940"/>
    <w:rsid w:val="00DB5C71"/>
    <w:rsid w:val="00DB5DD4"/>
    <w:rsid w:val="00DB6A0B"/>
    <w:rsid w:val="00DB6D5F"/>
    <w:rsid w:val="00DB7299"/>
    <w:rsid w:val="00DB7664"/>
    <w:rsid w:val="00DB7F18"/>
    <w:rsid w:val="00DB7FE7"/>
    <w:rsid w:val="00DC1572"/>
    <w:rsid w:val="00DC1807"/>
    <w:rsid w:val="00DC1A99"/>
    <w:rsid w:val="00DC234F"/>
    <w:rsid w:val="00DC2463"/>
    <w:rsid w:val="00DC2D56"/>
    <w:rsid w:val="00DC2E60"/>
    <w:rsid w:val="00DC2F52"/>
    <w:rsid w:val="00DC3411"/>
    <w:rsid w:val="00DC341D"/>
    <w:rsid w:val="00DC350F"/>
    <w:rsid w:val="00DC3B63"/>
    <w:rsid w:val="00DC3EAB"/>
    <w:rsid w:val="00DC466F"/>
    <w:rsid w:val="00DC4760"/>
    <w:rsid w:val="00DC4E15"/>
    <w:rsid w:val="00DC5244"/>
    <w:rsid w:val="00DC52C0"/>
    <w:rsid w:val="00DC5CE5"/>
    <w:rsid w:val="00DC6BC1"/>
    <w:rsid w:val="00DC6CE3"/>
    <w:rsid w:val="00DC6E8E"/>
    <w:rsid w:val="00DC70E2"/>
    <w:rsid w:val="00DC740F"/>
    <w:rsid w:val="00DC7539"/>
    <w:rsid w:val="00DC7907"/>
    <w:rsid w:val="00DC790E"/>
    <w:rsid w:val="00DC7ACB"/>
    <w:rsid w:val="00DC7D92"/>
    <w:rsid w:val="00DD08ED"/>
    <w:rsid w:val="00DD1168"/>
    <w:rsid w:val="00DD1921"/>
    <w:rsid w:val="00DD1949"/>
    <w:rsid w:val="00DD1C92"/>
    <w:rsid w:val="00DD221D"/>
    <w:rsid w:val="00DD2397"/>
    <w:rsid w:val="00DD2991"/>
    <w:rsid w:val="00DD30E9"/>
    <w:rsid w:val="00DD3182"/>
    <w:rsid w:val="00DD36AE"/>
    <w:rsid w:val="00DD3827"/>
    <w:rsid w:val="00DD3980"/>
    <w:rsid w:val="00DD3BB3"/>
    <w:rsid w:val="00DD412D"/>
    <w:rsid w:val="00DD4131"/>
    <w:rsid w:val="00DD41A3"/>
    <w:rsid w:val="00DD42A3"/>
    <w:rsid w:val="00DD447D"/>
    <w:rsid w:val="00DD4682"/>
    <w:rsid w:val="00DD4749"/>
    <w:rsid w:val="00DD4D29"/>
    <w:rsid w:val="00DD4D68"/>
    <w:rsid w:val="00DD53E7"/>
    <w:rsid w:val="00DD5934"/>
    <w:rsid w:val="00DD5B1C"/>
    <w:rsid w:val="00DD6798"/>
    <w:rsid w:val="00DD70AA"/>
    <w:rsid w:val="00DD73BE"/>
    <w:rsid w:val="00DD77E7"/>
    <w:rsid w:val="00DD7924"/>
    <w:rsid w:val="00DD7E6E"/>
    <w:rsid w:val="00DE061A"/>
    <w:rsid w:val="00DE0726"/>
    <w:rsid w:val="00DE0872"/>
    <w:rsid w:val="00DE0BD4"/>
    <w:rsid w:val="00DE10A3"/>
    <w:rsid w:val="00DE1243"/>
    <w:rsid w:val="00DE1345"/>
    <w:rsid w:val="00DE17AD"/>
    <w:rsid w:val="00DE1A5A"/>
    <w:rsid w:val="00DE1A64"/>
    <w:rsid w:val="00DE1B7F"/>
    <w:rsid w:val="00DE1EAB"/>
    <w:rsid w:val="00DE2799"/>
    <w:rsid w:val="00DE2BE5"/>
    <w:rsid w:val="00DE3310"/>
    <w:rsid w:val="00DE34E8"/>
    <w:rsid w:val="00DE36B8"/>
    <w:rsid w:val="00DE3758"/>
    <w:rsid w:val="00DE3778"/>
    <w:rsid w:val="00DE39FE"/>
    <w:rsid w:val="00DE3C1B"/>
    <w:rsid w:val="00DE44E9"/>
    <w:rsid w:val="00DE480B"/>
    <w:rsid w:val="00DE483B"/>
    <w:rsid w:val="00DE499D"/>
    <w:rsid w:val="00DE49F2"/>
    <w:rsid w:val="00DE4C86"/>
    <w:rsid w:val="00DE5324"/>
    <w:rsid w:val="00DE5332"/>
    <w:rsid w:val="00DE5474"/>
    <w:rsid w:val="00DE5492"/>
    <w:rsid w:val="00DE56DF"/>
    <w:rsid w:val="00DE56FB"/>
    <w:rsid w:val="00DE598E"/>
    <w:rsid w:val="00DE5C87"/>
    <w:rsid w:val="00DE5D72"/>
    <w:rsid w:val="00DE5EE5"/>
    <w:rsid w:val="00DE61DD"/>
    <w:rsid w:val="00DE648E"/>
    <w:rsid w:val="00DE6575"/>
    <w:rsid w:val="00DE6A9E"/>
    <w:rsid w:val="00DE6B4E"/>
    <w:rsid w:val="00DE6DD5"/>
    <w:rsid w:val="00DE6FEE"/>
    <w:rsid w:val="00DE75C6"/>
    <w:rsid w:val="00DE788C"/>
    <w:rsid w:val="00DE7A91"/>
    <w:rsid w:val="00DE7B4D"/>
    <w:rsid w:val="00DE7F6C"/>
    <w:rsid w:val="00DF0028"/>
    <w:rsid w:val="00DF0446"/>
    <w:rsid w:val="00DF049C"/>
    <w:rsid w:val="00DF06D4"/>
    <w:rsid w:val="00DF0CD0"/>
    <w:rsid w:val="00DF100F"/>
    <w:rsid w:val="00DF11EF"/>
    <w:rsid w:val="00DF17F3"/>
    <w:rsid w:val="00DF2319"/>
    <w:rsid w:val="00DF23EF"/>
    <w:rsid w:val="00DF249D"/>
    <w:rsid w:val="00DF2AEA"/>
    <w:rsid w:val="00DF2E6D"/>
    <w:rsid w:val="00DF343F"/>
    <w:rsid w:val="00DF36E4"/>
    <w:rsid w:val="00DF3B30"/>
    <w:rsid w:val="00DF4030"/>
    <w:rsid w:val="00DF4049"/>
    <w:rsid w:val="00DF410F"/>
    <w:rsid w:val="00DF41B2"/>
    <w:rsid w:val="00DF41ED"/>
    <w:rsid w:val="00DF42C6"/>
    <w:rsid w:val="00DF43B1"/>
    <w:rsid w:val="00DF44DA"/>
    <w:rsid w:val="00DF48A3"/>
    <w:rsid w:val="00DF4D9B"/>
    <w:rsid w:val="00DF4F33"/>
    <w:rsid w:val="00DF510B"/>
    <w:rsid w:val="00DF53E5"/>
    <w:rsid w:val="00DF5712"/>
    <w:rsid w:val="00DF5D15"/>
    <w:rsid w:val="00DF6D5A"/>
    <w:rsid w:val="00DF70B3"/>
    <w:rsid w:val="00DF70CC"/>
    <w:rsid w:val="00DF75AA"/>
    <w:rsid w:val="00E00764"/>
    <w:rsid w:val="00E00C08"/>
    <w:rsid w:val="00E00D25"/>
    <w:rsid w:val="00E01B03"/>
    <w:rsid w:val="00E01B86"/>
    <w:rsid w:val="00E01C74"/>
    <w:rsid w:val="00E01C7F"/>
    <w:rsid w:val="00E023E3"/>
    <w:rsid w:val="00E02941"/>
    <w:rsid w:val="00E02A82"/>
    <w:rsid w:val="00E02AF6"/>
    <w:rsid w:val="00E02DCB"/>
    <w:rsid w:val="00E03346"/>
    <w:rsid w:val="00E03640"/>
    <w:rsid w:val="00E03AB8"/>
    <w:rsid w:val="00E03C9F"/>
    <w:rsid w:val="00E03E42"/>
    <w:rsid w:val="00E04007"/>
    <w:rsid w:val="00E043AB"/>
    <w:rsid w:val="00E043BC"/>
    <w:rsid w:val="00E049A1"/>
    <w:rsid w:val="00E04EF5"/>
    <w:rsid w:val="00E050CF"/>
    <w:rsid w:val="00E05186"/>
    <w:rsid w:val="00E051C5"/>
    <w:rsid w:val="00E053C1"/>
    <w:rsid w:val="00E05BBB"/>
    <w:rsid w:val="00E05CE2"/>
    <w:rsid w:val="00E06073"/>
    <w:rsid w:val="00E06631"/>
    <w:rsid w:val="00E06B56"/>
    <w:rsid w:val="00E07242"/>
    <w:rsid w:val="00E0734F"/>
    <w:rsid w:val="00E0760E"/>
    <w:rsid w:val="00E07B3B"/>
    <w:rsid w:val="00E07B4C"/>
    <w:rsid w:val="00E07FC0"/>
    <w:rsid w:val="00E1087D"/>
    <w:rsid w:val="00E10B76"/>
    <w:rsid w:val="00E10C75"/>
    <w:rsid w:val="00E10F1B"/>
    <w:rsid w:val="00E116AA"/>
    <w:rsid w:val="00E1180E"/>
    <w:rsid w:val="00E11F8E"/>
    <w:rsid w:val="00E12362"/>
    <w:rsid w:val="00E12E0A"/>
    <w:rsid w:val="00E13052"/>
    <w:rsid w:val="00E138B3"/>
    <w:rsid w:val="00E13CE1"/>
    <w:rsid w:val="00E141DC"/>
    <w:rsid w:val="00E14483"/>
    <w:rsid w:val="00E146C5"/>
    <w:rsid w:val="00E147E1"/>
    <w:rsid w:val="00E14E63"/>
    <w:rsid w:val="00E1553A"/>
    <w:rsid w:val="00E1558E"/>
    <w:rsid w:val="00E157BA"/>
    <w:rsid w:val="00E15917"/>
    <w:rsid w:val="00E15BB1"/>
    <w:rsid w:val="00E15C1D"/>
    <w:rsid w:val="00E168BA"/>
    <w:rsid w:val="00E168E6"/>
    <w:rsid w:val="00E16BE4"/>
    <w:rsid w:val="00E16D46"/>
    <w:rsid w:val="00E16FF9"/>
    <w:rsid w:val="00E171AC"/>
    <w:rsid w:val="00E17447"/>
    <w:rsid w:val="00E1762F"/>
    <w:rsid w:val="00E1776A"/>
    <w:rsid w:val="00E177A2"/>
    <w:rsid w:val="00E17911"/>
    <w:rsid w:val="00E17ADF"/>
    <w:rsid w:val="00E17B72"/>
    <w:rsid w:val="00E17B9A"/>
    <w:rsid w:val="00E17EF8"/>
    <w:rsid w:val="00E17F5D"/>
    <w:rsid w:val="00E2017B"/>
    <w:rsid w:val="00E20342"/>
    <w:rsid w:val="00E204BF"/>
    <w:rsid w:val="00E20507"/>
    <w:rsid w:val="00E20717"/>
    <w:rsid w:val="00E20B4E"/>
    <w:rsid w:val="00E20B58"/>
    <w:rsid w:val="00E20BDF"/>
    <w:rsid w:val="00E20DA9"/>
    <w:rsid w:val="00E20E5E"/>
    <w:rsid w:val="00E213B3"/>
    <w:rsid w:val="00E2150C"/>
    <w:rsid w:val="00E219CB"/>
    <w:rsid w:val="00E21ECA"/>
    <w:rsid w:val="00E2216A"/>
    <w:rsid w:val="00E221BD"/>
    <w:rsid w:val="00E22758"/>
    <w:rsid w:val="00E22799"/>
    <w:rsid w:val="00E2318D"/>
    <w:rsid w:val="00E233E5"/>
    <w:rsid w:val="00E235BF"/>
    <w:rsid w:val="00E2364D"/>
    <w:rsid w:val="00E2370B"/>
    <w:rsid w:val="00E23CEC"/>
    <w:rsid w:val="00E23E4D"/>
    <w:rsid w:val="00E23E9F"/>
    <w:rsid w:val="00E240AB"/>
    <w:rsid w:val="00E2433D"/>
    <w:rsid w:val="00E243E1"/>
    <w:rsid w:val="00E243F9"/>
    <w:rsid w:val="00E24523"/>
    <w:rsid w:val="00E248DB"/>
    <w:rsid w:val="00E25964"/>
    <w:rsid w:val="00E26735"/>
    <w:rsid w:val="00E26F63"/>
    <w:rsid w:val="00E2719F"/>
    <w:rsid w:val="00E27FCD"/>
    <w:rsid w:val="00E30313"/>
    <w:rsid w:val="00E30614"/>
    <w:rsid w:val="00E307D6"/>
    <w:rsid w:val="00E310FA"/>
    <w:rsid w:val="00E315CE"/>
    <w:rsid w:val="00E31D97"/>
    <w:rsid w:val="00E3224F"/>
    <w:rsid w:val="00E3290F"/>
    <w:rsid w:val="00E32A60"/>
    <w:rsid w:val="00E333F1"/>
    <w:rsid w:val="00E33731"/>
    <w:rsid w:val="00E33901"/>
    <w:rsid w:val="00E34412"/>
    <w:rsid w:val="00E345C1"/>
    <w:rsid w:val="00E348C5"/>
    <w:rsid w:val="00E35312"/>
    <w:rsid w:val="00E354DE"/>
    <w:rsid w:val="00E3565E"/>
    <w:rsid w:val="00E35A5B"/>
    <w:rsid w:val="00E35AF2"/>
    <w:rsid w:val="00E35FBE"/>
    <w:rsid w:val="00E360B1"/>
    <w:rsid w:val="00E36391"/>
    <w:rsid w:val="00E36E28"/>
    <w:rsid w:val="00E36F7F"/>
    <w:rsid w:val="00E376AF"/>
    <w:rsid w:val="00E37A8B"/>
    <w:rsid w:val="00E401CA"/>
    <w:rsid w:val="00E40209"/>
    <w:rsid w:val="00E40420"/>
    <w:rsid w:val="00E40529"/>
    <w:rsid w:val="00E407EC"/>
    <w:rsid w:val="00E40E41"/>
    <w:rsid w:val="00E40EEB"/>
    <w:rsid w:val="00E41046"/>
    <w:rsid w:val="00E4152F"/>
    <w:rsid w:val="00E42104"/>
    <w:rsid w:val="00E4214B"/>
    <w:rsid w:val="00E425F2"/>
    <w:rsid w:val="00E42A06"/>
    <w:rsid w:val="00E42CC3"/>
    <w:rsid w:val="00E4304C"/>
    <w:rsid w:val="00E4309E"/>
    <w:rsid w:val="00E43185"/>
    <w:rsid w:val="00E43414"/>
    <w:rsid w:val="00E444B1"/>
    <w:rsid w:val="00E445D6"/>
    <w:rsid w:val="00E448C4"/>
    <w:rsid w:val="00E449C8"/>
    <w:rsid w:val="00E44BC7"/>
    <w:rsid w:val="00E44C34"/>
    <w:rsid w:val="00E44F80"/>
    <w:rsid w:val="00E45008"/>
    <w:rsid w:val="00E458F6"/>
    <w:rsid w:val="00E45FEE"/>
    <w:rsid w:val="00E46729"/>
    <w:rsid w:val="00E4673B"/>
    <w:rsid w:val="00E46C34"/>
    <w:rsid w:val="00E46C83"/>
    <w:rsid w:val="00E47093"/>
    <w:rsid w:val="00E47267"/>
    <w:rsid w:val="00E47279"/>
    <w:rsid w:val="00E472C7"/>
    <w:rsid w:val="00E474D4"/>
    <w:rsid w:val="00E47515"/>
    <w:rsid w:val="00E4791F"/>
    <w:rsid w:val="00E47968"/>
    <w:rsid w:val="00E47993"/>
    <w:rsid w:val="00E47E28"/>
    <w:rsid w:val="00E47F7C"/>
    <w:rsid w:val="00E505F9"/>
    <w:rsid w:val="00E507CF"/>
    <w:rsid w:val="00E50987"/>
    <w:rsid w:val="00E50D8A"/>
    <w:rsid w:val="00E51074"/>
    <w:rsid w:val="00E511FF"/>
    <w:rsid w:val="00E51200"/>
    <w:rsid w:val="00E51B5D"/>
    <w:rsid w:val="00E51EDE"/>
    <w:rsid w:val="00E5236D"/>
    <w:rsid w:val="00E5258A"/>
    <w:rsid w:val="00E52638"/>
    <w:rsid w:val="00E527B8"/>
    <w:rsid w:val="00E527EE"/>
    <w:rsid w:val="00E52A5B"/>
    <w:rsid w:val="00E52B8B"/>
    <w:rsid w:val="00E52FEE"/>
    <w:rsid w:val="00E53291"/>
    <w:rsid w:val="00E53627"/>
    <w:rsid w:val="00E536F0"/>
    <w:rsid w:val="00E5375B"/>
    <w:rsid w:val="00E53A0C"/>
    <w:rsid w:val="00E53CD6"/>
    <w:rsid w:val="00E53E38"/>
    <w:rsid w:val="00E5496E"/>
    <w:rsid w:val="00E54A6E"/>
    <w:rsid w:val="00E54DCF"/>
    <w:rsid w:val="00E54EDD"/>
    <w:rsid w:val="00E54F10"/>
    <w:rsid w:val="00E55985"/>
    <w:rsid w:val="00E55994"/>
    <w:rsid w:val="00E56019"/>
    <w:rsid w:val="00E56353"/>
    <w:rsid w:val="00E5669D"/>
    <w:rsid w:val="00E56770"/>
    <w:rsid w:val="00E56B21"/>
    <w:rsid w:val="00E56F49"/>
    <w:rsid w:val="00E57B3A"/>
    <w:rsid w:val="00E600FD"/>
    <w:rsid w:val="00E601CB"/>
    <w:rsid w:val="00E60E3A"/>
    <w:rsid w:val="00E61237"/>
    <w:rsid w:val="00E6125C"/>
    <w:rsid w:val="00E61297"/>
    <w:rsid w:val="00E612CF"/>
    <w:rsid w:val="00E61CBF"/>
    <w:rsid w:val="00E61E6B"/>
    <w:rsid w:val="00E621D4"/>
    <w:rsid w:val="00E62462"/>
    <w:rsid w:val="00E62A6B"/>
    <w:rsid w:val="00E62E0F"/>
    <w:rsid w:val="00E63565"/>
    <w:rsid w:val="00E63637"/>
    <w:rsid w:val="00E638B2"/>
    <w:rsid w:val="00E639C0"/>
    <w:rsid w:val="00E640B4"/>
    <w:rsid w:val="00E646D1"/>
    <w:rsid w:val="00E6470C"/>
    <w:rsid w:val="00E6476B"/>
    <w:rsid w:val="00E64F1E"/>
    <w:rsid w:val="00E654C2"/>
    <w:rsid w:val="00E65510"/>
    <w:rsid w:val="00E65ADE"/>
    <w:rsid w:val="00E65B32"/>
    <w:rsid w:val="00E65D17"/>
    <w:rsid w:val="00E65E29"/>
    <w:rsid w:val="00E6601D"/>
    <w:rsid w:val="00E6617E"/>
    <w:rsid w:val="00E6653D"/>
    <w:rsid w:val="00E668E7"/>
    <w:rsid w:val="00E671F7"/>
    <w:rsid w:val="00E674E4"/>
    <w:rsid w:val="00E675AA"/>
    <w:rsid w:val="00E67A70"/>
    <w:rsid w:val="00E67A8B"/>
    <w:rsid w:val="00E67E4C"/>
    <w:rsid w:val="00E67F8D"/>
    <w:rsid w:val="00E7067D"/>
    <w:rsid w:val="00E70768"/>
    <w:rsid w:val="00E70B71"/>
    <w:rsid w:val="00E70D87"/>
    <w:rsid w:val="00E70D89"/>
    <w:rsid w:val="00E718BA"/>
    <w:rsid w:val="00E71EEF"/>
    <w:rsid w:val="00E722F4"/>
    <w:rsid w:val="00E7231F"/>
    <w:rsid w:val="00E72356"/>
    <w:rsid w:val="00E72609"/>
    <w:rsid w:val="00E72727"/>
    <w:rsid w:val="00E727BD"/>
    <w:rsid w:val="00E72887"/>
    <w:rsid w:val="00E72A06"/>
    <w:rsid w:val="00E72B70"/>
    <w:rsid w:val="00E72C38"/>
    <w:rsid w:val="00E731DD"/>
    <w:rsid w:val="00E736C9"/>
    <w:rsid w:val="00E736D5"/>
    <w:rsid w:val="00E73700"/>
    <w:rsid w:val="00E737A6"/>
    <w:rsid w:val="00E73C56"/>
    <w:rsid w:val="00E73D09"/>
    <w:rsid w:val="00E73D7C"/>
    <w:rsid w:val="00E73F2A"/>
    <w:rsid w:val="00E74054"/>
    <w:rsid w:val="00E7407A"/>
    <w:rsid w:val="00E7408B"/>
    <w:rsid w:val="00E742CB"/>
    <w:rsid w:val="00E74990"/>
    <w:rsid w:val="00E74B90"/>
    <w:rsid w:val="00E74BA0"/>
    <w:rsid w:val="00E74EB5"/>
    <w:rsid w:val="00E75442"/>
    <w:rsid w:val="00E75529"/>
    <w:rsid w:val="00E75578"/>
    <w:rsid w:val="00E75D7C"/>
    <w:rsid w:val="00E762C8"/>
    <w:rsid w:val="00E763F8"/>
    <w:rsid w:val="00E76C75"/>
    <w:rsid w:val="00E76CA2"/>
    <w:rsid w:val="00E76D6A"/>
    <w:rsid w:val="00E7716B"/>
    <w:rsid w:val="00E771B5"/>
    <w:rsid w:val="00E77539"/>
    <w:rsid w:val="00E7775C"/>
    <w:rsid w:val="00E77CE8"/>
    <w:rsid w:val="00E80287"/>
    <w:rsid w:val="00E80339"/>
    <w:rsid w:val="00E806AE"/>
    <w:rsid w:val="00E80717"/>
    <w:rsid w:val="00E8120D"/>
    <w:rsid w:val="00E8144E"/>
    <w:rsid w:val="00E81A4D"/>
    <w:rsid w:val="00E81D6C"/>
    <w:rsid w:val="00E820F6"/>
    <w:rsid w:val="00E82151"/>
    <w:rsid w:val="00E82277"/>
    <w:rsid w:val="00E8239E"/>
    <w:rsid w:val="00E826FD"/>
    <w:rsid w:val="00E82849"/>
    <w:rsid w:val="00E82992"/>
    <w:rsid w:val="00E82A8F"/>
    <w:rsid w:val="00E82BE9"/>
    <w:rsid w:val="00E82D70"/>
    <w:rsid w:val="00E82FC9"/>
    <w:rsid w:val="00E830B2"/>
    <w:rsid w:val="00E832A4"/>
    <w:rsid w:val="00E83643"/>
    <w:rsid w:val="00E83748"/>
    <w:rsid w:val="00E83789"/>
    <w:rsid w:val="00E83A05"/>
    <w:rsid w:val="00E83D4D"/>
    <w:rsid w:val="00E83FB8"/>
    <w:rsid w:val="00E84025"/>
    <w:rsid w:val="00E842CC"/>
    <w:rsid w:val="00E84870"/>
    <w:rsid w:val="00E84A6D"/>
    <w:rsid w:val="00E84C03"/>
    <w:rsid w:val="00E84CC6"/>
    <w:rsid w:val="00E84D7D"/>
    <w:rsid w:val="00E85126"/>
    <w:rsid w:val="00E85338"/>
    <w:rsid w:val="00E8577D"/>
    <w:rsid w:val="00E85F5C"/>
    <w:rsid w:val="00E8622F"/>
    <w:rsid w:val="00E86246"/>
    <w:rsid w:val="00E8648E"/>
    <w:rsid w:val="00E86540"/>
    <w:rsid w:val="00E86AE8"/>
    <w:rsid w:val="00E87235"/>
    <w:rsid w:val="00E8755C"/>
    <w:rsid w:val="00E87673"/>
    <w:rsid w:val="00E876B1"/>
    <w:rsid w:val="00E87BE6"/>
    <w:rsid w:val="00E87E9E"/>
    <w:rsid w:val="00E90246"/>
    <w:rsid w:val="00E9077F"/>
    <w:rsid w:val="00E90782"/>
    <w:rsid w:val="00E90B8B"/>
    <w:rsid w:val="00E90F9E"/>
    <w:rsid w:val="00E91BE1"/>
    <w:rsid w:val="00E91EF7"/>
    <w:rsid w:val="00E91FBB"/>
    <w:rsid w:val="00E925A1"/>
    <w:rsid w:val="00E927C2"/>
    <w:rsid w:val="00E927FC"/>
    <w:rsid w:val="00E93850"/>
    <w:rsid w:val="00E938AC"/>
    <w:rsid w:val="00E93CCA"/>
    <w:rsid w:val="00E95869"/>
    <w:rsid w:val="00E95BD5"/>
    <w:rsid w:val="00E95E3B"/>
    <w:rsid w:val="00E95F8F"/>
    <w:rsid w:val="00E96028"/>
    <w:rsid w:val="00E96261"/>
    <w:rsid w:val="00E96446"/>
    <w:rsid w:val="00E9645D"/>
    <w:rsid w:val="00E96828"/>
    <w:rsid w:val="00E96C6C"/>
    <w:rsid w:val="00E97000"/>
    <w:rsid w:val="00E97116"/>
    <w:rsid w:val="00E973D0"/>
    <w:rsid w:val="00E97493"/>
    <w:rsid w:val="00E97585"/>
    <w:rsid w:val="00E97600"/>
    <w:rsid w:val="00E9772E"/>
    <w:rsid w:val="00E97BA9"/>
    <w:rsid w:val="00E97BD8"/>
    <w:rsid w:val="00EA015D"/>
    <w:rsid w:val="00EA03D8"/>
    <w:rsid w:val="00EA0696"/>
    <w:rsid w:val="00EA09BB"/>
    <w:rsid w:val="00EA0A3C"/>
    <w:rsid w:val="00EA0AB0"/>
    <w:rsid w:val="00EA0E77"/>
    <w:rsid w:val="00EA10C7"/>
    <w:rsid w:val="00EA1201"/>
    <w:rsid w:val="00EA17C8"/>
    <w:rsid w:val="00EA194D"/>
    <w:rsid w:val="00EA1ACD"/>
    <w:rsid w:val="00EA1AED"/>
    <w:rsid w:val="00EA1D66"/>
    <w:rsid w:val="00EA262F"/>
    <w:rsid w:val="00EA26DB"/>
    <w:rsid w:val="00EA291C"/>
    <w:rsid w:val="00EA30ED"/>
    <w:rsid w:val="00EA32D3"/>
    <w:rsid w:val="00EA375F"/>
    <w:rsid w:val="00EA39D2"/>
    <w:rsid w:val="00EA409E"/>
    <w:rsid w:val="00EA43D6"/>
    <w:rsid w:val="00EA4AE9"/>
    <w:rsid w:val="00EA51C1"/>
    <w:rsid w:val="00EA59C9"/>
    <w:rsid w:val="00EA5A12"/>
    <w:rsid w:val="00EA5B5E"/>
    <w:rsid w:val="00EA5C4E"/>
    <w:rsid w:val="00EA6AD8"/>
    <w:rsid w:val="00EA6CC1"/>
    <w:rsid w:val="00EA6ED6"/>
    <w:rsid w:val="00EA6FDE"/>
    <w:rsid w:val="00EA7191"/>
    <w:rsid w:val="00EA7793"/>
    <w:rsid w:val="00EA7FC0"/>
    <w:rsid w:val="00EB0406"/>
    <w:rsid w:val="00EB0984"/>
    <w:rsid w:val="00EB09A7"/>
    <w:rsid w:val="00EB0CA8"/>
    <w:rsid w:val="00EB0EB0"/>
    <w:rsid w:val="00EB0ED8"/>
    <w:rsid w:val="00EB0F07"/>
    <w:rsid w:val="00EB11D6"/>
    <w:rsid w:val="00EB150D"/>
    <w:rsid w:val="00EB17F7"/>
    <w:rsid w:val="00EB1930"/>
    <w:rsid w:val="00EB1BE5"/>
    <w:rsid w:val="00EB1E09"/>
    <w:rsid w:val="00EB2708"/>
    <w:rsid w:val="00EB2830"/>
    <w:rsid w:val="00EB3196"/>
    <w:rsid w:val="00EB3694"/>
    <w:rsid w:val="00EB3700"/>
    <w:rsid w:val="00EB37D1"/>
    <w:rsid w:val="00EB382C"/>
    <w:rsid w:val="00EB3974"/>
    <w:rsid w:val="00EB3BA4"/>
    <w:rsid w:val="00EB3DCF"/>
    <w:rsid w:val="00EB449E"/>
    <w:rsid w:val="00EB46F6"/>
    <w:rsid w:val="00EB4F33"/>
    <w:rsid w:val="00EB58F3"/>
    <w:rsid w:val="00EB5B99"/>
    <w:rsid w:val="00EB610D"/>
    <w:rsid w:val="00EB6381"/>
    <w:rsid w:val="00EB64B1"/>
    <w:rsid w:val="00EB653C"/>
    <w:rsid w:val="00EB69CF"/>
    <w:rsid w:val="00EB6E24"/>
    <w:rsid w:val="00EB6E70"/>
    <w:rsid w:val="00EB6EFC"/>
    <w:rsid w:val="00EB703C"/>
    <w:rsid w:val="00EB78CD"/>
    <w:rsid w:val="00EB7B26"/>
    <w:rsid w:val="00EB7C54"/>
    <w:rsid w:val="00EB7DA2"/>
    <w:rsid w:val="00EC0374"/>
    <w:rsid w:val="00EC0DC6"/>
    <w:rsid w:val="00EC0F2F"/>
    <w:rsid w:val="00EC0F74"/>
    <w:rsid w:val="00EC10B6"/>
    <w:rsid w:val="00EC10BD"/>
    <w:rsid w:val="00EC16EB"/>
    <w:rsid w:val="00EC173F"/>
    <w:rsid w:val="00EC1865"/>
    <w:rsid w:val="00EC1BBF"/>
    <w:rsid w:val="00EC1CC4"/>
    <w:rsid w:val="00EC1CCD"/>
    <w:rsid w:val="00EC1D8E"/>
    <w:rsid w:val="00EC1E0C"/>
    <w:rsid w:val="00EC23FC"/>
    <w:rsid w:val="00EC2443"/>
    <w:rsid w:val="00EC297B"/>
    <w:rsid w:val="00EC29D0"/>
    <w:rsid w:val="00EC2F46"/>
    <w:rsid w:val="00EC31C9"/>
    <w:rsid w:val="00EC36B7"/>
    <w:rsid w:val="00EC3925"/>
    <w:rsid w:val="00EC406F"/>
    <w:rsid w:val="00EC4AD7"/>
    <w:rsid w:val="00EC4F99"/>
    <w:rsid w:val="00EC53C8"/>
    <w:rsid w:val="00EC5DA0"/>
    <w:rsid w:val="00EC63D3"/>
    <w:rsid w:val="00EC6711"/>
    <w:rsid w:val="00EC719B"/>
    <w:rsid w:val="00EC7676"/>
    <w:rsid w:val="00EC79F8"/>
    <w:rsid w:val="00ED010A"/>
    <w:rsid w:val="00ED01C5"/>
    <w:rsid w:val="00ED078F"/>
    <w:rsid w:val="00ED1367"/>
    <w:rsid w:val="00ED1476"/>
    <w:rsid w:val="00ED1C69"/>
    <w:rsid w:val="00ED1F5D"/>
    <w:rsid w:val="00ED2162"/>
    <w:rsid w:val="00ED25F4"/>
    <w:rsid w:val="00ED271F"/>
    <w:rsid w:val="00ED2C72"/>
    <w:rsid w:val="00ED3174"/>
    <w:rsid w:val="00ED3246"/>
    <w:rsid w:val="00ED3845"/>
    <w:rsid w:val="00ED3857"/>
    <w:rsid w:val="00ED3929"/>
    <w:rsid w:val="00ED3DF9"/>
    <w:rsid w:val="00ED4010"/>
    <w:rsid w:val="00ED4215"/>
    <w:rsid w:val="00ED43F5"/>
    <w:rsid w:val="00ED4CB1"/>
    <w:rsid w:val="00ED52A9"/>
    <w:rsid w:val="00ED54E9"/>
    <w:rsid w:val="00ED56BC"/>
    <w:rsid w:val="00ED5B46"/>
    <w:rsid w:val="00ED5FD4"/>
    <w:rsid w:val="00ED601A"/>
    <w:rsid w:val="00ED61AA"/>
    <w:rsid w:val="00ED6E3A"/>
    <w:rsid w:val="00ED7364"/>
    <w:rsid w:val="00ED73EA"/>
    <w:rsid w:val="00ED77ED"/>
    <w:rsid w:val="00ED7957"/>
    <w:rsid w:val="00ED7B96"/>
    <w:rsid w:val="00ED7BC4"/>
    <w:rsid w:val="00ED7BC9"/>
    <w:rsid w:val="00ED7C74"/>
    <w:rsid w:val="00ED7E6C"/>
    <w:rsid w:val="00EE04F4"/>
    <w:rsid w:val="00EE0C84"/>
    <w:rsid w:val="00EE0F1F"/>
    <w:rsid w:val="00EE1098"/>
    <w:rsid w:val="00EE17DA"/>
    <w:rsid w:val="00EE1AA3"/>
    <w:rsid w:val="00EE1CE1"/>
    <w:rsid w:val="00EE2262"/>
    <w:rsid w:val="00EE248B"/>
    <w:rsid w:val="00EE28EB"/>
    <w:rsid w:val="00EE2995"/>
    <w:rsid w:val="00EE3099"/>
    <w:rsid w:val="00EE35E4"/>
    <w:rsid w:val="00EE3AC1"/>
    <w:rsid w:val="00EE3AF9"/>
    <w:rsid w:val="00EE3B97"/>
    <w:rsid w:val="00EE3C91"/>
    <w:rsid w:val="00EE3CB0"/>
    <w:rsid w:val="00EE43DF"/>
    <w:rsid w:val="00EE480F"/>
    <w:rsid w:val="00EE4ADF"/>
    <w:rsid w:val="00EE4C48"/>
    <w:rsid w:val="00EE505E"/>
    <w:rsid w:val="00EE5156"/>
    <w:rsid w:val="00EE51F7"/>
    <w:rsid w:val="00EE5535"/>
    <w:rsid w:val="00EE589E"/>
    <w:rsid w:val="00EE58CA"/>
    <w:rsid w:val="00EE5A7D"/>
    <w:rsid w:val="00EE5CF9"/>
    <w:rsid w:val="00EE63A5"/>
    <w:rsid w:val="00EE6850"/>
    <w:rsid w:val="00EE699B"/>
    <w:rsid w:val="00EE730D"/>
    <w:rsid w:val="00EE7410"/>
    <w:rsid w:val="00EE7EF5"/>
    <w:rsid w:val="00EF10E5"/>
    <w:rsid w:val="00EF1122"/>
    <w:rsid w:val="00EF12CE"/>
    <w:rsid w:val="00EF14CC"/>
    <w:rsid w:val="00EF1617"/>
    <w:rsid w:val="00EF16DD"/>
    <w:rsid w:val="00EF1C5C"/>
    <w:rsid w:val="00EF2026"/>
    <w:rsid w:val="00EF2373"/>
    <w:rsid w:val="00EF23A9"/>
    <w:rsid w:val="00EF282F"/>
    <w:rsid w:val="00EF28B7"/>
    <w:rsid w:val="00EF2EA2"/>
    <w:rsid w:val="00EF3328"/>
    <w:rsid w:val="00EF3A65"/>
    <w:rsid w:val="00EF3A86"/>
    <w:rsid w:val="00EF411B"/>
    <w:rsid w:val="00EF429D"/>
    <w:rsid w:val="00EF433F"/>
    <w:rsid w:val="00EF446C"/>
    <w:rsid w:val="00EF4978"/>
    <w:rsid w:val="00EF4DC0"/>
    <w:rsid w:val="00EF4ED7"/>
    <w:rsid w:val="00EF4F9A"/>
    <w:rsid w:val="00EF5027"/>
    <w:rsid w:val="00EF5363"/>
    <w:rsid w:val="00EF5642"/>
    <w:rsid w:val="00EF5798"/>
    <w:rsid w:val="00EF5CA4"/>
    <w:rsid w:val="00EF5D37"/>
    <w:rsid w:val="00EF626C"/>
    <w:rsid w:val="00EF6390"/>
    <w:rsid w:val="00EF6778"/>
    <w:rsid w:val="00EF68E2"/>
    <w:rsid w:val="00EF6DBD"/>
    <w:rsid w:val="00EF705C"/>
    <w:rsid w:val="00EF740F"/>
    <w:rsid w:val="00EF789A"/>
    <w:rsid w:val="00EF7BF8"/>
    <w:rsid w:val="00F001B9"/>
    <w:rsid w:val="00F00496"/>
    <w:rsid w:val="00F00CE1"/>
    <w:rsid w:val="00F00CFE"/>
    <w:rsid w:val="00F00D42"/>
    <w:rsid w:val="00F013B5"/>
    <w:rsid w:val="00F017D2"/>
    <w:rsid w:val="00F01B1A"/>
    <w:rsid w:val="00F01BC7"/>
    <w:rsid w:val="00F01E2D"/>
    <w:rsid w:val="00F0238F"/>
    <w:rsid w:val="00F02F7A"/>
    <w:rsid w:val="00F03024"/>
    <w:rsid w:val="00F03182"/>
    <w:rsid w:val="00F032C2"/>
    <w:rsid w:val="00F03564"/>
    <w:rsid w:val="00F035BD"/>
    <w:rsid w:val="00F03825"/>
    <w:rsid w:val="00F0388F"/>
    <w:rsid w:val="00F03B2E"/>
    <w:rsid w:val="00F03CE2"/>
    <w:rsid w:val="00F03E41"/>
    <w:rsid w:val="00F0411F"/>
    <w:rsid w:val="00F043AC"/>
    <w:rsid w:val="00F0443B"/>
    <w:rsid w:val="00F0444D"/>
    <w:rsid w:val="00F044AA"/>
    <w:rsid w:val="00F044F5"/>
    <w:rsid w:val="00F04917"/>
    <w:rsid w:val="00F04982"/>
    <w:rsid w:val="00F04C8F"/>
    <w:rsid w:val="00F05361"/>
    <w:rsid w:val="00F057BE"/>
    <w:rsid w:val="00F058F7"/>
    <w:rsid w:val="00F05AD8"/>
    <w:rsid w:val="00F06217"/>
    <w:rsid w:val="00F06A70"/>
    <w:rsid w:val="00F06F74"/>
    <w:rsid w:val="00F07770"/>
    <w:rsid w:val="00F100A4"/>
    <w:rsid w:val="00F102EA"/>
    <w:rsid w:val="00F1110F"/>
    <w:rsid w:val="00F11128"/>
    <w:rsid w:val="00F11377"/>
    <w:rsid w:val="00F1151D"/>
    <w:rsid w:val="00F120DB"/>
    <w:rsid w:val="00F124F5"/>
    <w:rsid w:val="00F12623"/>
    <w:rsid w:val="00F12A41"/>
    <w:rsid w:val="00F12C52"/>
    <w:rsid w:val="00F12E19"/>
    <w:rsid w:val="00F12E38"/>
    <w:rsid w:val="00F12F61"/>
    <w:rsid w:val="00F1398B"/>
    <w:rsid w:val="00F13AA9"/>
    <w:rsid w:val="00F13CDD"/>
    <w:rsid w:val="00F13DA3"/>
    <w:rsid w:val="00F13E59"/>
    <w:rsid w:val="00F13E81"/>
    <w:rsid w:val="00F13FB6"/>
    <w:rsid w:val="00F14439"/>
    <w:rsid w:val="00F146AD"/>
    <w:rsid w:val="00F14A25"/>
    <w:rsid w:val="00F150A4"/>
    <w:rsid w:val="00F1604F"/>
    <w:rsid w:val="00F16628"/>
    <w:rsid w:val="00F17169"/>
    <w:rsid w:val="00F175C7"/>
    <w:rsid w:val="00F17862"/>
    <w:rsid w:val="00F178FD"/>
    <w:rsid w:val="00F17B97"/>
    <w:rsid w:val="00F17D33"/>
    <w:rsid w:val="00F208FF"/>
    <w:rsid w:val="00F20945"/>
    <w:rsid w:val="00F216B8"/>
    <w:rsid w:val="00F217AD"/>
    <w:rsid w:val="00F2183B"/>
    <w:rsid w:val="00F2191A"/>
    <w:rsid w:val="00F21B4C"/>
    <w:rsid w:val="00F21E4B"/>
    <w:rsid w:val="00F22534"/>
    <w:rsid w:val="00F233E8"/>
    <w:rsid w:val="00F23916"/>
    <w:rsid w:val="00F23EEC"/>
    <w:rsid w:val="00F24021"/>
    <w:rsid w:val="00F2410F"/>
    <w:rsid w:val="00F242E2"/>
    <w:rsid w:val="00F244A7"/>
    <w:rsid w:val="00F245E3"/>
    <w:rsid w:val="00F2481D"/>
    <w:rsid w:val="00F2510C"/>
    <w:rsid w:val="00F25284"/>
    <w:rsid w:val="00F254B5"/>
    <w:rsid w:val="00F257FD"/>
    <w:rsid w:val="00F2587E"/>
    <w:rsid w:val="00F2588C"/>
    <w:rsid w:val="00F259E4"/>
    <w:rsid w:val="00F25B95"/>
    <w:rsid w:val="00F25DCB"/>
    <w:rsid w:val="00F268F2"/>
    <w:rsid w:val="00F26915"/>
    <w:rsid w:val="00F269DE"/>
    <w:rsid w:val="00F26F7F"/>
    <w:rsid w:val="00F27656"/>
    <w:rsid w:val="00F27CD2"/>
    <w:rsid w:val="00F3008B"/>
    <w:rsid w:val="00F3042C"/>
    <w:rsid w:val="00F306C4"/>
    <w:rsid w:val="00F3070A"/>
    <w:rsid w:val="00F30A85"/>
    <w:rsid w:val="00F30AB8"/>
    <w:rsid w:val="00F30BC4"/>
    <w:rsid w:val="00F30E3E"/>
    <w:rsid w:val="00F30FB8"/>
    <w:rsid w:val="00F3101E"/>
    <w:rsid w:val="00F3176A"/>
    <w:rsid w:val="00F3177C"/>
    <w:rsid w:val="00F319FB"/>
    <w:rsid w:val="00F31E7A"/>
    <w:rsid w:val="00F321D0"/>
    <w:rsid w:val="00F32735"/>
    <w:rsid w:val="00F32A47"/>
    <w:rsid w:val="00F33576"/>
    <w:rsid w:val="00F3358C"/>
    <w:rsid w:val="00F33871"/>
    <w:rsid w:val="00F33F43"/>
    <w:rsid w:val="00F3453F"/>
    <w:rsid w:val="00F34564"/>
    <w:rsid w:val="00F346ED"/>
    <w:rsid w:val="00F34A03"/>
    <w:rsid w:val="00F34BF4"/>
    <w:rsid w:val="00F34D31"/>
    <w:rsid w:val="00F34D3A"/>
    <w:rsid w:val="00F352CC"/>
    <w:rsid w:val="00F3538D"/>
    <w:rsid w:val="00F354B5"/>
    <w:rsid w:val="00F35831"/>
    <w:rsid w:val="00F35F25"/>
    <w:rsid w:val="00F360FF"/>
    <w:rsid w:val="00F36711"/>
    <w:rsid w:val="00F36823"/>
    <w:rsid w:val="00F37008"/>
    <w:rsid w:val="00F3783A"/>
    <w:rsid w:val="00F37B48"/>
    <w:rsid w:val="00F37BA6"/>
    <w:rsid w:val="00F37BBF"/>
    <w:rsid w:val="00F40F6B"/>
    <w:rsid w:val="00F41420"/>
    <w:rsid w:val="00F41490"/>
    <w:rsid w:val="00F4194E"/>
    <w:rsid w:val="00F4219F"/>
    <w:rsid w:val="00F423B7"/>
    <w:rsid w:val="00F426E1"/>
    <w:rsid w:val="00F4370C"/>
    <w:rsid w:val="00F43A7E"/>
    <w:rsid w:val="00F43D56"/>
    <w:rsid w:val="00F43F3E"/>
    <w:rsid w:val="00F44406"/>
    <w:rsid w:val="00F444BD"/>
    <w:rsid w:val="00F44787"/>
    <w:rsid w:val="00F44A2B"/>
    <w:rsid w:val="00F451FD"/>
    <w:rsid w:val="00F452CE"/>
    <w:rsid w:val="00F4539F"/>
    <w:rsid w:val="00F453BD"/>
    <w:rsid w:val="00F454C2"/>
    <w:rsid w:val="00F45665"/>
    <w:rsid w:val="00F45870"/>
    <w:rsid w:val="00F458EB"/>
    <w:rsid w:val="00F45BA6"/>
    <w:rsid w:val="00F45C23"/>
    <w:rsid w:val="00F45DCF"/>
    <w:rsid w:val="00F45E5B"/>
    <w:rsid w:val="00F4618F"/>
    <w:rsid w:val="00F46455"/>
    <w:rsid w:val="00F469AB"/>
    <w:rsid w:val="00F46AE3"/>
    <w:rsid w:val="00F46B2F"/>
    <w:rsid w:val="00F46B37"/>
    <w:rsid w:val="00F46B62"/>
    <w:rsid w:val="00F46F40"/>
    <w:rsid w:val="00F476B4"/>
    <w:rsid w:val="00F47BC3"/>
    <w:rsid w:val="00F47EC4"/>
    <w:rsid w:val="00F47F7C"/>
    <w:rsid w:val="00F50252"/>
    <w:rsid w:val="00F5036C"/>
    <w:rsid w:val="00F5051D"/>
    <w:rsid w:val="00F50754"/>
    <w:rsid w:val="00F50772"/>
    <w:rsid w:val="00F50BD0"/>
    <w:rsid w:val="00F50F40"/>
    <w:rsid w:val="00F5127A"/>
    <w:rsid w:val="00F515A2"/>
    <w:rsid w:val="00F519A7"/>
    <w:rsid w:val="00F51A09"/>
    <w:rsid w:val="00F5215A"/>
    <w:rsid w:val="00F521B2"/>
    <w:rsid w:val="00F524F8"/>
    <w:rsid w:val="00F5251C"/>
    <w:rsid w:val="00F5266A"/>
    <w:rsid w:val="00F52D5A"/>
    <w:rsid w:val="00F53059"/>
    <w:rsid w:val="00F5307C"/>
    <w:rsid w:val="00F5311D"/>
    <w:rsid w:val="00F53507"/>
    <w:rsid w:val="00F537C0"/>
    <w:rsid w:val="00F53814"/>
    <w:rsid w:val="00F538AA"/>
    <w:rsid w:val="00F538C9"/>
    <w:rsid w:val="00F53C12"/>
    <w:rsid w:val="00F548B4"/>
    <w:rsid w:val="00F5496D"/>
    <w:rsid w:val="00F54B49"/>
    <w:rsid w:val="00F54B91"/>
    <w:rsid w:val="00F54E7C"/>
    <w:rsid w:val="00F54EAA"/>
    <w:rsid w:val="00F5532C"/>
    <w:rsid w:val="00F554AA"/>
    <w:rsid w:val="00F55C4F"/>
    <w:rsid w:val="00F55FBA"/>
    <w:rsid w:val="00F56412"/>
    <w:rsid w:val="00F568FA"/>
    <w:rsid w:val="00F56C56"/>
    <w:rsid w:val="00F56DEC"/>
    <w:rsid w:val="00F5707E"/>
    <w:rsid w:val="00F5727F"/>
    <w:rsid w:val="00F57935"/>
    <w:rsid w:val="00F57B81"/>
    <w:rsid w:val="00F57F65"/>
    <w:rsid w:val="00F602BB"/>
    <w:rsid w:val="00F60422"/>
    <w:rsid w:val="00F6127E"/>
    <w:rsid w:val="00F612ED"/>
    <w:rsid w:val="00F61345"/>
    <w:rsid w:val="00F615C3"/>
    <w:rsid w:val="00F61693"/>
    <w:rsid w:val="00F61CCA"/>
    <w:rsid w:val="00F623A1"/>
    <w:rsid w:val="00F62943"/>
    <w:rsid w:val="00F62F0F"/>
    <w:rsid w:val="00F62FCE"/>
    <w:rsid w:val="00F62FF2"/>
    <w:rsid w:val="00F6320C"/>
    <w:rsid w:val="00F632B3"/>
    <w:rsid w:val="00F63382"/>
    <w:rsid w:val="00F63528"/>
    <w:rsid w:val="00F63BA6"/>
    <w:rsid w:val="00F650FE"/>
    <w:rsid w:val="00F65255"/>
    <w:rsid w:val="00F65440"/>
    <w:rsid w:val="00F65A27"/>
    <w:rsid w:val="00F65F51"/>
    <w:rsid w:val="00F665FB"/>
    <w:rsid w:val="00F669A2"/>
    <w:rsid w:val="00F66BB2"/>
    <w:rsid w:val="00F66DC0"/>
    <w:rsid w:val="00F671F3"/>
    <w:rsid w:val="00F67670"/>
    <w:rsid w:val="00F6774F"/>
    <w:rsid w:val="00F67CF0"/>
    <w:rsid w:val="00F67D98"/>
    <w:rsid w:val="00F705A3"/>
    <w:rsid w:val="00F70871"/>
    <w:rsid w:val="00F70BE5"/>
    <w:rsid w:val="00F70CAC"/>
    <w:rsid w:val="00F70D62"/>
    <w:rsid w:val="00F7123E"/>
    <w:rsid w:val="00F7131B"/>
    <w:rsid w:val="00F71338"/>
    <w:rsid w:val="00F713EA"/>
    <w:rsid w:val="00F715E7"/>
    <w:rsid w:val="00F71BB0"/>
    <w:rsid w:val="00F72086"/>
    <w:rsid w:val="00F7277A"/>
    <w:rsid w:val="00F732C2"/>
    <w:rsid w:val="00F73388"/>
    <w:rsid w:val="00F733E1"/>
    <w:rsid w:val="00F73500"/>
    <w:rsid w:val="00F73A7A"/>
    <w:rsid w:val="00F73AF2"/>
    <w:rsid w:val="00F73D59"/>
    <w:rsid w:val="00F747FA"/>
    <w:rsid w:val="00F7482B"/>
    <w:rsid w:val="00F74F94"/>
    <w:rsid w:val="00F754A6"/>
    <w:rsid w:val="00F76AB9"/>
    <w:rsid w:val="00F76C9E"/>
    <w:rsid w:val="00F77054"/>
    <w:rsid w:val="00F77142"/>
    <w:rsid w:val="00F77AE7"/>
    <w:rsid w:val="00F77C39"/>
    <w:rsid w:val="00F77CF3"/>
    <w:rsid w:val="00F80069"/>
    <w:rsid w:val="00F8013D"/>
    <w:rsid w:val="00F80224"/>
    <w:rsid w:val="00F803CD"/>
    <w:rsid w:val="00F80449"/>
    <w:rsid w:val="00F80793"/>
    <w:rsid w:val="00F80CDA"/>
    <w:rsid w:val="00F81651"/>
    <w:rsid w:val="00F81666"/>
    <w:rsid w:val="00F818AF"/>
    <w:rsid w:val="00F81E60"/>
    <w:rsid w:val="00F81FAB"/>
    <w:rsid w:val="00F82156"/>
    <w:rsid w:val="00F82323"/>
    <w:rsid w:val="00F82D29"/>
    <w:rsid w:val="00F82E88"/>
    <w:rsid w:val="00F83750"/>
    <w:rsid w:val="00F8453D"/>
    <w:rsid w:val="00F84750"/>
    <w:rsid w:val="00F84949"/>
    <w:rsid w:val="00F84F49"/>
    <w:rsid w:val="00F84FCA"/>
    <w:rsid w:val="00F850D5"/>
    <w:rsid w:val="00F8557F"/>
    <w:rsid w:val="00F85FAB"/>
    <w:rsid w:val="00F863B0"/>
    <w:rsid w:val="00F870F9"/>
    <w:rsid w:val="00F8777F"/>
    <w:rsid w:val="00F87C90"/>
    <w:rsid w:val="00F908AE"/>
    <w:rsid w:val="00F90AB3"/>
    <w:rsid w:val="00F90ADD"/>
    <w:rsid w:val="00F90BF5"/>
    <w:rsid w:val="00F90EAC"/>
    <w:rsid w:val="00F91883"/>
    <w:rsid w:val="00F91907"/>
    <w:rsid w:val="00F91A13"/>
    <w:rsid w:val="00F91A7D"/>
    <w:rsid w:val="00F91BC5"/>
    <w:rsid w:val="00F91CCF"/>
    <w:rsid w:val="00F92627"/>
    <w:rsid w:val="00F92966"/>
    <w:rsid w:val="00F92C78"/>
    <w:rsid w:val="00F92E88"/>
    <w:rsid w:val="00F9306B"/>
    <w:rsid w:val="00F93195"/>
    <w:rsid w:val="00F9319A"/>
    <w:rsid w:val="00F9337F"/>
    <w:rsid w:val="00F93901"/>
    <w:rsid w:val="00F93C9D"/>
    <w:rsid w:val="00F93FCB"/>
    <w:rsid w:val="00F94629"/>
    <w:rsid w:val="00F94B57"/>
    <w:rsid w:val="00F94C71"/>
    <w:rsid w:val="00F94EC9"/>
    <w:rsid w:val="00F953AB"/>
    <w:rsid w:val="00F958B8"/>
    <w:rsid w:val="00F95C1D"/>
    <w:rsid w:val="00F9653D"/>
    <w:rsid w:val="00F96723"/>
    <w:rsid w:val="00F970C8"/>
    <w:rsid w:val="00F97D01"/>
    <w:rsid w:val="00F97E1F"/>
    <w:rsid w:val="00FA00BD"/>
    <w:rsid w:val="00FA04F1"/>
    <w:rsid w:val="00FA04F3"/>
    <w:rsid w:val="00FA08E2"/>
    <w:rsid w:val="00FA15D7"/>
    <w:rsid w:val="00FA15FB"/>
    <w:rsid w:val="00FA200D"/>
    <w:rsid w:val="00FA2087"/>
    <w:rsid w:val="00FA21E6"/>
    <w:rsid w:val="00FA311B"/>
    <w:rsid w:val="00FA31FC"/>
    <w:rsid w:val="00FA3633"/>
    <w:rsid w:val="00FA3C68"/>
    <w:rsid w:val="00FA40CA"/>
    <w:rsid w:val="00FA41D7"/>
    <w:rsid w:val="00FA438D"/>
    <w:rsid w:val="00FA4F83"/>
    <w:rsid w:val="00FA5133"/>
    <w:rsid w:val="00FA53B3"/>
    <w:rsid w:val="00FA6107"/>
    <w:rsid w:val="00FA637C"/>
    <w:rsid w:val="00FA685E"/>
    <w:rsid w:val="00FA6A3D"/>
    <w:rsid w:val="00FA6A55"/>
    <w:rsid w:val="00FA6B7B"/>
    <w:rsid w:val="00FA7087"/>
    <w:rsid w:val="00FA728E"/>
    <w:rsid w:val="00FA75EA"/>
    <w:rsid w:val="00FA767D"/>
    <w:rsid w:val="00FA77CF"/>
    <w:rsid w:val="00FB005E"/>
    <w:rsid w:val="00FB00B1"/>
    <w:rsid w:val="00FB018A"/>
    <w:rsid w:val="00FB0199"/>
    <w:rsid w:val="00FB0CCE"/>
    <w:rsid w:val="00FB0D98"/>
    <w:rsid w:val="00FB112C"/>
    <w:rsid w:val="00FB1516"/>
    <w:rsid w:val="00FB165B"/>
    <w:rsid w:val="00FB1D94"/>
    <w:rsid w:val="00FB1F05"/>
    <w:rsid w:val="00FB1F37"/>
    <w:rsid w:val="00FB2105"/>
    <w:rsid w:val="00FB2297"/>
    <w:rsid w:val="00FB23C1"/>
    <w:rsid w:val="00FB248D"/>
    <w:rsid w:val="00FB2691"/>
    <w:rsid w:val="00FB2CFB"/>
    <w:rsid w:val="00FB2EA3"/>
    <w:rsid w:val="00FB322E"/>
    <w:rsid w:val="00FB38D4"/>
    <w:rsid w:val="00FB3A95"/>
    <w:rsid w:val="00FB3DD3"/>
    <w:rsid w:val="00FB3F07"/>
    <w:rsid w:val="00FB3F6F"/>
    <w:rsid w:val="00FB3FDF"/>
    <w:rsid w:val="00FB42FA"/>
    <w:rsid w:val="00FB43E8"/>
    <w:rsid w:val="00FB45BA"/>
    <w:rsid w:val="00FB4838"/>
    <w:rsid w:val="00FB4845"/>
    <w:rsid w:val="00FB49A1"/>
    <w:rsid w:val="00FB4D4E"/>
    <w:rsid w:val="00FB4E87"/>
    <w:rsid w:val="00FB531B"/>
    <w:rsid w:val="00FB564D"/>
    <w:rsid w:val="00FB56B4"/>
    <w:rsid w:val="00FB5809"/>
    <w:rsid w:val="00FB5AEC"/>
    <w:rsid w:val="00FB5C87"/>
    <w:rsid w:val="00FB5F5C"/>
    <w:rsid w:val="00FB5FF1"/>
    <w:rsid w:val="00FB640B"/>
    <w:rsid w:val="00FB6462"/>
    <w:rsid w:val="00FB6A55"/>
    <w:rsid w:val="00FB6A8A"/>
    <w:rsid w:val="00FB705A"/>
    <w:rsid w:val="00FB7229"/>
    <w:rsid w:val="00FB7885"/>
    <w:rsid w:val="00FB7CEE"/>
    <w:rsid w:val="00FB7D43"/>
    <w:rsid w:val="00FB7FEF"/>
    <w:rsid w:val="00FC0454"/>
    <w:rsid w:val="00FC0A09"/>
    <w:rsid w:val="00FC0AC1"/>
    <w:rsid w:val="00FC0D53"/>
    <w:rsid w:val="00FC1212"/>
    <w:rsid w:val="00FC16FF"/>
    <w:rsid w:val="00FC1AB3"/>
    <w:rsid w:val="00FC22FF"/>
    <w:rsid w:val="00FC2893"/>
    <w:rsid w:val="00FC2A8F"/>
    <w:rsid w:val="00FC2E07"/>
    <w:rsid w:val="00FC2F39"/>
    <w:rsid w:val="00FC3198"/>
    <w:rsid w:val="00FC32D8"/>
    <w:rsid w:val="00FC33FF"/>
    <w:rsid w:val="00FC3A92"/>
    <w:rsid w:val="00FC3E5E"/>
    <w:rsid w:val="00FC41C6"/>
    <w:rsid w:val="00FC42B9"/>
    <w:rsid w:val="00FC432A"/>
    <w:rsid w:val="00FC44D7"/>
    <w:rsid w:val="00FC44D8"/>
    <w:rsid w:val="00FC4D34"/>
    <w:rsid w:val="00FC4DBA"/>
    <w:rsid w:val="00FC502D"/>
    <w:rsid w:val="00FC5269"/>
    <w:rsid w:val="00FC56A8"/>
    <w:rsid w:val="00FC57AB"/>
    <w:rsid w:val="00FC581A"/>
    <w:rsid w:val="00FC5927"/>
    <w:rsid w:val="00FC5A57"/>
    <w:rsid w:val="00FC5F7B"/>
    <w:rsid w:val="00FC618F"/>
    <w:rsid w:val="00FC641A"/>
    <w:rsid w:val="00FC6496"/>
    <w:rsid w:val="00FC738B"/>
    <w:rsid w:val="00FC75C5"/>
    <w:rsid w:val="00FC777B"/>
    <w:rsid w:val="00FC79BA"/>
    <w:rsid w:val="00FC7A2C"/>
    <w:rsid w:val="00FC7B26"/>
    <w:rsid w:val="00FC7B53"/>
    <w:rsid w:val="00FC7C3B"/>
    <w:rsid w:val="00FD00E6"/>
    <w:rsid w:val="00FD01CB"/>
    <w:rsid w:val="00FD042B"/>
    <w:rsid w:val="00FD056E"/>
    <w:rsid w:val="00FD0778"/>
    <w:rsid w:val="00FD0925"/>
    <w:rsid w:val="00FD0D7D"/>
    <w:rsid w:val="00FD0F5B"/>
    <w:rsid w:val="00FD107C"/>
    <w:rsid w:val="00FD15CB"/>
    <w:rsid w:val="00FD17BA"/>
    <w:rsid w:val="00FD197C"/>
    <w:rsid w:val="00FD1B56"/>
    <w:rsid w:val="00FD20CF"/>
    <w:rsid w:val="00FD27A5"/>
    <w:rsid w:val="00FD29A1"/>
    <w:rsid w:val="00FD2A77"/>
    <w:rsid w:val="00FD2BBD"/>
    <w:rsid w:val="00FD3123"/>
    <w:rsid w:val="00FD31FC"/>
    <w:rsid w:val="00FD3401"/>
    <w:rsid w:val="00FD344A"/>
    <w:rsid w:val="00FD3907"/>
    <w:rsid w:val="00FD39B9"/>
    <w:rsid w:val="00FD3A86"/>
    <w:rsid w:val="00FD4398"/>
    <w:rsid w:val="00FD47C8"/>
    <w:rsid w:val="00FD4EF5"/>
    <w:rsid w:val="00FD5638"/>
    <w:rsid w:val="00FD5FE0"/>
    <w:rsid w:val="00FD6488"/>
    <w:rsid w:val="00FD66E4"/>
    <w:rsid w:val="00FD6727"/>
    <w:rsid w:val="00FD6A0B"/>
    <w:rsid w:val="00FD6B5A"/>
    <w:rsid w:val="00FD6DFB"/>
    <w:rsid w:val="00FD6EEF"/>
    <w:rsid w:val="00FD755E"/>
    <w:rsid w:val="00FD7861"/>
    <w:rsid w:val="00FD786F"/>
    <w:rsid w:val="00FD7F83"/>
    <w:rsid w:val="00FE0349"/>
    <w:rsid w:val="00FE0526"/>
    <w:rsid w:val="00FE0A25"/>
    <w:rsid w:val="00FE0B87"/>
    <w:rsid w:val="00FE0BB6"/>
    <w:rsid w:val="00FE0E95"/>
    <w:rsid w:val="00FE0F43"/>
    <w:rsid w:val="00FE11D4"/>
    <w:rsid w:val="00FE120E"/>
    <w:rsid w:val="00FE1263"/>
    <w:rsid w:val="00FE12AA"/>
    <w:rsid w:val="00FE1304"/>
    <w:rsid w:val="00FE1565"/>
    <w:rsid w:val="00FE17BA"/>
    <w:rsid w:val="00FE1B42"/>
    <w:rsid w:val="00FE1BD2"/>
    <w:rsid w:val="00FE1C2A"/>
    <w:rsid w:val="00FE2851"/>
    <w:rsid w:val="00FE2BF7"/>
    <w:rsid w:val="00FE339A"/>
    <w:rsid w:val="00FE3704"/>
    <w:rsid w:val="00FE39F6"/>
    <w:rsid w:val="00FE3ADC"/>
    <w:rsid w:val="00FE3F1C"/>
    <w:rsid w:val="00FE4079"/>
    <w:rsid w:val="00FE46B4"/>
    <w:rsid w:val="00FE484C"/>
    <w:rsid w:val="00FE4C45"/>
    <w:rsid w:val="00FE4CF1"/>
    <w:rsid w:val="00FE4CFE"/>
    <w:rsid w:val="00FE50B8"/>
    <w:rsid w:val="00FE5597"/>
    <w:rsid w:val="00FE56EF"/>
    <w:rsid w:val="00FE5DE6"/>
    <w:rsid w:val="00FE5EA2"/>
    <w:rsid w:val="00FE5FDC"/>
    <w:rsid w:val="00FE64E6"/>
    <w:rsid w:val="00FE7072"/>
    <w:rsid w:val="00FE72A0"/>
    <w:rsid w:val="00FE7969"/>
    <w:rsid w:val="00FE7ECD"/>
    <w:rsid w:val="00FF0282"/>
    <w:rsid w:val="00FF02D9"/>
    <w:rsid w:val="00FF05F0"/>
    <w:rsid w:val="00FF0775"/>
    <w:rsid w:val="00FF07B7"/>
    <w:rsid w:val="00FF0C96"/>
    <w:rsid w:val="00FF109D"/>
    <w:rsid w:val="00FF1154"/>
    <w:rsid w:val="00FF11E6"/>
    <w:rsid w:val="00FF130D"/>
    <w:rsid w:val="00FF172C"/>
    <w:rsid w:val="00FF21B2"/>
    <w:rsid w:val="00FF27B1"/>
    <w:rsid w:val="00FF282C"/>
    <w:rsid w:val="00FF28A4"/>
    <w:rsid w:val="00FF2C8C"/>
    <w:rsid w:val="00FF2C90"/>
    <w:rsid w:val="00FF2C92"/>
    <w:rsid w:val="00FF2DAD"/>
    <w:rsid w:val="00FF451D"/>
    <w:rsid w:val="00FF4E66"/>
    <w:rsid w:val="00FF5252"/>
    <w:rsid w:val="00FF531A"/>
    <w:rsid w:val="00FF5714"/>
    <w:rsid w:val="00FF5765"/>
    <w:rsid w:val="00FF5973"/>
    <w:rsid w:val="00FF6019"/>
    <w:rsid w:val="00FF664D"/>
    <w:rsid w:val="00FF6683"/>
    <w:rsid w:val="00FF66BF"/>
    <w:rsid w:val="00FF6740"/>
    <w:rsid w:val="00FF682A"/>
    <w:rsid w:val="00FF6966"/>
    <w:rsid w:val="00FF6981"/>
    <w:rsid w:val="00FF7857"/>
    <w:rsid w:val="00FF7D1F"/>
    <w:rsid w:val="00FF7E55"/>
    <w:rsid w:val="00FF7F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o:shapelayout v:ext="edit">
      <o:idmap v:ext="edit" data="1"/>
    </o:shapelayout>
  </w:shapeDefaults>
  <w:decimalSymbol w:val="."/>
  <w:listSeparator w:val=","/>
  <w14:docId w14:val="3CF9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C7334"/>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06454A"/>
    <w:rPr>
      <w:b/>
      <w:bCs/>
      <w:smallCaps/>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3F14C2"/>
    <w:rPr>
      <w:rFonts w:ascii="Arial Narrow" w:hAnsi="Arial Narrow" w:cs="Tahoma"/>
      <w:b/>
      <w:bCs/>
      <w:szCs w:val="22"/>
    </w:rPr>
  </w:style>
  <w:style w:type="paragraph" w:customStyle="1" w:styleId="atl">
    <w:name w:val="atl"/>
    <w:basedOn w:val="Normal"/>
    <w:rsid w:val="000F0016"/>
    <w:pPr>
      <w:spacing w:before="100" w:beforeAutospacing="1" w:after="100" w:afterAutospacing="1" w:line="240" w:lineRule="auto"/>
    </w:pPr>
    <w:rPr>
      <w:rFonts w:ascii="Times New Roman" w:hAnsi="Times New Roman" w:cs="Times New Roman"/>
      <w:sz w:val="24"/>
      <w:szCs w:val="24"/>
    </w:rPr>
  </w:style>
  <w:style w:type="paragraph" w:customStyle="1" w:styleId="aug">
    <w:name w:val="aug"/>
    <w:basedOn w:val="Normal"/>
    <w:rsid w:val="000F0016"/>
    <w:pPr>
      <w:spacing w:before="100" w:beforeAutospacing="1" w:after="100" w:afterAutospacing="1" w:line="240" w:lineRule="auto"/>
    </w:pPr>
    <w:rPr>
      <w:rFonts w:ascii="Times New Roman" w:hAnsi="Times New Roman" w:cs="Times New Roman"/>
      <w:sz w:val="24"/>
      <w:szCs w:val="24"/>
    </w:rPr>
  </w:style>
  <w:style w:type="paragraph" w:customStyle="1" w:styleId="journal">
    <w:name w:val="journal"/>
    <w:basedOn w:val="Normal"/>
    <w:rsid w:val="000F0016"/>
    <w:pPr>
      <w:spacing w:before="100" w:beforeAutospacing="1" w:after="100" w:afterAutospacing="1" w:line="240" w:lineRule="auto"/>
    </w:pPr>
    <w:rPr>
      <w:rFonts w:ascii="Times New Roman" w:hAnsi="Times New Roman" w:cs="Times New Roman"/>
      <w:sz w:val="24"/>
      <w:szCs w:val="24"/>
    </w:rPr>
  </w:style>
  <w:style w:type="character" w:customStyle="1" w:styleId="journalname">
    <w:name w:val="journalname"/>
    <w:basedOn w:val="DefaultParagraphFont"/>
    <w:rsid w:val="000F0016"/>
  </w:style>
  <w:style w:type="character" w:customStyle="1" w:styleId="journalnumber">
    <w:name w:val="journalnumber"/>
    <w:basedOn w:val="DefaultParagraphFont"/>
    <w:rsid w:val="000F0016"/>
  </w:style>
  <w:style w:type="character" w:customStyle="1" w:styleId="cite-pages">
    <w:name w:val="cite-pages"/>
    <w:basedOn w:val="DefaultParagraphFont"/>
    <w:rsid w:val="000F0016"/>
  </w:style>
  <w:style w:type="character" w:customStyle="1" w:styleId="cite-month-year">
    <w:name w:val="cite-month-year"/>
    <w:basedOn w:val="DefaultParagraphFont"/>
    <w:rsid w:val="000F0016"/>
  </w:style>
  <w:style w:type="paragraph" w:customStyle="1" w:styleId="doi">
    <w:name w:val="doi"/>
    <w:basedOn w:val="Normal"/>
    <w:rsid w:val="000F0016"/>
    <w:pPr>
      <w:spacing w:before="100" w:beforeAutospacing="1" w:after="100" w:afterAutospacing="1" w:line="240" w:lineRule="auto"/>
    </w:pPr>
    <w:rPr>
      <w:rFonts w:ascii="Times New Roman" w:hAnsi="Times New Roman" w:cs="Times New Roman"/>
      <w:sz w:val="24"/>
      <w:szCs w:val="24"/>
    </w:rPr>
  </w:style>
  <w:style w:type="character" w:customStyle="1" w:styleId="doi1">
    <w:name w:val="doi1"/>
    <w:basedOn w:val="DefaultParagraphFont"/>
    <w:rsid w:val="000F0016"/>
  </w:style>
  <w:style w:type="paragraph" w:customStyle="1" w:styleId="TableNotes1">
    <w:name w:val="Table Notes"/>
    <w:basedOn w:val="Normal"/>
    <w:qFormat/>
    <w:rsid w:val="00040D6B"/>
    <w:pPr>
      <w:spacing w:before="40" w:line="240" w:lineRule="auto"/>
      <w:jc w:val="both"/>
    </w:pPr>
    <w:rPr>
      <w:rFonts w:ascii="Arial Narrow" w:hAnsi="Arial Narrow" w:cs="Times New Roman"/>
      <w:sz w:val="20"/>
      <w:szCs w:val="20"/>
    </w:rPr>
  </w:style>
  <w:style w:type="table" w:customStyle="1" w:styleId="TableGrid3">
    <w:name w:val="Table Grid3"/>
    <w:basedOn w:val="TableNormal"/>
    <w:next w:val="TableGrid"/>
    <w:rsid w:val="00E872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C3198"/>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FC3198"/>
    <w:rPr>
      <w:rFonts w:ascii="Tahoma" w:hAnsi="Tahoma" w:cs="Tahoma"/>
      <w:noProof/>
      <w:sz w:val="22"/>
      <w:szCs w:val="22"/>
    </w:rPr>
  </w:style>
  <w:style w:type="paragraph" w:customStyle="1" w:styleId="EndNoteBibliography">
    <w:name w:val="EndNote Bibliography"/>
    <w:basedOn w:val="Normal"/>
    <w:link w:val="EndNoteBibliographyChar"/>
    <w:rsid w:val="00FC3198"/>
    <w:pPr>
      <w:spacing w:line="240" w:lineRule="auto"/>
      <w:jc w:val="both"/>
    </w:pPr>
    <w:rPr>
      <w:rFonts w:ascii="Tahoma" w:hAnsi="Tahoma"/>
      <w:noProof/>
    </w:rPr>
  </w:style>
  <w:style w:type="character" w:customStyle="1" w:styleId="EndNoteBibliographyChar">
    <w:name w:val="EndNote Bibliography Char"/>
    <w:basedOn w:val="DefaultParagraphFont"/>
    <w:link w:val="EndNoteBibliography"/>
    <w:rsid w:val="00FC3198"/>
    <w:rPr>
      <w:rFonts w:ascii="Tahoma" w:hAnsi="Tahoma" w:cs="Tahoma"/>
      <w:noProof/>
      <w:sz w:val="22"/>
      <w:szCs w:val="22"/>
    </w:rPr>
  </w:style>
  <w:style w:type="table" w:customStyle="1" w:styleId="TableGrid4">
    <w:name w:val="Table Grid4"/>
    <w:basedOn w:val="TableNormal"/>
    <w:next w:val="TableGrid"/>
    <w:rsid w:val="001508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4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08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E6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E6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B176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D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52D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3E3C"/>
    <w:rPr>
      <w:color w:val="808080"/>
    </w:rPr>
  </w:style>
  <w:style w:type="table" w:customStyle="1" w:styleId="TableGrid31">
    <w:name w:val="Table Grid31"/>
    <w:basedOn w:val="TableNormal"/>
    <w:next w:val="TableGrid"/>
    <w:rsid w:val="0063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63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6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36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36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36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0F4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9C0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5234D"/>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12">
    <w:name w:val="Table Grid112"/>
    <w:basedOn w:val="TableNormal"/>
    <w:next w:val="TableGrid"/>
    <w:rsid w:val="003F767A"/>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13">
    <w:name w:val="Table Grid113"/>
    <w:basedOn w:val="TableNormal"/>
    <w:next w:val="TableGrid"/>
    <w:rsid w:val="003F767A"/>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character" w:customStyle="1" w:styleId="st">
    <w:name w:val="st"/>
    <w:basedOn w:val="DefaultParagraphFont"/>
    <w:rsid w:val="007764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C7334"/>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06454A"/>
    <w:rPr>
      <w:b/>
      <w:bCs/>
      <w:smallCaps/>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3F14C2"/>
    <w:rPr>
      <w:rFonts w:ascii="Arial Narrow" w:hAnsi="Arial Narrow" w:cs="Tahoma"/>
      <w:b/>
      <w:bCs/>
      <w:szCs w:val="22"/>
    </w:rPr>
  </w:style>
  <w:style w:type="paragraph" w:customStyle="1" w:styleId="atl">
    <w:name w:val="atl"/>
    <w:basedOn w:val="Normal"/>
    <w:rsid w:val="000F0016"/>
    <w:pPr>
      <w:spacing w:before="100" w:beforeAutospacing="1" w:after="100" w:afterAutospacing="1" w:line="240" w:lineRule="auto"/>
    </w:pPr>
    <w:rPr>
      <w:rFonts w:ascii="Times New Roman" w:hAnsi="Times New Roman" w:cs="Times New Roman"/>
      <w:sz w:val="24"/>
      <w:szCs w:val="24"/>
    </w:rPr>
  </w:style>
  <w:style w:type="paragraph" w:customStyle="1" w:styleId="aug">
    <w:name w:val="aug"/>
    <w:basedOn w:val="Normal"/>
    <w:rsid w:val="000F0016"/>
    <w:pPr>
      <w:spacing w:before="100" w:beforeAutospacing="1" w:after="100" w:afterAutospacing="1" w:line="240" w:lineRule="auto"/>
    </w:pPr>
    <w:rPr>
      <w:rFonts w:ascii="Times New Roman" w:hAnsi="Times New Roman" w:cs="Times New Roman"/>
      <w:sz w:val="24"/>
      <w:szCs w:val="24"/>
    </w:rPr>
  </w:style>
  <w:style w:type="paragraph" w:customStyle="1" w:styleId="journal">
    <w:name w:val="journal"/>
    <w:basedOn w:val="Normal"/>
    <w:rsid w:val="000F0016"/>
    <w:pPr>
      <w:spacing w:before="100" w:beforeAutospacing="1" w:after="100" w:afterAutospacing="1" w:line="240" w:lineRule="auto"/>
    </w:pPr>
    <w:rPr>
      <w:rFonts w:ascii="Times New Roman" w:hAnsi="Times New Roman" w:cs="Times New Roman"/>
      <w:sz w:val="24"/>
      <w:szCs w:val="24"/>
    </w:rPr>
  </w:style>
  <w:style w:type="character" w:customStyle="1" w:styleId="journalname">
    <w:name w:val="journalname"/>
    <w:basedOn w:val="DefaultParagraphFont"/>
    <w:rsid w:val="000F0016"/>
  </w:style>
  <w:style w:type="character" w:customStyle="1" w:styleId="journalnumber">
    <w:name w:val="journalnumber"/>
    <w:basedOn w:val="DefaultParagraphFont"/>
    <w:rsid w:val="000F0016"/>
  </w:style>
  <w:style w:type="character" w:customStyle="1" w:styleId="cite-pages">
    <w:name w:val="cite-pages"/>
    <w:basedOn w:val="DefaultParagraphFont"/>
    <w:rsid w:val="000F0016"/>
  </w:style>
  <w:style w:type="character" w:customStyle="1" w:styleId="cite-month-year">
    <w:name w:val="cite-month-year"/>
    <w:basedOn w:val="DefaultParagraphFont"/>
    <w:rsid w:val="000F0016"/>
  </w:style>
  <w:style w:type="paragraph" w:customStyle="1" w:styleId="doi">
    <w:name w:val="doi"/>
    <w:basedOn w:val="Normal"/>
    <w:rsid w:val="000F0016"/>
    <w:pPr>
      <w:spacing w:before="100" w:beforeAutospacing="1" w:after="100" w:afterAutospacing="1" w:line="240" w:lineRule="auto"/>
    </w:pPr>
    <w:rPr>
      <w:rFonts w:ascii="Times New Roman" w:hAnsi="Times New Roman" w:cs="Times New Roman"/>
      <w:sz w:val="24"/>
      <w:szCs w:val="24"/>
    </w:rPr>
  </w:style>
  <w:style w:type="character" w:customStyle="1" w:styleId="doi1">
    <w:name w:val="doi1"/>
    <w:basedOn w:val="DefaultParagraphFont"/>
    <w:rsid w:val="000F0016"/>
  </w:style>
  <w:style w:type="paragraph" w:customStyle="1" w:styleId="TableNotes1">
    <w:name w:val="Table Notes"/>
    <w:basedOn w:val="Normal"/>
    <w:qFormat/>
    <w:rsid w:val="00040D6B"/>
    <w:pPr>
      <w:spacing w:before="40" w:line="240" w:lineRule="auto"/>
      <w:jc w:val="both"/>
    </w:pPr>
    <w:rPr>
      <w:rFonts w:ascii="Arial Narrow" w:hAnsi="Arial Narrow" w:cs="Times New Roman"/>
      <w:sz w:val="20"/>
      <w:szCs w:val="20"/>
    </w:rPr>
  </w:style>
  <w:style w:type="table" w:customStyle="1" w:styleId="TableGrid3">
    <w:name w:val="Table Grid3"/>
    <w:basedOn w:val="TableNormal"/>
    <w:next w:val="TableGrid"/>
    <w:rsid w:val="00E872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C3198"/>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FC3198"/>
    <w:rPr>
      <w:rFonts w:ascii="Tahoma" w:hAnsi="Tahoma" w:cs="Tahoma"/>
      <w:noProof/>
      <w:sz w:val="22"/>
      <w:szCs w:val="22"/>
    </w:rPr>
  </w:style>
  <w:style w:type="paragraph" w:customStyle="1" w:styleId="EndNoteBibliography">
    <w:name w:val="EndNote Bibliography"/>
    <w:basedOn w:val="Normal"/>
    <w:link w:val="EndNoteBibliographyChar"/>
    <w:rsid w:val="00FC3198"/>
    <w:pPr>
      <w:spacing w:line="240" w:lineRule="auto"/>
      <w:jc w:val="both"/>
    </w:pPr>
    <w:rPr>
      <w:rFonts w:ascii="Tahoma" w:hAnsi="Tahoma"/>
      <w:noProof/>
    </w:rPr>
  </w:style>
  <w:style w:type="character" w:customStyle="1" w:styleId="EndNoteBibliographyChar">
    <w:name w:val="EndNote Bibliography Char"/>
    <w:basedOn w:val="DefaultParagraphFont"/>
    <w:link w:val="EndNoteBibliography"/>
    <w:rsid w:val="00FC3198"/>
    <w:rPr>
      <w:rFonts w:ascii="Tahoma" w:hAnsi="Tahoma" w:cs="Tahoma"/>
      <w:noProof/>
      <w:sz w:val="22"/>
      <w:szCs w:val="22"/>
    </w:rPr>
  </w:style>
  <w:style w:type="table" w:customStyle="1" w:styleId="TableGrid4">
    <w:name w:val="Table Grid4"/>
    <w:basedOn w:val="TableNormal"/>
    <w:next w:val="TableGrid"/>
    <w:rsid w:val="001508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4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08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E6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E6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B176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D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52D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3E3C"/>
    <w:rPr>
      <w:color w:val="808080"/>
    </w:rPr>
  </w:style>
  <w:style w:type="table" w:customStyle="1" w:styleId="TableGrid31">
    <w:name w:val="Table Grid31"/>
    <w:basedOn w:val="TableNormal"/>
    <w:next w:val="TableGrid"/>
    <w:rsid w:val="0063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63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6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36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36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36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0F4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9C0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5234D"/>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12">
    <w:name w:val="Table Grid112"/>
    <w:basedOn w:val="TableNormal"/>
    <w:next w:val="TableGrid"/>
    <w:rsid w:val="003F767A"/>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113">
    <w:name w:val="Table Grid113"/>
    <w:basedOn w:val="TableNormal"/>
    <w:next w:val="TableGrid"/>
    <w:rsid w:val="003F767A"/>
    <w:pPr>
      <w:spacing w:before="40" w:after="40"/>
    </w:pPr>
    <w:rPr>
      <w:rFonts w:ascii="Arial Narrow"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character" w:customStyle="1" w:styleId="st">
    <w:name w:val="st"/>
    <w:basedOn w:val="DefaultParagraphFont"/>
    <w:rsid w:val="00776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2998040">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48772476">
      <w:bodyDiv w:val="1"/>
      <w:marLeft w:val="0"/>
      <w:marRight w:val="0"/>
      <w:marTop w:val="0"/>
      <w:marBottom w:val="0"/>
      <w:divBdr>
        <w:top w:val="none" w:sz="0" w:space="0" w:color="auto"/>
        <w:left w:val="none" w:sz="0" w:space="0" w:color="auto"/>
        <w:bottom w:val="none" w:sz="0" w:space="0" w:color="auto"/>
        <w:right w:val="none" w:sz="0" w:space="0" w:color="auto"/>
      </w:divBdr>
      <w:divsChild>
        <w:div w:id="40981556">
          <w:marLeft w:val="0"/>
          <w:marRight w:val="0"/>
          <w:marTop w:val="0"/>
          <w:marBottom w:val="0"/>
          <w:divBdr>
            <w:top w:val="none" w:sz="0" w:space="0" w:color="auto"/>
            <w:left w:val="none" w:sz="0" w:space="0" w:color="auto"/>
            <w:bottom w:val="none" w:sz="0" w:space="0" w:color="auto"/>
            <w:right w:val="none" w:sz="0" w:space="0" w:color="auto"/>
          </w:divBdr>
        </w:div>
        <w:div w:id="289867335">
          <w:marLeft w:val="0"/>
          <w:marRight w:val="0"/>
          <w:marTop w:val="0"/>
          <w:marBottom w:val="0"/>
          <w:divBdr>
            <w:top w:val="none" w:sz="0" w:space="0" w:color="auto"/>
            <w:left w:val="none" w:sz="0" w:space="0" w:color="auto"/>
            <w:bottom w:val="none" w:sz="0" w:space="0" w:color="auto"/>
            <w:right w:val="none" w:sz="0" w:space="0" w:color="auto"/>
          </w:divBdr>
        </w:div>
        <w:div w:id="404883027">
          <w:marLeft w:val="0"/>
          <w:marRight w:val="0"/>
          <w:marTop w:val="0"/>
          <w:marBottom w:val="0"/>
          <w:divBdr>
            <w:top w:val="none" w:sz="0" w:space="0" w:color="auto"/>
            <w:left w:val="none" w:sz="0" w:space="0" w:color="auto"/>
            <w:bottom w:val="none" w:sz="0" w:space="0" w:color="auto"/>
            <w:right w:val="none" w:sz="0" w:space="0" w:color="auto"/>
          </w:divBdr>
        </w:div>
        <w:div w:id="477965431">
          <w:marLeft w:val="0"/>
          <w:marRight w:val="0"/>
          <w:marTop w:val="0"/>
          <w:marBottom w:val="0"/>
          <w:divBdr>
            <w:top w:val="none" w:sz="0" w:space="0" w:color="auto"/>
            <w:left w:val="none" w:sz="0" w:space="0" w:color="auto"/>
            <w:bottom w:val="none" w:sz="0" w:space="0" w:color="auto"/>
            <w:right w:val="none" w:sz="0" w:space="0" w:color="auto"/>
          </w:divBdr>
        </w:div>
        <w:div w:id="549612373">
          <w:marLeft w:val="0"/>
          <w:marRight w:val="0"/>
          <w:marTop w:val="0"/>
          <w:marBottom w:val="0"/>
          <w:divBdr>
            <w:top w:val="none" w:sz="0" w:space="0" w:color="auto"/>
            <w:left w:val="none" w:sz="0" w:space="0" w:color="auto"/>
            <w:bottom w:val="none" w:sz="0" w:space="0" w:color="auto"/>
            <w:right w:val="none" w:sz="0" w:space="0" w:color="auto"/>
          </w:divBdr>
        </w:div>
        <w:div w:id="826097495">
          <w:marLeft w:val="0"/>
          <w:marRight w:val="0"/>
          <w:marTop w:val="0"/>
          <w:marBottom w:val="0"/>
          <w:divBdr>
            <w:top w:val="none" w:sz="0" w:space="0" w:color="auto"/>
            <w:left w:val="none" w:sz="0" w:space="0" w:color="auto"/>
            <w:bottom w:val="none" w:sz="0" w:space="0" w:color="auto"/>
            <w:right w:val="none" w:sz="0" w:space="0" w:color="auto"/>
          </w:divBdr>
        </w:div>
        <w:div w:id="1269849549">
          <w:marLeft w:val="0"/>
          <w:marRight w:val="0"/>
          <w:marTop w:val="0"/>
          <w:marBottom w:val="0"/>
          <w:divBdr>
            <w:top w:val="none" w:sz="0" w:space="0" w:color="auto"/>
            <w:left w:val="none" w:sz="0" w:space="0" w:color="auto"/>
            <w:bottom w:val="none" w:sz="0" w:space="0" w:color="auto"/>
            <w:right w:val="none" w:sz="0" w:space="0" w:color="auto"/>
          </w:divBdr>
        </w:div>
        <w:div w:id="1425611845">
          <w:marLeft w:val="0"/>
          <w:marRight w:val="0"/>
          <w:marTop w:val="0"/>
          <w:marBottom w:val="0"/>
          <w:divBdr>
            <w:top w:val="none" w:sz="0" w:space="0" w:color="auto"/>
            <w:left w:val="none" w:sz="0" w:space="0" w:color="auto"/>
            <w:bottom w:val="none" w:sz="0" w:space="0" w:color="auto"/>
            <w:right w:val="none" w:sz="0" w:space="0" w:color="auto"/>
          </w:divBdr>
        </w:div>
        <w:div w:id="1608848894">
          <w:marLeft w:val="0"/>
          <w:marRight w:val="0"/>
          <w:marTop w:val="0"/>
          <w:marBottom w:val="0"/>
          <w:divBdr>
            <w:top w:val="none" w:sz="0" w:space="0" w:color="auto"/>
            <w:left w:val="none" w:sz="0" w:space="0" w:color="auto"/>
            <w:bottom w:val="none" w:sz="0" w:space="0" w:color="auto"/>
            <w:right w:val="none" w:sz="0" w:space="0" w:color="auto"/>
          </w:divBdr>
        </w:div>
        <w:div w:id="1745570132">
          <w:marLeft w:val="0"/>
          <w:marRight w:val="0"/>
          <w:marTop w:val="0"/>
          <w:marBottom w:val="0"/>
          <w:divBdr>
            <w:top w:val="none" w:sz="0" w:space="0" w:color="auto"/>
            <w:left w:val="none" w:sz="0" w:space="0" w:color="auto"/>
            <w:bottom w:val="none" w:sz="0" w:space="0" w:color="auto"/>
            <w:right w:val="none" w:sz="0" w:space="0" w:color="auto"/>
          </w:divBdr>
        </w:div>
        <w:div w:id="1997565810">
          <w:marLeft w:val="0"/>
          <w:marRight w:val="0"/>
          <w:marTop w:val="0"/>
          <w:marBottom w:val="0"/>
          <w:divBdr>
            <w:top w:val="none" w:sz="0" w:space="0" w:color="auto"/>
            <w:left w:val="none" w:sz="0" w:space="0" w:color="auto"/>
            <w:bottom w:val="none" w:sz="0" w:space="0" w:color="auto"/>
            <w:right w:val="none" w:sz="0" w:space="0" w:color="auto"/>
          </w:divBdr>
        </w:div>
      </w:divsChild>
    </w:div>
    <w:div w:id="768699852">
      <w:bodyDiv w:val="1"/>
      <w:marLeft w:val="0"/>
      <w:marRight w:val="0"/>
      <w:marTop w:val="0"/>
      <w:marBottom w:val="0"/>
      <w:divBdr>
        <w:top w:val="none" w:sz="0" w:space="0" w:color="auto"/>
        <w:left w:val="none" w:sz="0" w:space="0" w:color="auto"/>
        <w:bottom w:val="none" w:sz="0" w:space="0" w:color="auto"/>
        <w:right w:val="none" w:sz="0" w:space="0" w:color="auto"/>
      </w:divBdr>
      <w:divsChild>
        <w:div w:id="450709287">
          <w:marLeft w:val="0"/>
          <w:marRight w:val="0"/>
          <w:marTop w:val="0"/>
          <w:marBottom w:val="0"/>
          <w:divBdr>
            <w:top w:val="none" w:sz="0" w:space="0" w:color="auto"/>
            <w:left w:val="none" w:sz="0" w:space="0" w:color="auto"/>
            <w:bottom w:val="none" w:sz="0" w:space="0" w:color="auto"/>
            <w:right w:val="none" w:sz="0" w:space="0" w:color="auto"/>
          </w:divBdr>
        </w:div>
        <w:div w:id="535851200">
          <w:marLeft w:val="0"/>
          <w:marRight w:val="0"/>
          <w:marTop w:val="0"/>
          <w:marBottom w:val="0"/>
          <w:divBdr>
            <w:top w:val="none" w:sz="0" w:space="0" w:color="auto"/>
            <w:left w:val="none" w:sz="0" w:space="0" w:color="auto"/>
            <w:bottom w:val="none" w:sz="0" w:space="0" w:color="auto"/>
            <w:right w:val="none" w:sz="0" w:space="0" w:color="auto"/>
          </w:divBdr>
        </w:div>
        <w:div w:id="740492036">
          <w:marLeft w:val="0"/>
          <w:marRight w:val="0"/>
          <w:marTop w:val="0"/>
          <w:marBottom w:val="0"/>
          <w:divBdr>
            <w:top w:val="none" w:sz="0" w:space="0" w:color="auto"/>
            <w:left w:val="none" w:sz="0" w:space="0" w:color="auto"/>
            <w:bottom w:val="none" w:sz="0" w:space="0" w:color="auto"/>
            <w:right w:val="none" w:sz="0" w:space="0" w:color="auto"/>
          </w:divBdr>
        </w:div>
        <w:div w:id="827984517">
          <w:marLeft w:val="0"/>
          <w:marRight w:val="0"/>
          <w:marTop w:val="0"/>
          <w:marBottom w:val="0"/>
          <w:divBdr>
            <w:top w:val="none" w:sz="0" w:space="0" w:color="auto"/>
            <w:left w:val="none" w:sz="0" w:space="0" w:color="auto"/>
            <w:bottom w:val="none" w:sz="0" w:space="0" w:color="auto"/>
            <w:right w:val="none" w:sz="0" w:space="0" w:color="auto"/>
          </w:divBdr>
        </w:div>
      </w:divsChild>
    </w:div>
    <w:div w:id="803546518">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13537754">
      <w:bodyDiv w:val="1"/>
      <w:marLeft w:val="0"/>
      <w:marRight w:val="0"/>
      <w:marTop w:val="0"/>
      <w:marBottom w:val="0"/>
      <w:divBdr>
        <w:top w:val="none" w:sz="0" w:space="0" w:color="auto"/>
        <w:left w:val="none" w:sz="0" w:space="0" w:color="auto"/>
        <w:bottom w:val="none" w:sz="0" w:space="0" w:color="auto"/>
        <w:right w:val="none" w:sz="0" w:space="0" w:color="auto"/>
      </w:divBdr>
      <w:divsChild>
        <w:div w:id="1058625978">
          <w:marLeft w:val="0"/>
          <w:marRight w:val="0"/>
          <w:marTop w:val="0"/>
          <w:marBottom w:val="0"/>
          <w:divBdr>
            <w:top w:val="none" w:sz="0" w:space="0" w:color="auto"/>
            <w:left w:val="none" w:sz="0" w:space="0" w:color="auto"/>
            <w:bottom w:val="none" w:sz="0" w:space="0" w:color="auto"/>
            <w:right w:val="none" w:sz="0" w:space="0" w:color="auto"/>
          </w:divBdr>
          <w:divsChild>
            <w:div w:id="2142965372">
              <w:marLeft w:val="0"/>
              <w:marRight w:val="0"/>
              <w:marTop w:val="0"/>
              <w:marBottom w:val="0"/>
              <w:divBdr>
                <w:top w:val="none" w:sz="0" w:space="0" w:color="auto"/>
                <w:left w:val="none" w:sz="0" w:space="0" w:color="auto"/>
                <w:bottom w:val="none" w:sz="0" w:space="0" w:color="auto"/>
                <w:right w:val="none" w:sz="0" w:space="0" w:color="auto"/>
              </w:divBdr>
              <w:divsChild>
                <w:div w:id="599876853">
                  <w:marLeft w:val="0"/>
                  <w:marRight w:val="0"/>
                  <w:marTop w:val="0"/>
                  <w:marBottom w:val="0"/>
                  <w:divBdr>
                    <w:top w:val="none" w:sz="0" w:space="0" w:color="auto"/>
                    <w:left w:val="none" w:sz="0" w:space="0" w:color="auto"/>
                    <w:bottom w:val="none" w:sz="0" w:space="0" w:color="auto"/>
                    <w:right w:val="none" w:sz="0" w:space="0" w:color="auto"/>
                  </w:divBdr>
                </w:div>
                <w:div w:id="19872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89314452">
      <w:bodyDiv w:val="1"/>
      <w:marLeft w:val="0"/>
      <w:marRight w:val="0"/>
      <w:marTop w:val="0"/>
      <w:marBottom w:val="0"/>
      <w:divBdr>
        <w:top w:val="none" w:sz="0" w:space="0" w:color="auto"/>
        <w:left w:val="none" w:sz="0" w:space="0" w:color="auto"/>
        <w:bottom w:val="none" w:sz="0" w:space="0" w:color="auto"/>
        <w:right w:val="none" w:sz="0" w:space="0" w:color="auto"/>
      </w:divBdr>
      <w:divsChild>
        <w:div w:id="765923107">
          <w:marLeft w:val="0"/>
          <w:marRight w:val="0"/>
          <w:marTop w:val="0"/>
          <w:marBottom w:val="0"/>
          <w:divBdr>
            <w:top w:val="none" w:sz="0" w:space="0" w:color="auto"/>
            <w:left w:val="none" w:sz="0" w:space="0" w:color="auto"/>
            <w:bottom w:val="none" w:sz="0" w:space="0" w:color="auto"/>
            <w:right w:val="none" w:sz="0" w:space="0" w:color="auto"/>
          </w:divBdr>
        </w:div>
      </w:divsChild>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390156791">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1696257">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698239332">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817070030">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1973320566">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9.health.gov.au/mbs/fullDisplay.cfm?type=note&amp;qt=NoteID&amp;q=TN.1.4" TargetMode="External"/><Relationship Id="rId42" Type="http://schemas.openxmlformats.org/officeDocument/2006/relationships/hyperlink" Target="http://repromed.com.au/what-to-expect/preliminary-investigations/amh-blood-test/" TargetMode="External"/><Relationship Id="rId47" Type="http://schemas.openxmlformats.org/officeDocument/2006/relationships/hyperlink" Target="http://www.greylit.org/" TargetMode="External"/><Relationship Id="rId63" Type="http://schemas.openxmlformats.org/officeDocument/2006/relationships/hyperlink" Target="http://www.inesss.qc.ca/en/publications/publications" TargetMode="External"/><Relationship Id="rId68" Type="http://schemas.openxmlformats.org/officeDocument/2006/relationships/hyperlink" Target="http://www.chepa.org/" TargetMode="External"/><Relationship Id="rId84" Type="http://schemas.openxmlformats.org/officeDocument/2006/relationships/hyperlink" Target="http://www.gencat.cat/" TargetMode="External"/><Relationship Id="rId89" Type="http://schemas.openxmlformats.org/officeDocument/2006/relationships/hyperlink" Target="http://www.nhshealthquality.org/" TargetMode="External"/><Relationship Id="rId112" Type="http://schemas.openxmlformats.org/officeDocument/2006/relationships/hyperlink" Target="http://onlinelibrary.wiley.com/o/cochrane/clcentral/articles/585/CN-00988585/frame.html" TargetMode="External"/><Relationship Id="rId16" Type="http://schemas.openxmlformats.org/officeDocument/2006/relationships/image" Target="media/image2.png"/><Relationship Id="rId107" Type="http://schemas.openxmlformats.org/officeDocument/2006/relationships/header" Target="header9.xml"/><Relationship Id="rId11" Type="http://schemas.openxmlformats.org/officeDocument/2006/relationships/hyperlink" Target="http://www.msac.gov.au/" TargetMode="External"/><Relationship Id="rId24" Type="http://schemas.openxmlformats.org/officeDocument/2006/relationships/image" Target="media/image3.png"/><Relationship Id="rId32" Type="http://schemas.openxmlformats.org/officeDocument/2006/relationships/header" Target="header5.xml"/><Relationship Id="rId37" Type="http://schemas.openxmlformats.org/officeDocument/2006/relationships/image" Target="media/image8.png"/><Relationship Id="rId40" Type="http://schemas.openxmlformats.org/officeDocument/2006/relationships/hyperlink" Target="https://www.ivf.com.au/ovarian-reserve-amh-test" TargetMode="External"/><Relationship Id="rId45" Type="http://schemas.openxmlformats.org/officeDocument/2006/relationships/hyperlink" Target="http://www.nhmrc.gov.au/" TargetMode="External"/><Relationship Id="rId53" Type="http://schemas.openxmlformats.org/officeDocument/2006/relationships/hyperlink" Target="http://www.anzctr.org.au/" TargetMode="External"/><Relationship Id="rId58" Type="http://schemas.openxmlformats.org/officeDocument/2006/relationships/hyperlink" Target="http://www.inahta.org/" TargetMode="External"/><Relationship Id="rId66" Type="http://schemas.openxmlformats.org/officeDocument/2006/relationships/hyperlink" Target="http://www.cadth.ca/index.php/en/" TargetMode="External"/><Relationship Id="rId74" Type="http://schemas.openxmlformats.org/officeDocument/2006/relationships/hyperlink" Target="http://www.thl.fi/en/web/thlfi-en/" TargetMode="External"/><Relationship Id="rId79" Type="http://schemas.openxmlformats.org/officeDocument/2006/relationships/hyperlink" Target="http://www.imta.nl/" TargetMode="External"/><Relationship Id="rId87" Type="http://schemas.openxmlformats.org/officeDocument/2006/relationships/hyperlink" Target="http://www.snhta.ch/" TargetMode="External"/><Relationship Id="rId102" Type="http://schemas.openxmlformats.org/officeDocument/2006/relationships/hyperlink" Target="http://www.research.va.gov/default.cfm" TargetMode="External"/><Relationship Id="rId110" Type="http://schemas.openxmlformats.org/officeDocument/2006/relationships/hyperlink" Target="https://www.aihw.gov.au/getmedia/3da1f3c2-30f0-4475-8aed-1f19f8e16d48/20066-cancer-2017.pdf.aspx?inline=true%3e"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buseco.monash.edu.au/centres/che/" TargetMode="External"/><Relationship Id="rId82" Type="http://schemas.openxmlformats.org/officeDocument/2006/relationships/hyperlink" Target="http://www.isciii.es/" TargetMode="External"/><Relationship Id="rId90" Type="http://schemas.openxmlformats.org/officeDocument/2006/relationships/hyperlink" Target="http://www.nice.org.uk/" TargetMode="External"/><Relationship Id="rId95" Type="http://schemas.openxmlformats.org/officeDocument/2006/relationships/hyperlink" Target="http://www.icer-review.org/" TargetMode="External"/><Relationship Id="rId19" Type="http://schemas.openxmlformats.org/officeDocument/2006/relationships/hyperlink" Target="http://www9.health.gov.au/mbs/fullDisplay.cfm?type=note&amp;qt=NoteID&amp;q=TN.1.4" TargetMode="External"/><Relationship Id="rId14" Type="http://schemas.openxmlformats.org/officeDocument/2006/relationships/footer" Target="footer1.xml"/><Relationship Id="rId22" Type="http://schemas.openxmlformats.org/officeDocument/2006/relationships/hyperlink" Target="http://www9.health.gov.au/mbs/fullDisplay.cfm?type=note&amp;q=IN.0.19&amp;qt=noteID&amp;criteria=IN%2E0%2E19" TargetMode="External"/><Relationship Id="rId27" Type="http://schemas.openxmlformats.org/officeDocument/2006/relationships/image" Target="media/image6.png"/><Relationship Id="rId30" Type="http://schemas.openxmlformats.org/officeDocument/2006/relationships/footer" Target="footer2.xml"/><Relationship Id="rId35" Type="http://schemas.openxmlformats.org/officeDocument/2006/relationships/header" Target="header7.xml"/><Relationship Id="rId43" Type="http://schemas.openxmlformats.org/officeDocument/2006/relationships/hyperlink" Target="http://www.clinipathpathology.com.au/media/96085/anti-mullerian%20hormone%20(amh).pdf" TargetMode="External"/><Relationship Id="rId48" Type="http://schemas.openxmlformats.org/officeDocument/2006/relationships/hyperlink" Target="http://www.tripdatabase.com/" TargetMode="External"/><Relationship Id="rId56" Type="http://schemas.openxmlformats.org/officeDocument/2006/relationships/hyperlink" Target="https://www.asco.org/" TargetMode="External"/><Relationship Id="rId64" Type="http://schemas.openxmlformats.org/officeDocument/2006/relationships/hyperlink" Target="http://www.ahfmr.ab.ca/" TargetMode="External"/><Relationship Id="rId69" Type="http://schemas.openxmlformats.org/officeDocument/2006/relationships/hyperlink" Target="http://www.fhs.mcmaster.ca/hug/index.htm" TargetMode="External"/><Relationship Id="rId77" Type="http://schemas.openxmlformats.org/officeDocument/2006/relationships/hyperlink" Target="http://www.iqwig.de/" TargetMode="External"/><Relationship Id="rId100" Type="http://schemas.openxmlformats.org/officeDocument/2006/relationships/hyperlink" Target="http://ota.fas.org/" TargetMode="External"/><Relationship Id="rId105" Type="http://schemas.openxmlformats.org/officeDocument/2006/relationships/footer" Target="footer4.xml"/><Relationship Id="rId113" Type="http://schemas.openxmlformats.org/officeDocument/2006/relationships/hyperlink" Target="https://link.springer.com/content/pdf/10.1007%2Fs10549-014-2891-0.pdf%3e" TargetMode="External"/><Relationship Id="rId8" Type="http://schemas.openxmlformats.org/officeDocument/2006/relationships/endnotes" Target="endnotes.xml"/><Relationship Id="rId51" Type="http://schemas.openxmlformats.org/officeDocument/2006/relationships/hyperlink" Target="http://www.nihr.ac.uk/Pages/NRRArchive.aspx" TargetMode="External"/><Relationship Id="rId72" Type="http://schemas.openxmlformats.org/officeDocument/2006/relationships/hyperlink" Target="http://www.hqc.sk.ca/" TargetMode="External"/><Relationship Id="rId80" Type="http://schemas.openxmlformats.org/officeDocument/2006/relationships/hyperlink" Target="http://www.otago.ac.nz/christchurch/research/nzhta/" TargetMode="External"/><Relationship Id="rId85" Type="http://schemas.openxmlformats.org/officeDocument/2006/relationships/hyperlink" Target="http://www.cmt.liu.se/?l=en&amp;sc=true" TargetMode="External"/><Relationship Id="rId93" Type="http://schemas.openxmlformats.org/officeDocument/2006/relationships/hyperlink" Target="http://www.ahrq.gov/" TargetMode="External"/><Relationship Id="rId98" Type="http://schemas.openxmlformats.org/officeDocument/2006/relationships/hyperlink" Target="http://www.nlm.nih.gov/nichsr/nichsr.html" TargetMode="External"/><Relationship Id="rId3" Type="http://schemas.openxmlformats.org/officeDocument/2006/relationships/styles" Target="styles.xml"/><Relationship Id="rId12" Type="http://schemas.openxmlformats.org/officeDocument/2006/relationships/hyperlink" Target="mailto:hta@health.gov.au" TargetMode="External"/><Relationship Id="rId17" Type="http://schemas.openxmlformats.org/officeDocument/2006/relationships/hyperlink" Target="http://www9.health.gov.au/mbs/fullDisplay.cfm?type=note&amp;qt=NoteID&amp;q=TN.1.4" TargetMode="External"/><Relationship Id="rId25" Type="http://schemas.openxmlformats.org/officeDocument/2006/relationships/image" Target="media/image4.png"/><Relationship Id="rId33" Type="http://schemas.openxmlformats.org/officeDocument/2006/relationships/header" Target="header6.xml"/><Relationship Id="rId38" Type="http://schemas.openxmlformats.org/officeDocument/2006/relationships/image" Target="media/image9.png"/><Relationship Id="rId46" Type="http://schemas.openxmlformats.org/officeDocument/2006/relationships/hyperlink" Target="http://www.hhs.gov/" TargetMode="External"/><Relationship Id="rId59" Type="http://schemas.openxmlformats.org/officeDocument/2006/relationships/hyperlink" Target="http://www.surgeons.org/for-health-professionals/audits-and-surgical-research/asernip-s/" TargetMode="External"/><Relationship Id="rId67" Type="http://schemas.openxmlformats.org/officeDocument/2006/relationships/hyperlink" Target="http://www.cahspr.ca/" TargetMode="External"/><Relationship Id="rId103" Type="http://schemas.openxmlformats.org/officeDocument/2006/relationships/hyperlink" Target="https://www.nhmrc.gov.au/_files_nhmrc/file/guidelines/developers/nhmrc_levels_grades_evidence_120423.pdf" TargetMode="External"/><Relationship Id="rId108" Type="http://schemas.openxmlformats.org/officeDocument/2006/relationships/footer" Target="footer5.xml"/><Relationship Id="rId20" Type="http://schemas.openxmlformats.org/officeDocument/2006/relationships/hyperlink" Target="http://www9.health.gov.au/mbs/fullDisplay.cfm?type=note&amp;qt=NoteID&amp;q=TN.1.4" TargetMode="External"/><Relationship Id="rId41" Type="http://schemas.openxmlformats.org/officeDocument/2006/relationships/hyperlink" Target="http://www.fertilitynorth.com.au/amh-test/" TargetMode="External"/><Relationship Id="rId54" Type="http://schemas.openxmlformats.org/officeDocument/2006/relationships/hyperlink" Target="http://www.who.int/en/" TargetMode="External"/><Relationship Id="rId62" Type="http://schemas.openxmlformats.org/officeDocument/2006/relationships/hyperlink" Target="http://www.oeaw.ac.at/ita" TargetMode="External"/><Relationship Id="rId70" Type="http://schemas.openxmlformats.org/officeDocument/2006/relationships/hyperlink" Target="http://www.chspr.ubc.ca/" TargetMode="External"/><Relationship Id="rId75" Type="http://schemas.openxmlformats.org/officeDocument/2006/relationships/hyperlink" Target="http://www.anaes.fr/" TargetMode="External"/><Relationship Id="rId83" Type="http://schemas.openxmlformats.org/officeDocument/2006/relationships/hyperlink" Target="http://www.juntadeandalucia.es/" TargetMode="External"/><Relationship Id="rId88" Type="http://schemas.openxmlformats.org/officeDocument/2006/relationships/hyperlink" Target="http://www.hta.ac.uk/" TargetMode="External"/><Relationship Id="rId91" Type="http://schemas.openxmlformats.org/officeDocument/2006/relationships/hyperlink" Target="http://www.euroscan.bham.ac.uk/" TargetMode="External"/><Relationship Id="rId96" Type="http://schemas.openxmlformats.org/officeDocument/2006/relationships/hyperlink" Target="http://www.icsi.org/" TargetMode="External"/><Relationship Id="rId111" Type="http://schemas.openxmlformats.org/officeDocument/2006/relationships/hyperlink" Target="https://monashivf.com/understanding-egg-timer-test-ovarian-reserve-amh/%3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9.health.gov.au/mbs/fullDisplay.cfm?type=note&amp;qt=NoteID&amp;q=IN.0.19" TargetMode="External"/><Relationship Id="rId28" Type="http://schemas.openxmlformats.org/officeDocument/2006/relationships/header" Target="header2.xml"/><Relationship Id="rId36" Type="http://schemas.openxmlformats.org/officeDocument/2006/relationships/image" Target="media/image7.png"/><Relationship Id="rId49" Type="http://schemas.openxmlformats.org/officeDocument/2006/relationships/hyperlink" Target="http://controlled-trials.com/" TargetMode="External"/><Relationship Id="rId57" Type="http://schemas.openxmlformats.org/officeDocument/2006/relationships/hyperlink" Target="http://www.esmo.org/" TargetMode="External"/><Relationship Id="rId106" Type="http://schemas.openxmlformats.org/officeDocument/2006/relationships/header" Target="header8.xml"/><Relationship Id="rId114" Type="http://schemas.openxmlformats.org/officeDocument/2006/relationships/fontTable" Target="fontTable.xml"/><Relationship Id="rId10" Type="http://schemas.openxmlformats.org/officeDocument/2006/relationships/hyperlink" Target="http://www.ag.gov.au/" TargetMode="External"/><Relationship Id="rId31" Type="http://schemas.openxmlformats.org/officeDocument/2006/relationships/header" Target="header4.xml"/><Relationship Id="rId44" Type="http://schemas.openxmlformats.org/officeDocument/2006/relationships/hyperlink" Target="https://www.i-screen.com.au/app/register/amh-test" TargetMode="External"/><Relationship Id="rId52" Type="http://schemas.openxmlformats.org/officeDocument/2006/relationships/hyperlink" Target="http://scholar.google.com/" TargetMode="External"/><Relationship Id="rId60" Type="http://schemas.openxmlformats.org/officeDocument/2006/relationships/hyperlink" Target="http://www.monashhealth.org/page/Health_Professionals/CCE/" TargetMode="External"/><Relationship Id="rId65" Type="http://schemas.openxmlformats.org/officeDocument/2006/relationships/hyperlink" Target="http://www.ihe.ca/" TargetMode="External"/><Relationship Id="rId73" Type="http://schemas.openxmlformats.org/officeDocument/2006/relationships/hyperlink" Target="http://www.si-folkesundhed.dk/?lang=en" TargetMode="External"/><Relationship Id="rId78" Type="http://schemas.openxmlformats.org/officeDocument/2006/relationships/hyperlink" Target="http://www.gezondheidsraad.nl/en/" TargetMode="External"/><Relationship Id="rId81" Type="http://schemas.openxmlformats.org/officeDocument/2006/relationships/hyperlink" Target="http://www.kunnskapssenteret.no/" TargetMode="External"/><Relationship Id="rId86" Type="http://schemas.openxmlformats.org/officeDocument/2006/relationships/hyperlink" Target="http://www.sbu.se/en/" TargetMode="External"/><Relationship Id="rId94" Type="http://schemas.openxmlformats.org/officeDocument/2006/relationships/hyperlink" Target="http://www.hsph.harvard.edu/" TargetMode="External"/><Relationship Id="rId99" Type="http://schemas.openxmlformats.org/officeDocument/2006/relationships/hyperlink" Target="http://www.oregon.gov/oha/OHPR/HRC/Pages/index.aspx" TargetMode="External"/><Relationship Id="rId101" Type="http://schemas.openxmlformats.org/officeDocument/2006/relationships/hyperlink" Target="http://www.bcbs.com/blueresources/tec/" TargetMode="External"/><Relationship Id="rId4" Type="http://schemas.microsoft.com/office/2007/relationships/stylesWithEffects" Target="stylesWithEffects.xml"/><Relationship Id="rId9" Type="http://schemas.openxmlformats.org/officeDocument/2006/relationships/hyperlink" Target="http://www.msac.gov.au/" TargetMode="External"/><Relationship Id="rId13" Type="http://schemas.openxmlformats.org/officeDocument/2006/relationships/header" Target="header1.xml"/><Relationship Id="rId18" Type="http://schemas.openxmlformats.org/officeDocument/2006/relationships/hyperlink" Target="http://www9.health.gov.au/mbs/fullDisplay.cfm?type=note&amp;qt=NoteID&amp;q=TN.1.4" TargetMode="External"/><Relationship Id="rId39" Type="http://schemas.openxmlformats.org/officeDocument/2006/relationships/image" Target="media/image10.png"/><Relationship Id="rId109" Type="http://schemas.openxmlformats.org/officeDocument/2006/relationships/header" Target="header10.xml"/><Relationship Id="rId34" Type="http://schemas.openxmlformats.org/officeDocument/2006/relationships/footer" Target="footer3.xml"/><Relationship Id="rId50" Type="http://schemas.openxmlformats.org/officeDocument/2006/relationships/hyperlink" Target="http://text.nlm.nih.gov/" TargetMode="External"/><Relationship Id="rId55" Type="http://schemas.openxmlformats.org/officeDocument/2006/relationships/hyperlink" Target="https://www.cosa.org.au/" TargetMode="External"/><Relationship Id="rId76" Type="http://schemas.openxmlformats.org/officeDocument/2006/relationships/hyperlink" Target="http://www.dimdi.de/static/en/index.html" TargetMode="External"/><Relationship Id="rId97" Type="http://schemas.openxmlformats.org/officeDocument/2006/relationships/hyperlink" Target="http://www.health.state.mn.us/" TargetMode="External"/><Relationship Id="rId104" Type="http://schemas.openxmlformats.org/officeDocument/2006/relationships/hyperlink" Target="https://www.nhmrc.gov.au/_files_nhmrc/file/guidelines/developers/nhmrc_levels_grades_evidence_120423.pdf" TargetMode="External"/><Relationship Id="rId7" Type="http://schemas.openxmlformats.org/officeDocument/2006/relationships/footnotes" Target="footnotes.xml"/><Relationship Id="rId71" Type="http://schemas.openxmlformats.org/officeDocument/2006/relationships/hyperlink" Target="http://www.ices.on.ca/" TargetMode="External"/><Relationship Id="rId92" Type="http://schemas.openxmlformats.org/officeDocument/2006/relationships/hyperlink" Target="http://www.york.ac.uk/inst/crd/" TargetMode="External"/><Relationship Id="rId2" Type="http://schemas.openxmlformats.org/officeDocument/2006/relationships/numbering" Target="numbering.xml"/><Relationship Id="rId29"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repromed.com.au/what-to-expect/preliminary-investigations/amh-blood-test/" TargetMode="External"/><Relationship Id="rId2" Type="http://schemas.openxmlformats.org/officeDocument/2006/relationships/hyperlink" Target="http://www.fertilitynorth.com.au/amh-test/" TargetMode="External"/><Relationship Id="rId1" Type="http://schemas.openxmlformats.org/officeDocument/2006/relationships/hyperlink" Target="https://www.ivf.com.au/ovarian-reserve-amh-test" TargetMode="External"/><Relationship Id="rId5" Type="http://schemas.openxmlformats.org/officeDocument/2006/relationships/hyperlink" Target="https://www.i-screen.com.au/app/register/amh-test" TargetMode="External"/><Relationship Id="rId4" Type="http://schemas.openxmlformats.org/officeDocument/2006/relationships/hyperlink" Target="http://www.clinipathpathology.com.au/media/96085/anti-mullerian%20hormone%20(am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FD4D7-0855-45E3-B75C-D902AC51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64791</Words>
  <Characters>586149</Characters>
  <Application>Microsoft Office Word</Application>
  <DocSecurity>0</DocSecurity>
  <Lines>4884</Lines>
  <Paragraphs>1299</Paragraphs>
  <ScaleCrop>false</ScaleCrop>
  <HeadingPairs>
    <vt:vector size="2" baseType="variant">
      <vt:variant>
        <vt:lpstr>Title</vt:lpstr>
      </vt:variant>
      <vt:variant>
        <vt:i4>1</vt:i4>
      </vt:variant>
    </vt:vector>
  </HeadingPairs>
  <TitlesOfParts>
    <vt:vector size="1" baseType="lpstr">
      <vt:lpstr>1434-Assessment_Report-Accessible</vt:lpstr>
    </vt:vector>
  </TitlesOfParts>
  <Company/>
  <LinksUpToDate>false</LinksUpToDate>
  <CharactersWithSpaces>649641</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1434-Assessment_Report-Accessible</dc:title>
  <dc:subject/>
  <dc:creator/>
  <cp:keywords/>
  <cp:lastModifiedBy/>
  <cp:revision>1</cp:revision>
  <dcterms:created xsi:type="dcterms:W3CDTF">2018-08-07T00:36:00Z</dcterms:created>
  <dcterms:modified xsi:type="dcterms:W3CDTF">2018-08-07T00:37:00Z</dcterms:modified>
</cp:coreProperties>
</file>