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A97F" w14:textId="77777777" w:rsidR="003647F8" w:rsidRPr="00707064" w:rsidRDefault="003647F8" w:rsidP="003647F8">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C5A0EEF" wp14:editId="45FBB6F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C646C5D" w14:textId="77777777" w:rsidR="003647F8" w:rsidRPr="00F715D1" w:rsidRDefault="003647F8" w:rsidP="003647F8">
      <w:pPr>
        <w:pStyle w:val="Title"/>
        <w:tabs>
          <w:tab w:val="left" w:pos="1926"/>
          <w:tab w:val="center" w:pos="4513"/>
        </w:tabs>
        <w:jc w:val="left"/>
      </w:pPr>
      <w:r>
        <w:tab/>
      </w:r>
      <w:r>
        <w:tab/>
      </w:r>
      <w:r w:rsidRPr="00F715D1">
        <w:t>Public Summary Document</w:t>
      </w:r>
    </w:p>
    <w:p w14:paraId="439E161C" w14:textId="40AF64E7" w:rsidR="003647F8" w:rsidRPr="00716341" w:rsidRDefault="00716341" w:rsidP="003647F8">
      <w:pPr>
        <w:pStyle w:val="Subtitle"/>
        <w:rPr>
          <w:i w:val="0"/>
        </w:rPr>
      </w:pPr>
      <w:r>
        <w:t>Mentor</w:t>
      </w:r>
      <w:r w:rsidRPr="0063471C">
        <w:rPr>
          <w:vertAlign w:val="superscript"/>
        </w:rPr>
        <w:t>®</w:t>
      </w:r>
      <w:r>
        <w:t xml:space="preserve"> textured breast implants and expanders compared with smooth breast implants and expanders on the Prostheses List</w:t>
      </w:r>
    </w:p>
    <w:p w14:paraId="22C30059" w14:textId="77777777" w:rsidR="003647F8" w:rsidRPr="00F715D1" w:rsidRDefault="003647F8" w:rsidP="003647F8">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716341">
        <w:rPr>
          <w:rFonts w:ascii="Arial" w:hAnsi="Arial" w:cs="Arial"/>
          <w:b/>
          <w:szCs w:val="24"/>
        </w:rPr>
        <w:tab/>
        <w:t>Johnson &amp; Johnson Medical Pty Ltd</w:t>
      </w:r>
    </w:p>
    <w:p w14:paraId="2DF11772" w14:textId="77777777" w:rsidR="003647F8" w:rsidRPr="00F715D1" w:rsidRDefault="003647F8" w:rsidP="003647F8">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151D4456" w14:textId="77777777" w:rsidR="003647F8" w:rsidRPr="00B03EAB" w:rsidRDefault="003647F8" w:rsidP="003647F8">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1ED35B81" w14:textId="3B473142" w:rsidR="003647F8" w:rsidRPr="00F715D1" w:rsidRDefault="003647F8" w:rsidP="003647F8">
      <w:pPr>
        <w:pStyle w:val="Heading1"/>
      </w:pPr>
      <w:r w:rsidRPr="00F715D1">
        <w:t xml:space="preserve">Purpose of </w:t>
      </w:r>
      <w:r w:rsidR="006B7085">
        <w:t>submission</w:t>
      </w:r>
      <w:r w:rsidRPr="00F715D1">
        <w:t xml:space="preserve"> </w:t>
      </w:r>
    </w:p>
    <w:p w14:paraId="2D6A298C" w14:textId="564B7C7F" w:rsidR="00716341" w:rsidRPr="00342447" w:rsidRDefault="00716341" w:rsidP="003647F8">
      <w:pPr>
        <w:spacing w:after="240"/>
      </w:pPr>
      <w:r w:rsidRPr="00342447">
        <w:t xml:space="preserve">The purpose of the </w:t>
      </w:r>
      <w:r w:rsidR="00C1197E">
        <w:t>submission</w:t>
      </w:r>
      <w:r w:rsidR="00F24BC0" w:rsidRPr="00342447">
        <w:t xml:space="preserve"> </w:t>
      </w:r>
      <w:r w:rsidR="00926657">
        <w:t>wa</w:t>
      </w:r>
      <w:r w:rsidRPr="00342447">
        <w:t xml:space="preserve">s to </w:t>
      </w:r>
      <w:r w:rsidR="004153B2">
        <w:t xml:space="preserve">evaluate the </w:t>
      </w:r>
      <w:r w:rsidR="008D79A2">
        <w:t>safety,</w:t>
      </w:r>
      <w:r w:rsidR="003B5919">
        <w:t xml:space="preserve"> effectiveness and cost-</w:t>
      </w:r>
      <w:r w:rsidR="004153B2">
        <w:t>effectiveness of</w:t>
      </w:r>
      <w:r w:rsidRPr="00342447">
        <w:t xml:space="preserve"> Mentor</w:t>
      </w:r>
      <w:r w:rsidR="00B91F20">
        <w:t xml:space="preserve"> </w:t>
      </w:r>
      <w:r w:rsidRPr="00342447">
        <w:t>textured breast implants compared with smooth breast implants</w:t>
      </w:r>
      <w:r w:rsidR="004153B2">
        <w:t>. Both smooth and textured breast implants appear on the Pro</w:t>
      </w:r>
      <w:r w:rsidR="00F75BDD">
        <w:t>s</w:t>
      </w:r>
      <w:r w:rsidR="004153B2">
        <w:t xml:space="preserve">theses List </w:t>
      </w:r>
      <w:r w:rsidR="006460A3">
        <w:t xml:space="preserve">(PL) </w:t>
      </w:r>
      <w:r w:rsidR="004153B2">
        <w:t>but with textured implants attracting a higher benefit.</w:t>
      </w:r>
    </w:p>
    <w:p w14:paraId="5CC8B6DA" w14:textId="77777777" w:rsidR="003647F8" w:rsidRPr="00F715D1" w:rsidRDefault="003647F8" w:rsidP="003647F8">
      <w:pPr>
        <w:pStyle w:val="Heading1"/>
      </w:pPr>
      <w:r w:rsidRPr="00F715D1">
        <w:t xml:space="preserve">MSAC’s advice </w:t>
      </w:r>
    </w:p>
    <w:p w14:paraId="1B1B9E9E" w14:textId="3903907E" w:rsidR="008D501B" w:rsidRDefault="008D501B" w:rsidP="008D501B">
      <w:pPr>
        <w:pStyle w:val="Default"/>
        <w:spacing w:after="240"/>
      </w:pPr>
      <w:r w:rsidRPr="001342D1">
        <w:t xml:space="preserve">After considering the strength of the available evidence in relation to comparative safety, </w:t>
      </w:r>
      <w:r>
        <w:t>clinical effectiveness and cost</w:t>
      </w:r>
      <w:r w:rsidR="003B5919">
        <w:t>-</w:t>
      </w:r>
      <w:r w:rsidRPr="001342D1">
        <w:t xml:space="preserve">effectiveness, </w:t>
      </w:r>
      <w:r>
        <w:t xml:space="preserve">MSAC did not support a claim for a higher benefit to be paid for Mentor textured breast implants on the PL compared with smooth breast implants. MSAC considered that </w:t>
      </w:r>
      <w:r w:rsidRPr="00CF6F2E">
        <w:t>there was very limited comparative evidence to inform decision-making about the relative benefits of one type of implant over another for reconstructive surgery</w:t>
      </w:r>
      <w:r>
        <w:t>,</w:t>
      </w:r>
      <w:r w:rsidRPr="00CF6F2E">
        <w:t xml:space="preserve"> and that the quality of studies comparing textured with smooth implants and the overall evidence base </w:t>
      </w:r>
      <w:r>
        <w:t>was</w:t>
      </w:r>
      <w:r w:rsidRPr="00CF6F2E">
        <w:t xml:space="preserve"> largely unsatisfactory.</w:t>
      </w:r>
      <w:r>
        <w:t xml:space="preserve"> MSAC considered the </w:t>
      </w:r>
      <w:r w:rsidRPr="00335A16">
        <w:t>clinical evidence</w:t>
      </w:r>
      <w:r>
        <w:t xml:space="preserve"> was highly uncertain and that </w:t>
      </w:r>
      <w:r w:rsidRPr="000009C9">
        <w:t>these uncertainties flowed to the economic analysis</w:t>
      </w:r>
      <w:r>
        <w:t>.</w:t>
      </w:r>
    </w:p>
    <w:p w14:paraId="0DA0C993" w14:textId="42FE02AC" w:rsidR="003647F8" w:rsidRDefault="008D501B" w:rsidP="008D501B">
      <w:pPr>
        <w:pStyle w:val="Default"/>
        <w:spacing w:after="240"/>
        <w:rPr>
          <w:i/>
          <w:color w:val="auto"/>
        </w:rPr>
      </w:pPr>
      <w:r w:rsidRPr="00016EB6">
        <w:t>MSAC acknowledged that textured breast implants</w:t>
      </w:r>
      <w:r>
        <w:t xml:space="preserve"> </w:t>
      </w:r>
      <w:r w:rsidRPr="00016EB6">
        <w:t>are preferred by clinicians for use in a small and specific group of women. MSAC noted that retaining the availability of textured breast</w:t>
      </w:r>
      <w:r w:rsidR="00B73FD9">
        <w:t xml:space="preserve"> tissue</w:t>
      </w:r>
      <w:r w:rsidRPr="00016EB6">
        <w:t xml:space="preserve"> expanders </w:t>
      </w:r>
      <w:r w:rsidR="004153B2">
        <w:t xml:space="preserve">through listing of the devices on the </w:t>
      </w:r>
      <w:r w:rsidR="006460A3">
        <w:t>PL</w:t>
      </w:r>
      <w:r w:rsidR="004153B2">
        <w:t xml:space="preserve"> </w:t>
      </w:r>
      <w:r w:rsidRPr="00016EB6">
        <w:t>is of particular interest to clinicians.</w:t>
      </w:r>
    </w:p>
    <w:tbl>
      <w:tblPr>
        <w:tblStyle w:val="TableGrid"/>
        <w:tblW w:w="0" w:type="auto"/>
        <w:tblLook w:val="04A0" w:firstRow="1" w:lastRow="0" w:firstColumn="1" w:lastColumn="0" w:noHBand="0" w:noVBand="1"/>
        <w:tblDescription w:val="Consumer summary of MSAC consideration"/>
      </w:tblPr>
      <w:tblGrid>
        <w:gridCol w:w="9016"/>
      </w:tblGrid>
      <w:tr w:rsidR="00425D68" w14:paraId="7EEAF6CF" w14:textId="77777777" w:rsidTr="0057043B">
        <w:trPr>
          <w:tblHeader/>
        </w:trPr>
        <w:tc>
          <w:tcPr>
            <w:tcW w:w="9016" w:type="dxa"/>
          </w:tcPr>
          <w:p w14:paraId="6C61CC64" w14:textId="77777777" w:rsidR="00425D68" w:rsidRPr="00A81E84" w:rsidRDefault="00425D68" w:rsidP="0057043B">
            <w:pPr>
              <w:pStyle w:val="Heading2"/>
              <w:keepNext w:val="0"/>
              <w:keepLines w:val="0"/>
              <w:spacing w:before="120" w:after="120"/>
              <w:outlineLvl w:val="1"/>
              <w:rPr>
                <w:rFonts w:ascii="Times New Roman" w:hAnsi="Times New Roman" w:cs="Times New Roman"/>
                <w:b/>
                <w:i w:val="0"/>
                <w:sz w:val="24"/>
                <w:szCs w:val="24"/>
              </w:rPr>
            </w:pPr>
            <w:r w:rsidRPr="00A81E84">
              <w:rPr>
                <w:rFonts w:ascii="Times New Roman" w:hAnsi="Times New Roman" w:cs="Times New Roman"/>
                <w:b/>
                <w:i w:val="0"/>
                <w:sz w:val="24"/>
                <w:szCs w:val="24"/>
              </w:rPr>
              <w:t>Consumer summary</w:t>
            </w:r>
          </w:p>
        </w:tc>
      </w:tr>
      <w:tr w:rsidR="00BF702A" w14:paraId="7DA11695" w14:textId="77777777" w:rsidTr="0057043B">
        <w:tc>
          <w:tcPr>
            <w:tcW w:w="9016" w:type="dxa"/>
          </w:tcPr>
          <w:p w14:paraId="72B252B1" w14:textId="77777777" w:rsidR="00BF702A" w:rsidRDefault="00BF702A" w:rsidP="00BF702A">
            <w:pPr>
              <w:spacing w:before="240" w:after="120"/>
              <w:rPr>
                <w:rFonts w:ascii="Times New Roman" w:hAnsi="Times New Roman" w:cs="Times New Roman"/>
                <w:sz w:val="24"/>
                <w:szCs w:val="24"/>
              </w:rPr>
            </w:pPr>
            <w:r>
              <w:rPr>
                <w:rFonts w:ascii="Times New Roman" w:hAnsi="Times New Roman" w:cs="Times New Roman"/>
                <w:sz w:val="24"/>
                <w:szCs w:val="24"/>
              </w:rPr>
              <w:t>Johnson &amp; Johnson Medical Pty Ltd</w:t>
            </w:r>
            <w:r w:rsidRPr="00C4522F">
              <w:rPr>
                <w:rFonts w:ascii="Times New Roman" w:hAnsi="Times New Roman" w:cs="Times New Roman"/>
                <w:sz w:val="24"/>
                <w:szCs w:val="24"/>
              </w:rPr>
              <w:t xml:space="preserve"> </w:t>
            </w:r>
            <w:r>
              <w:rPr>
                <w:rFonts w:ascii="Times New Roman" w:hAnsi="Times New Roman" w:cs="Times New Roman"/>
                <w:sz w:val="24"/>
                <w:szCs w:val="24"/>
              </w:rPr>
              <w:t xml:space="preserve">submitted to MSAC that their Mentor brand of micro-textured breast implants should continue to be listed on the Prostheses List and receive a higher level of cost reimbursement than smooth implants. </w:t>
            </w:r>
          </w:p>
          <w:p w14:paraId="3E1B45F0" w14:textId="1D2D17A2" w:rsidR="00BF702A" w:rsidRDefault="00BF702A" w:rsidP="00BF702A">
            <w:pPr>
              <w:spacing w:before="240" w:after="120"/>
              <w:rPr>
                <w:rFonts w:ascii="Times New Roman" w:hAnsi="Times New Roman" w:cs="Times New Roman"/>
                <w:sz w:val="24"/>
              </w:rPr>
            </w:pPr>
            <w:r>
              <w:rPr>
                <w:rFonts w:ascii="Times New Roman" w:hAnsi="Times New Roman" w:cs="Times New Roman"/>
                <w:sz w:val="24"/>
                <w:szCs w:val="24"/>
              </w:rPr>
              <w:lastRenderedPageBreak/>
              <w:t>Breast implants are funded by private health insurers for use with patients who have a breast reconstruction as a result of cancer, trauma, or</w:t>
            </w:r>
            <w:r w:rsidRPr="00C4522F">
              <w:rPr>
                <w:rFonts w:ascii="Times New Roman" w:hAnsi="Times New Roman" w:cs="Times New Roman"/>
                <w:sz w:val="24"/>
                <w:szCs w:val="24"/>
              </w:rPr>
              <w:t xml:space="preserve"> </w:t>
            </w:r>
            <w:r>
              <w:rPr>
                <w:rFonts w:ascii="Times New Roman" w:hAnsi="Times New Roman" w:cs="Times New Roman"/>
                <w:sz w:val="24"/>
                <w:szCs w:val="24"/>
              </w:rPr>
              <w:t xml:space="preserve">a failure of breast development. To be </w:t>
            </w:r>
            <w:r w:rsidRPr="0063471C">
              <w:rPr>
                <w:rFonts w:ascii="Times New Roman" w:hAnsi="Times New Roman" w:cs="Times New Roman"/>
                <w:sz w:val="24"/>
                <w:szCs w:val="24"/>
              </w:rPr>
              <w:t xml:space="preserve">funded by private health insurers the implants must be on the Australian Register of Therapeutic Goods (ARTG - </w:t>
            </w:r>
            <w:hyperlink r:id="rId10" w:tooltip="Link to TGA website for the ARTG" w:history="1">
              <w:r w:rsidRPr="0063471C">
                <w:rPr>
                  <w:rStyle w:val="Hyperlink"/>
                  <w:rFonts w:ascii="Times New Roman" w:hAnsi="Times New Roman"/>
                  <w:sz w:val="24"/>
                  <w:szCs w:val="24"/>
                </w:rPr>
                <w:t>https://www.tga.gov.au/australian-register-therapeutic-goods</w:t>
              </w:r>
            </w:hyperlink>
            <w:r w:rsidRPr="0063471C">
              <w:rPr>
                <w:rFonts w:ascii="Times New Roman" w:hAnsi="Times New Roman" w:cs="Times New Roman"/>
                <w:sz w:val="24"/>
                <w:szCs w:val="24"/>
              </w:rPr>
              <w:t>) and in turn on the Prostheses List (</w:t>
            </w:r>
            <w:hyperlink r:id="rId11" w:tooltip="Link to the Dept of Health website for the prosetheses list" w:history="1">
              <w:r w:rsidRPr="0063471C">
                <w:rPr>
                  <w:rStyle w:val="Hyperlink"/>
                  <w:rFonts w:ascii="Times New Roman" w:hAnsi="Times New Roman"/>
                  <w:sz w:val="24"/>
                  <w:szCs w:val="24"/>
                </w:rPr>
                <w:t>https://www1.health.gov.au/internet/main/publishing.nsf/Content/health-privatehealth-prostheseslist.htm</w:t>
              </w:r>
            </w:hyperlink>
            <w:r w:rsidRPr="0063471C">
              <w:rPr>
                <w:rFonts w:ascii="Times New Roman" w:hAnsi="Times New Roman" w:cs="Times New Roman"/>
                <w:sz w:val="24"/>
                <w:szCs w:val="24"/>
              </w:rPr>
              <w:t>). The surface roughness of breast implants is classified as smooth, micro-textured or macro</w:t>
            </w:r>
            <w:r>
              <w:rPr>
                <w:rFonts w:ascii="Times New Roman" w:hAnsi="Times New Roman" w:cs="Times New Roman"/>
                <w:sz w:val="24"/>
              </w:rPr>
              <w:t xml:space="preserve">-textured. Textured breast implants, including micro- and macro-textured, have historically attracted higher benefits than smooth breast implants. </w:t>
            </w:r>
          </w:p>
          <w:p w14:paraId="3756E8EC" w14:textId="77777777" w:rsidR="00BF702A" w:rsidRDefault="00BF702A" w:rsidP="00BF702A">
            <w:pPr>
              <w:spacing w:before="240" w:after="120"/>
              <w:rPr>
                <w:rFonts w:ascii="Times New Roman" w:hAnsi="Times New Roman" w:cs="Times New Roman"/>
                <w:sz w:val="24"/>
                <w:szCs w:val="24"/>
              </w:rPr>
            </w:pPr>
            <w:r>
              <w:rPr>
                <w:rFonts w:ascii="Times New Roman" w:hAnsi="Times New Roman" w:cs="Times New Roman"/>
                <w:sz w:val="24"/>
                <w:szCs w:val="24"/>
              </w:rPr>
              <w:t xml:space="preserve">Very rarely, breast implants may be associated with a cancer of the immune system known as breast implant associated anaplastic large cell lymphoma (BIA-ALCL). The association of BIA-ALCL with textured breast implants led to the </w:t>
            </w:r>
            <w:r w:rsidRPr="004E10E7">
              <w:rPr>
                <w:rFonts w:ascii="Times New Roman" w:hAnsi="Times New Roman" w:cs="Times New Roman"/>
                <w:sz w:val="24"/>
                <w:szCs w:val="24"/>
              </w:rPr>
              <w:t>Therapeutic Goods Administration (TGA</w:t>
            </w:r>
            <w:r>
              <w:rPr>
                <w:rFonts w:ascii="Times New Roman" w:hAnsi="Times New Roman" w:cs="Times New Roman"/>
                <w:sz w:val="24"/>
                <w:szCs w:val="24"/>
              </w:rPr>
              <w:t>),</w:t>
            </w:r>
            <w:r w:rsidRPr="004E10E7">
              <w:rPr>
                <w:rFonts w:ascii="Times New Roman" w:hAnsi="Times New Roman" w:cs="Times New Roman"/>
                <w:sz w:val="24"/>
                <w:szCs w:val="24"/>
              </w:rPr>
              <w:t xml:space="preserve"> part of the Australian Government Department of Health</w:t>
            </w:r>
            <w:r>
              <w:rPr>
                <w:rFonts w:ascii="Times New Roman" w:hAnsi="Times New Roman" w:cs="Times New Roman"/>
                <w:sz w:val="24"/>
                <w:szCs w:val="24"/>
              </w:rPr>
              <w:t>, decision to remove seven macro-textured and one micro-textured breast implants from the ARTG. The TGA determined that other micro-textured and smooth breast implants could continue to be supplied in Australia with enhanced surveillance for complications including BIA-ALCL.</w:t>
            </w:r>
          </w:p>
          <w:p w14:paraId="1C326C52" w14:textId="77777777" w:rsidR="00BF702A" w:rsidRDefault="00BF702A" w:rsidP="00BF702A">
            <w:pPr>
              <w:spacing w:before="240" w:after="120"/>
              <w:rPr>
                <w:rFonts w:ascii="Times New Roman" w:hAnsi="Times New Roman" w:cs="Times New Roman"/>
                <w:sz w:val="24"/>
                <w:szCs w:val="24"/>
              </w:rPr>
            </w:pPr>
            <w:r w:rsidRPr="00C93276">
              <w:rPr>
                <w:rFonts w:ascii="Times New Roman" w:hAnsi="Times New Roman" w:cs="Times New Roman"/>
                <w:sz w:val="24"/>
                <w:szCs w:val="24"/>
              </w:rPr>
              <w:t>All breast implants that were removed from the ARTG have also been removed from the P</w:t>
            </w:r>
            <w:r>
              <w:rPr>
                <w:rFonts w:ascii="Times New Roman" w:hAnsi="Times New Roman" w:cs="Times New Roman"/>
                <w:sz w:val="24"/>
                <w:szCs w:val="24"/>
              </w:rPr>
              <w:t xml:space="preserve">rostheses </w:t>
            </w:r>
            <w:r w:rsidRPr="00C93276">
              <w:rPr>
                <w:rFonts w:ascii="Times New Roman" w:hAnsi="Times New Roman" w:cs="Times New Roman"/>
                <w:sz w:val="24"/>
                <w:szCs w:val="24"/>
              </w:rPr>
              <w:t>L</w:t>
            </w:r>
            <w:r>
              <w:rPr>
                <w:rFonts w:ascii="Times New Roman" w:hAnsi="Times New Roman" w:cs="Times New Roman"/>
                <w:sz w:val="24"/>
                <w:szCs w:val="24"/>
              </w:rPr>
              <w:t>ist</w:t>
            </w:r>
            <w:r w:rsidRPr="00C93276">
              <w:rPr>
                <w:rFonts w:ascii="Times New Roman" w:hAnsi="Times New Roman" w:cs="Times New Roman"/>
                <w:sz w:val="24"/>
                <w:szCs w:val="24"/>
              </w:rPr>
              <w:t>.</w:t>
            </w:r>
            <w:r>
              <w:rPr>
                <w:rFonts w:ascii="Times New Roman" w:hAnsi="Times New Roman" w:cs="Times New Roman"/>
                <w:sz w:val="24"/>
                <w:szCs w:val="24"/>
              </w:rPr>
              <w:t xml:space="preserve"> The Mentor micro-textured breast implants continue to be included on the ARTG and Prostheses List. </w:t>
            </w:r>
          </w:p>
          <w:p w14:paraId="55723D4F" w14:textId="77777777" w:rsidR="00BF702A" w:rsidRPr="00C4522F" w:rsidRDefault="00BF702A" w:rsidP="00BF702A">
            <w:pPr>
              <w:spacing w:before="240" w:after="120"/>
              <w:rPr>
                <w:rFonts w:ascii="Times New Roman" w:hAnsi="Times New Roman" w:cs="Times New Roman"/>
                <w:sz w:val="24"/>
                <w:szCs w:val="24"/>
              </w:rPr>
            </w:pPr>
            <w:r>
              <w:rPr>
                <w:rFonts w:ascii="Times New Roman" w:hAnsi="Times New Roman" w:cs="Times New Roman"/>
                <w:sz w:val="24"/>
              </w:rPr>
              <w:t xml:space="preserve">This submission to MSAC followed the regulatory action taken by the TGA and evaluates whether Mentor micro-textured breast implants </w:t>
            </w:r>
            <w:r w:rsidRPr="00C93276">
              <w:rPr>
                <w:rFonts w:ascii="Times New Roman" w:hAnsi="Times New Roman" w:cs="Times New Roman"/>
                <w:sz w:val="24"/>
              </w:rPr>
              <w:t>should continue to receive a higher level of cost reimbursement than smooth implants.</w:t>
            </w:r>
            <w:r>
              <w:rPr>
                <w:rFonts w:ascii="Times New Roman" w:hAnsi="Times New Roman" w:cs="Times New Roman"/>
                <w:sz w:val="24"/>
              </w:rPr>
              <w:t xml:space="preserve"> </w:t>
            </w:r>
            <w:r>
              <w:rPr>
                <w:rFonts w:ascii="Times New Roman" w:hAnsi="Times New Roman" w:cs="Times New Roman"/>
                <w:sz w:val="24"/>
                <w:szCs w:val="24"/>
              </w:rPr>
              <w:t xml:space="preserve">MSAC acknowledges the need to help patients who require a breast reconstruction. However, there are a number of safety concerns associated with the use of breast implants, such as contraction of the capsule surrounding the implant, rupture of the implant and malposition. </w:t>
            </w:r>
          </w:p>
          <w:p w14:paraId="1AA6F065" w14:textId="77777777" w:rsidR="00BF702A" w:rsidRDefault="00BF702A" w:rsidP="00BF702A">
            <w:pPr>
              <w:spacing w:before="240" w:after="120"/>
              <w:rPr>
                <w:rFonts w:ascii="Times New Roman" w:hAnsi="Times New Roman" w:cs="Times New Roman"/>
                <w:b/>
              </w:rPr>
            </w:pPr>
            <w:r>
              <w:rPr>
                <w:rFonts w:ascii="Times New Roman" w:hAnsi="Times New Roman" w:cs="Times New Roman"/>
                <w:b/>
              </w:rPr>
              <w:t>MSAC’s advice</w:t>
            </w:r>
            <w:r w:rsidRPr="000A0160">
              <w:rPr>
                <w:rFonts w:ascii="Times New Roman" w:hAnsi="Times New Roman" w:cs="Times New Roman"/>
                <w:b/>
              </w:rPr>
              <w:t xml:space="preserve"> </w:t>
            </w:r>
          </w:p>
          <w:p w14:paraId="34FA33C7" w14:textId="5A534600" w:rsidR="00BF702A" w:rsidRPr="005F777C" w:rsidRDefault="00BF702A" w:rsidP="00BF702A">
            <w:pPr>
              <w:spacing w:before="120" w:after="120"/>
              <w:rPr>
                <w:rFonts w:ascii="Times New Roman" w:hAnsi="Times New Roman" w:cs="Times New Roman"/>
                <w:b/>
              </w:rPr>
            </w:pPr>
            <w:r w:rsidRPr="00016EB6">
              <w:rPr>
                <w:rFonts w:ascii="Times New Roman" w:hAnsi="Times New Roman" w:cs="Times New Roman"/>
                <w:sz w:val="24"/>
                <w:szCs w:val="24"/>
              </w:rPr>
              <w:t xml:space="preserve">MSAC advised that </w:t>
            </w:r>
            <w:r>
              <w:rPr>
                <w:rFonts w:ascii="Times New Roman" w:hAnsi="Times New Roman" w:cs="Times New Roman"/>
                <w:sz w:val="24"/>
                <w:szCs w:val="24"/>
              </w:rPr>
              <w:t>the applicant’s</w:t>
            </w:r>
            <w:r w:rsidRPr="00016EB6">
              <w:rPr>
                <w:rFonts w:ascii="Times New Roman" w:hAnsi="Times New Roman" w:cs="Times New Roman"/>
                <w:sz w:val="24"/>
                <w:szCs w:val="24"/>
              </w:rPr>
              <w:t xml:space="preserve"> claim for a higher benefit for its Mentor </w:t>
            </w:r>
            <w:r>
              <w:rPr>
                <w:rFonts w:ascii="Times New Roman" w:hAnsi="Times New Roman" w:cs="Times New Roman"/>
                <w:sz w:val="24"/>
                <w:szCs w:val="24"/>
              </w:rPr>
              <w:t>micro-</w:t>
            </w:r>
            <w:r w:rsidRPr="00016EB6">
              <w:rPr>
                <w:rFonts w:ascii="Times New Roman" w:hAnsi="Times New Roman" w:cs="Times New Roman"/>
                <w:sz w:val="24"/>
                <w:szCs w:val="24"/>
              </w:rPr>
              <w:t>textured breast implants over smooth breast implants on the Prostheses List</w:t>
            </w:r>
            <w:r>
              <w:rPr>
                <w:rFonts w:ascii="Times New Roman" w:hAnsi="Times New Roman" w:cs="Times New Roman"/>
                <w:sz w:val="24"/>
                <w:szCs w:val="24"/>
              </w:rPr>
              <w:t xml:space="preserve"> </w:t>
            </w:r>
            <w:r w:rsidRPr="00016EB6">
              <w:rPr>
                <w:rFonts w:ascii="Times New Roman" w:hAnsi="Times New Roman" w:cs="Times New Roman"/>
                <w:sz w:val="24"/>
                <w:szCs w:val="24"/>
              </w:rPr>
              <w:t>was not supported by the clinical evidence provided.</w:t>
            </w:r>
            <w:r>
              <w:rPr>
                <w:rFonts w:ascii="Times New Roman" w:hAnsi="Times New Roman" w:cs="Times New Roman"/>
                <w:sz w:val="24"/>
                <w:szCs w:val="24"/>
              </w:rPr>
              <w:t xml:space="preserve"> MSAC considered that </w:t>
            </w:r>
            <w:r w:rsidRPr="00CF6F2E">
              <w:rPr>
                <w:rFonts w:ascii="Times New Roman" w:hAnsi="Times New Roman" w:cs="Times New Roman"/>
                <w:sz w:val="24"/>
                <w:szCs w:val="24"/>
              </w:rPr>
              <w:t>there was very limited comparative evidence to inform decision-making about the relative benefits of one type of implant over another for reconstructive surgery</w:t>
            </w:r>
            <w:r>
              <w:rPr>
                <w:rFonts w:ascii="Times New Roman" w:hAnsi="Times New Roman" w:cs="Times New Roman"/>
                <w:sz w:val="24"/>
                <w:szCs w:val="24"/>
              </w:rPr>
              <w:t>. T</w:t>
            </w:r>
            <w:r w:rsidRPr="00CF6F2E">
              <w:rPr>
                <w:rFonts w:ascii="Times New Roman" w:hAnsi="Times New Roman" w:cs="Times New Roman"/>
                <w:sz w:val="24"/>
                <w:szCs w:val="24"/>
              </w:rPr>
              <w:t xml:space="preserve">he quality of studies comparing textured with smooth implants and the overall evidence base </w:t>
            </w:r>
            <w:r>
              <w:rPr>
                <w:rFonts w:ascii="Times New Roman" w:hAnsi="Times New Roman" w:cs="Times New Roman"/>
                <w:sz w:val="24"/>
                <w:szCs w:val="24"/>
              </w:rPr>
              <w:t>was</w:t>
            </w:r>
            <w:r w:rsidRPr="00CF6F2E">
              <w:rPr>
                <w:rFonts w:ascii="Times New Roman" w:hAnsi="Times New Roman" w:cs="Times New Roman"/>
                <w:sz w:val="24"/>
                <w:szCs w:val="24"/>
              </w:rPr>
              <w:t xml:space="preserve"> largely unsatisfactory.</w:t>
            </w:r>
            <w:r w:rsidRPr="00016EB6">
              <w:rPr>
                <w:rFonts w:ascii="Times New Roman" w:hAnsi="Times New Roman" w:cs="Times New Roman"/>
                <w:sz w:val="24"/>
                <w:szCs w:val="24"/>
              </w:rPr>
              <w:t xml:space="preserve"> MSAC acknowledged that textured breast implants</w:t>
            </w:r>
            <w:r>
              <w:rPr>
                <w:rFonts w:ascii="Times New Roman" w:hAnsi="Times New Roman" w:cs="Times New Roman"/>
                <w:sz w:val="24"/>
                <w:szCs w:val="24"/>
              </w:rPr>
              <w:t xml:space="preserve"> and expanders</w:t>
            </w:r>
            <w:r w:rsidRPr="00016EB6">
              <w:rPr>
                <w:rFonts w:ascii="Times New Roman" w:hAnsi="Times New Roman" w:cs="Times New Roman"/>
                <w:sz w:val="24"/>
                <w:szCs w:val="24"/>
              </w:rPr>
              <w:t xml:space="preserve"> are preferred by </w:t>
            </w:r>
            <w:r>
              <w:rPr>
                <w:rFonts w:ascii="Times New Roman" w:hAnsi="Times New Roman" w:cs="Times New Roman"/>
                <w:sz w:val="24"/>
                <w:szCs w:val="24"/>
              </w:rPr>
              <w:t xml:space="preserve">some </w:t>
            </w:r>
            <w:r w:rsidRPr="00016EB6">
              <w:rPr>
                <w:rFonts w:ascii="Times New Roman" w:hAnsi="Times New Roman" w:cs="Times New Roman"/>
                <w:sz w:val="24"/>
                <w:szCs w:val="24"/>
              </w:rPr>
              <w:t>clinicians for use in a small and specific group of women.</w:t>
            </w:r>
          </w:p>
        </w:tc>
      </w:tr>
    </w:tbl>
    <w:p w14:paraId="27EC424C" w14:textId="77777777" w:rsidR="003647F8" w:rsidRDefault="003647F8" w:rsidP="003647F8">
      <w:pPr>
        <w:pStyle w:val="Heading1"/>
      </w:pPr>
      <w:r w:rsidRPr="00F715D1">
        <w:lastRenderedPageBreak/>
        <w:t xml:space="preserve">Summary of consideration and rationale for MSAC’s advice </w:t>
      </w:r>
    </w:p>
    <w:p w14:paraId="2DB8344E" w14:textId="6FFF3016" w:rsidR="008D501B" w:rsidRDefault="008D501B" w:rsidP="008D501B">
      <w:pPr>
        <w:pStyle w:val="NormalWeb"/>
      </w:pPr>
      <w:r>
        <w:t xml:space="preserve">MSAC noted that </w:t>
      </w:r>
      <w:r w:rsidR="00E80B67">
        <w:t xml:space="preserve">there are </w:t>
      </w:r>
      <w:r w:rsidR="00322300">
        <w:t>Medicare Benefits Schedule (</w:t>
      </w:r>
      <w:r w:rsidR="000A49DD">
        <w:t>MBS</w:t>
      </w:r>
      <w:r w:rsidR="00322300">
        <w:t>)</w:t>
      </w:r>
      <w:r w:rsidR="000A49DD">
        <w:t xml:space="preserve"> items for </w:t>
      </w:r>
      <w:r>
        <w:t xml:space="preserve">breast </w:t>
      </w:r>
      <w:r w:rsidR="000A49DD">
        <w:t>prosthesis implantation and removal</w:t>
      </w:r>
      <w:r>
        <w:t xml:space="preserve"> </w:t>
      </w:r>
      <w:r w:rsidR="00A60F2F">
        <w:t xml:space="preserve">for </w:t>
      </w:r>
      <w:r>
        <w:t>breast reconstruction (post-mastectomy for cancer, trauma or agenesis)</w:t>
      </w:r>
      <w:r w:rsidR="006A578D">
        <w:t>. Breast i</w:t>
      </w:r>
      <w:r>
        <w:t>mplant</w:t>
      </w:r>
      <w:r w:rsidR="00E80B67">
        <w:t xml:space="preserve"> insertion </w:t>
      </w:r>
      <w:r>
        <w:t>for cosmetic reasons (augmentation)</w:t>
      </w:r>
      <w:r w:rsidR="00E80B67">
        <w:t xml:space="preserve"> is</w:t>
      </w:r>
      <w:r>
        <w:t xml:space="preserve"> not </w:t>
      </w:r>
      <w:r w:rsidR="00322300">
        <w:t>subsidis</w:t>
      </w:r>
      <w:r w:rsidR="00E80B67">
        <w:t xml:space="preserve">ed through </w:t>
      </w:r>
      <w:r>
        <w:t>the MBS</w:t>
      </w:r>
      <w:r w:rsidR="00E80B67">
        <w:t xml:space="preserve"> and, in turn, the implants used in cosmetic surgery do not attract</w:t>
      </w:r>
      <w:r w:rsidR="00A60F2F">
        <w:t xml:space="preserve"> PL</w:t>
      </w:r>
      <w:r w:rsidR="00E80B67">
        <w:t xml:space="preserve"> benefits.</w:t>
      </w:r>
      <w:r>
        <w:t xml:space="preserve"> It was noted that breast </w:t>
      </w:r>
      <w:r w:rsidR="00117897">
        <w:t xml:space="preserve">reconstruction using breast prosthesis </w:t>
      </w:r>
      <w:r>
        <w:t>implantation may be a single or two-step procedure, with the two-step procedure involving insertion of a temporary expander followed by the definitive</w:t>
      </w:r>
      <w:r w:rsidR="00861B8F">
        <w:t xml:space="preserve"> breast</w:t>
      </w:r>
      <w:r>
        <w:t xml:space="preserve"> implant. MSAC noted that smooth implants dominate in the US, while the majority of implants used in Australia are textured.</w:t>
      </w:r>
    </w:p>
    <w:p w14:paraId="0EBB4DE2" w14:textId="3A6DA7D3" w:rsidR="008D501B" w:rsidRPr="00FD2B5B" w:rsidRDefault="008D501B" w:rsidP="008D501B">
      <w:pPr>
        <w:pStyle w:val="NormalWeb"/>
      </w:pPr>
      <w:r w:rsidRPr="00093A78">
        <w:lastRenderedPageBreak/>
        <w:t>MSAC noted that the most common adverse events (AEs) associated with breast implants according to the Australian Breast Device Registry (ABDR) 2016 Annual Report are capsular contracture (39%), device malposition (22%) and device rupture (19%).</w:t>
      </w:r>
      <w:r>
        <w:t xml:space="preserve"> An AE of particular concern is b</w:t>
      </w:r>
      <w:r w:rsidRPr="0054364B">
        <w:t>reast implant associated-</w:t>
      </w:r>
      <w:r>
        <w:t>a</w:t>
      </w:r>
      <w:r w:rsidRPr="0054364B">
        <w:t xml:space="preserve">naplastic </w:t>
      </w:r>
      <w:r>
        <w:t>l</w:t>
      </w:r>
      <w:r w:rsidRPr="0054364B">
        <w:t xml:space="preserve">arge </w:t>
      </w:r>
      <w:r>
        <w:t>c</w:t>
      </w:r>
      <w:r w:rsidRPr="0054364B">
        <w:t xml:space="preserve">ell </w:t>
      </w:r>
      <w:r>
        <w:t>l</w:t>
      </w:r>
      <w:r w:rsidRPr="0054364B">
        <w:t>ymphoma (BIA-ALCL)</w:t>
      </w:r>
      <w:r>
        <w:t xml:space="preserve">, and that the association of BIA-ALCL with </w:t>
      </w:r>
      <w:r w:rsidR="00E80B67">
        <w:t>macro-</w:t>
      </w:r>
      <w:r>
        <w:t xml:space="preserve">textured implants has resulted in </w:t>
      </w:r>
      <w:r w:rsidR="00E80B67">
        <w:t xml:space="preserve">regulatory action by </w:t>
      </w:r>
      <w:r w:rsidR="00A60F2F">
        <w:t xml:space="preserve">the </w:t>
      </w:r>
      <w:r w:rsidR="00E80B67">
        <w:t>TGA</w:t>
      </w:r>
      <w:r>
        <w:t xml:space="preserve">. MSAC noted that </w:t>
      </w:r>
      <w:r w:rsidR="008737C7">
        <w:t xml:space="preserve">the majority </w:t>
      </w:r>
      <w:r>
        <w:t xml:space="preserve">of cases of </w:t>
      </w:r>
      <w:r w:rsidRPr="0054364B">
        <w:t>BIA</w:t>
      </w:r>
      <w:r w:rsidR="008737C7">
        <w:noBreakHyphen/>
      </w:r>
      <w:r w:rsidRPr="0054364B">
        <w:t>ALCL</w:t>
      </w:r>
      <w:r>
        <w:t xml:space="preserve"> are associated with </w:t>
      </w:r>
      <w:r w:rsidR="00E80B67">
        <w:t>macro-</w:t>
      </w:r>
      <w:r>
        <w:t>textured implants</w:t>
      </w:r>
      <w:r w:rsidR="00FC2E2F">
        <w:t xml:space="preserve"> but that some had been associated with micro-textured implants</w:t>
      </w:r>
      <w:r>
        <w:t>.</w:t>
      </w:r>
    </w:p>
    <w:p w14:paraId="42A79DC2" w14:textId="400637BA" w:rsidR="008D501B" w:rsidRDefault="00017FA7" w:rsidP="008D501B">
      <w:pPr>
        <w:pStyle w:val="NormalWeb"/>
      </w:pPr>
      <w:r>
        <w:t>MSAC noted that the patient population defined in the PICO</w:t>
      </w:r>
      <w:r w:rsidR="0093359F">
        <w:t xml:space="preserve"> </w:t>
      </w:r>
      <w:r>
        <w:t>included both augmentation and reconstruction patients</w:t>
      </w:r>
      <w:r w:rsidR="00F51AD8">
        <w:t xml:space="preserve"> and that capsular contracture was agreed to be the key outcome for the </w:t>
      </w:r>
      <w:r w:rsidR="00FB2542">
        <w:t>submission.</w:t>
      </w:r>
      <w:r>
        <w:t xml:space="preserve"> </w:t>
      </w:r>
      <w:r w:rsidR="008D501B" w:rsidRPr="00233872">
        <w:t xml:space="preserve">MSAC </w:t>
      </w:r>
      <w:r w:rsidR="000B4572">
        <w:t>agreed with the c</w:t>
      </w:r>
      <w:r w:rsidR="008D501B">
        <w:t>ommentary</w:t>
      </w:r>
      <w:r w:rsidR="00F24BC0">
        <w:t xml:space="preserve"> </w:t>
      </w:r>
      <w:r w:rsidR="00831309">
        <w:t xml:space="preserve">which </w:t>
      </w:r>
      <w:r w:rsidR="00F24BC0">
        <w:t>considered</w:t>
      </w:r>
      <w:r w:rsidR="008D501B" w:rsidRPr="00233872">
        <w:t xml:space="preserve"> that </w:t>
      </w:r>
      <w:r w:rsidR="008D501B">
        <w:t>an area of clinical uncertainty was whether data from</w:t>
      </w:r>
      <w:r w:rsidR="008D79A2">
        <w:t xml:space="preserve"> patients treated for</w:t>
      </w:r>
      <w:r w:rsidR="008D501B">
        <w:t xml:space="preserve"> cosmetic/aesthetic augmentation </w:t>
      </w:r>
      <w:r w:rsidR="008D79A2">
        <w:t>wa</w:t>
      </w:r>
      <w:r w:rsidR="008D501B">
        <w:t>s applicable</w:t>
      </w:r>
      <w:r w:rsidR="008D79A2">
        <w:t xml:space="preserve"> given </w:t>
      </w:r>
      <w:r w:rsidR="00531279">
        <w:t xml:space="preserve">this procedure is not covered by PL or MBS arrangements. In addition, </w:t>
      </w:r>
      <w:r w:rsidR="008D501B">
        <w:t>patient risk profiles and surgical pathways are different for patients undergoing augmentation</w:t>
      </w:r>
      <w:r w:rsidR="00531279">
        <w:t xml:space="preserve"> </w:t>
      </w:r>
      <w:r w:rsidR="008D501B">
        <w:t>as opposed to reconstruction.</w:t>
      </w:r>
    </w:p>
    <w:p w14:paraId="335C0055" w14:textId="68DCE335" w:rsidR="008D501B" w:rsidRDefault="008D501B" w:rsidP="008D501B">
      <w:pPr>
        <w:pStyle w:val="NormalWeb"/>
      </w:pPr>
      <w:r>
        <w:t>MSAC noted that there are no large</w:t>
      </w:r>
      <w:r w:rsidR="00831309">
        <w:t>,</w:t>
      </w:r>
      <w:r>
        <w:t xml:space="preserve"> high quality clinical trials of textured v</w:t>
      </w:r>
      <w:r w:rsidR="00F51AD8">
        <w:t>ersus</w:t>
      </w:r>
      <w:r>
        <w:t xml:space="preserve"> smooth breast implants for reconstructive patients. One</w:t>
      </w:r>
      <w:r w:rsidR="00F51AD8">
        <w:t xml:space="preserve"> higher quality</w:t>
      </w:r>
      <w:r>
        <w:t xml:space="preserve"> trial </w:t>
      </w:r>
      <w:r w:rsidR="00F51AD8">
        <w:t>in</w:t>
      </w:r>
      <w:r w:rsidR="00A60F2F">
        <w:t xml:space="preserve"> 20 </w:t>
      </w:r>
      <w:r>
        <w:t>patients (Thuesen et al. 1995) showed no statistical difference between textured v</w:t>
      </w:r>
      <w:r w:rsidR="00F51AD8">
        <w:t>ersus</w:t>
      </w:r>
      <w:r>
        <w:t xml:space="preserve"> smooth implants in the rate of capsular contracture. </w:t>
      </w:r>
      <w:r w:rsidR="000B4572">
        <w:t>The a</w:t>
      </w:r>
      <w:r w:rsidR="00017FA7">
        <w:t>pplicant</w:t>
      </w:r>
      <w:r>
        <w:t xml:space="preserve"> s</w:t>
      </w:r>
      <w:r w:rsidR="00F51AD8">
        <w:t>ubmitted</w:t>
      </w:r>
      <w:r w:rsidR="004F545D">
        <w:t xml:space="preserve"> in their pre-MSAC response </w:t>
      </w:r>
      <w:r>
        <w:t xml:space="preserve">that the choice of breast implants is dependent on each patient’s unique circumstances, and that results </w:t>
      </w:r>
      <w:r w:rsidR="00F51AD8">
        <w:t>from randomi</w:t>
      </w:r>
      <w:r w:rsidR="002D636F">
        <w:t>s</w:t>
      </w:r>
      <w:r w:rsidR="00F51AD8">
        <w:t xml:space="preserve">ed control trials (RCTs) </w:t>
      </w:r>
      <w:r>
        <w:t xml:space="preserve">may not be generalisable outside the </w:t>
      </w:r>
      <w:r w:rsidR="00531279">
        <w:t>trial setting</w:t>
      </w:r>
      <w:r>
        <w:t xml:space="preserve">. </w:t>
      </w:r>
      <w:r w:rsidR="000B4572">
        <w:t>The a</w:t>
      </w:r>
      <w:r w:rsidR="00017FA7">
        <w:t>pplicant</w:t>
      </w:r>
      <w:r>
        <w:t xml:space="preserve"> stated that real-world data from larger cohorts with long term follow</w:t>
      </w:r>
      <w:r w:rsidR="00531279">
        <w:t>-</w:t>
      </w:r>
      <w:r>
        <w:t>up (e.g. from the United States Food and Drug Administration [FDA] ‘CORE’ studies) is more applicable and was therefore used in the economic model. In particular, long term follow up (10+ years) is required to identify cases of BIA-ALCL.</w:t>
      </w:r>
    </w:p>
    <w:p w14:paraId="6B858316" w14:textId="3F4B5860" w:rsidR="008D501B" w:rsidRDefault="008D501B" w:rsidP="008D501B">
      <w:pPr>
        <w:pStyle w:val="NormalWeb"/>
      </w:pPr>
      <w:r>
        <w:t>MSAC noted that a large non-randomised post-approval study with a 10-year follow-up, requested by the FDA, showed a difference</w:t>
      </w:r>
      <w:r w:rsidR="00017FA7">
        <w:t xml:space="preserve"> between textured and smooth </w:t>
      </w:r>
      <w:r w:rsidR="00EA046C">
        <w:t xml:space="preserve">implants </w:t>
      </w:r>
      <w:r>
        <w:t xml:space="preserve">in re-operation rates for asymmetry in reconstruction patients (Wixtrom et al. 2019). </w:t>
      </w:r>
      <w:r w:rsidR="000B4572">
        <w:t>The a</w:t>
      </w:r>
      <w:r w:rsidR="00EA046C">
        <w:t>pplicant</w:t>
      </w:r>
      <w:r>
        <w:t xml:space="preserve"> propos</w:t>
      </w:r>
      <w:r w:rsidR="00A60F2F">
        <w:t>ed in the pre-MSAC response</w:t>
      </w:r>
      <w:r>
        <w:t xml:space="preserve"> that the</w:t>
      </w:r>
      <w:r w:rsidR="00F5469B">
        <w:t xml:space="preserve"> ABDR</w:t>
      </w:r>
      <w:r>
        <w:t xml:space="preserve"> is a potential source of data that would inform the current review. MSAC considered that although the registry data may be useful, there may not be a sufficient sample of smooth implants </w:t>
      </w:r>
      <w:r w:rsidR="00F51AD8">
        <w:t xml:space="preserve">to properly address current uncertainty </w:t>
      </w:r>
      <w:r>
        <w:t xml:space="preserve">because most implants </w:t>
      </w:r>
      <w:r w:rsidR="008737C7">
        <w:t xml:space="preserve">used </w:t>
      </w:r>
      <w:r>
        <w:t>in Australia are micro</w:t>
      </w:r>
      <w:r w:rsidR="00F5469B">
        <w:t>-</w:t>
      </w:r>
      <w:r>
        <w:t>textured.</w:t>
      </w:r>
    </w:p>
    <w:p w14:paraId="7C02C465" w14:textId="77777777" w:rsidR="008D501B" w:rsidRDefault="008D501B" w:rsidP="008D501B">
      <w:pPr>
        <w:pStyle w:val="NormalWeb"/>
        <w:spacing w:after="0" w:afterAutospacing="0"/>
      </w:pPr>
      <w:r>
        <w:t>MSAC noted the following additional areas of clinical uncertainty:</w:t>
      </w:r>
    </w:p>
    <w:p w14:paraId="11355BFE" w14:textId="118D9998" w:rsidR="008D501B" w:rsidRDefault="008D501B" w:rsidP="00120505">
      <w:pPr>
        <w:pStyle w:val="NormalWeb"/>
        <w:numPr>
          <w:ilvl w:val="0"/>
          <w:numId w:val="14"/>
        </w:numPr>
        <w:spacing w:before="0" w:beforeAutospacing="0"/>
        <w:ind w:left="714" w:hanging="357"/>
      </w:pPr>
      <w:r>
        <w:t xml:space="preserve">Whether capsular contracture or other complications is sufficient to assess clinical effectiveness, given there are many other patient-relevant outcomes. </w:t>
      </w:r>
      <w:r w:rsidR="000B4572">
        <w:t>The a</w:t>
      </w:r>
      <w:r w:rsidR="004D7964">
        <w:t>pplicant</w:t>
      </w:r>
      <w:r w:rsidR="000B4572">
        <w:t xml:space="preserve"> </w:t>
      </w:r>
      <w:r>
        <w:t>stated in their pre-MSAC response that these have been captured indirectly in re-operation rates in the economic model. MSAC considered this claim to be unfounded.</w:t>
      </w:r>
    </w:p>
    <w:p w14:paraId="4716D825" w14:textId="1F5A0B7F" w:rsidR="008D501B" w:rsidRDefault="008D501B" w:rsidP="00120505">
      <w:pPr>
        <w:pStyle w:val="NormalWeb"/>
        <w:numPr>
          <w:ilvl w:val="0"/>
          <w:numId w:val="14"/>
        </w:numPr>
      </w:pPr>
      <w:r>
        <w:t>Whether the comparison between textured v</w:t>
      </w:r>
      <w:r w:rsidR="00F51AD8">
        <w:t>ersus</w:t>
      </w:r>
      <w:r>
        <w:t xml:space="preserve"> smooth implants is confounded by device characteristics, surgical approach and patient/treatment characteristics. </w:t>
      </w:r>
      <w:r w:rsidR="000B4572">
        <w:t>The a</w:t>
      </w:r>
      <w:r w:rsidR="004D7964">
        <w:t xml:space="preserve">pplicant </w:t>
      </w:r>
      <w:r>
        <w:t>stated in their pre-MSAC response that they recognise there may be confounding factors and that they are likely to have varied across studies, and the variability is representative of ‘real world’ Australian clinical practice.</w:t>
      </w:r>
    </w:p>
    <w:p w14:paraId="526ED81C" w14:textId="77777777" w:rsidR="008D501B" w:rsidRDefault="008D501B" w:rsidP="008D501B">
      <w:pPr>
        <w:pStyle w:val="NormalWeb"/>
      </w:pPr>
      <w:r>
        <w:t xml:space="preserve">In its overall assessment of the </w:t>
      </w:r>
      <w:r w:rsidR="00AB4494">
        <w:t xml:space="preserve">available </w:t>
      </w:r>
      <w:r>
        <w:t xml:space="preserve">clinical evidence, MSAC considered that there were insufficient comparative data to </w:t>
      </w:r>
      <w:r w:rsidR="00AB4494">
        <w:t xml:space="preserve">support a claim </w:t>
      </w:r>
      <w:r w:rsidR="008849E7">
        <w:t xml:space="preserve">that </w:t>
      </w:r>
      <w:r>
        <w:t>Mentor textured breast implants are clinically superior to smooth implants in reconstructive breast surgery. It considered that the heterogeneity of relevant studies with respect to key characteristics (populations, devices, procedures, follow-up, outcomes) was significant.</w:t>
      </w:r>
    </w:p>
    <w:p w14:paraId="01658DC1" w14:textId="4AB26AFC" w:rsidR="008D501B" w:rsidRDefault="008D501B" w:rsidP="008D501B">
      <w:pPr>
        <w:pStyle w:val="NormalWeb"/>
        <w:spacing w:after="0" w:afterAutospacing="0"/>
      </w:pPr>
      <w:r>
        <w:lastRenderedPageBreak/>
        <w:t xml:space="preserve">MSAC noted the claim from </w:t>
      </w:r>
      <w:r w:rsidR="00DB1C29">
        <w:t xml:space="preserve">the </w:t>
      </w:r>
      <w:r w:rsidR="000B4572">
        <w:t>a</w:t>
      </w:r>
      <w:r w:rsidR="00DB1C29">
        <w:t>pplicant</w:t>
      </w:r>
      <w:r>
        <w:t xml:space="preserve"> with respect to the economic evaluation, that Mentor textured implants dominated. </w:t>
      </w:r>
      <w:r w:rsidR="00DB1C29">
        <w:t xml:space="preserve">The </w:t>
      </w:r>
      <w:r w:rsidR="000B4572">
        <w:t>a</w:t>
      </w:r>
      <w:r w:rsidR="00DB1C29">
        <w:t>pplicant</w:t>
      </w:r>
      <w:r>
        <w:t xml:space="preserve"> argued that Mentor textured implants were both less expensive (-$1,212) and associated with more </w:t>
      </w:r>
      <w:r w:rsidR="00C1197E">
        <w:t>qual</w:t>
      </w:r>
      <w:r w:rsidR="00C1197E" w:rsidRPr="00C1197E">
        <w:t>ity-adjusted life year</w:t>
      </w:r>
      <w:r w:rsidR="00C1197E">
        <w:t>s (</w:t>
      </w:r>
      <w:r>
        <w:t>QALYs</w:t>
      </w:r>
      <w:r w:rsidR="00C1197E">
        <w:t xml:space="preserve">; </w:t>
      </w:r>
      <w:r>
        <w:t>0.001) over the 10-year time horizon compared with smooth breast implants. MSAC considered the areas of economic uncertainty to be:</w:t>
      </w:r>
    </w:p>
    <w:p w14:paraId="2FFBE7F3" w14:textId="77777777" w:rsidR="008D501B" w:rsidRDefault="008D501B" w:rsidP="00120505">
      <w:pPr>
        <w:pStyle w:val="NormalWeb"/>
        <w:numPr>
          <w:ilvl w:val="0"/>
          <w:numId w:val="15"/>
        </w:numPr>
        <w:spacing w:before="0" w:beforeAutospacing="0" w:after="0" w:afterAutospacing="0"/>
        <w:ind w:left="782" w:hanging="357"/>
      </w:pPr>
      <w:r>
        <w:t>Whether inclusion of complication rates from aesthetic augmentation rates was appropriate</w:t>
      </w:r>
      <w:r w:rsidR="00CA56C6">
        <w:t>.</w:t>
      </w:r>
    </w:p>
    <w:p w14:paraId="6DFE3004" w14:textId="77777777" w:rsidR="008D501B" w:rsidRDefault="008D501B" w:rsidP="00120505">
      <w:pPr>
        <w:pStyle w:val="NormalWeb"/>
        <w:numPr>
          <w:ilvl w:val="0"/>
          <w:numId w:val="15"/>
        </w:numPr>
        <w:spacing w:before="0" w:beforeAutospacing="0" w:after="0" w:afterAutospacing="0"/>
        <w:ind w:left="782" w:hanging="357"/>
      </w:pPr>
      <w:r>
        <w:t>Whether use of non-comparative data for complication rates was appropriate, given the mix of reconstructive and augmentation patients across the studies, and given there was no difference in complication rates in comparative studies</w:t>
      </w:r>
      <w:r w:rsidR="00CA56C6">
        <w:t>.</w:t>
      </w:r>
    </w:p>
    <w:p w14:paraId="4B84ED85" w14:textId="77777777" w:rsidR="008D501B" w:rsidRDefault="008D501B" w:rsidP="00120505">
      <w:pPr>
        <w:pStyle w:val="NormalWeb"/>
        <w:numPr>
          <w:ilvl w:val="0"/>
          <w:numId w:val="15"/>
        </w:numPr>
        <w:spacing w:before="0" w:beforeAutospacing="0" w:after="0" w:afterAutospacing="0"/>
        <w:ind w:left="782" w:hanging="357"/>
      </w:pPr>
      <w:r>
        <w:t>Whether inclusion of reoperation as a health state has the potential for double counting, because reoperation is included as a complication and any double counting would bias the result in favour of textured implants.</w:t>
      </w:r>
    </w:p>
    <w:p w14:paraId="357D3CB0" w14:textId="287E6D13" w:rsidR="008D501B" w:rsidRDefault="008D501B" w:rsidP="00114D7C">
      <w:pPr>
        <w:pStyle w:val="NormalWeb"/>
        <w:spacing w:before="240" w:beforeAutospacing="0" w:after="240" w:afterAutospacing="0"/>
      </w:pPr>
      <w:r>
        <w:t xml:space="preserve">While additional analyses were provided by </w:t>
      </w:r>
      <w:r w:rsidR="008D1B2D">
        <w:t xml:space="preserve">the </w:t>
      </w:r>
      <w:r w:rsidR="000B4572">
        <w:t>a</w:t>
      </w:r>
      <w:r w:rsidR="008D1B2D">
        <w:t>pplicant</w:t>
      </w:r>
      <w:r>
        <w:t xml:space="preserve"> in their pre-MSAC response regarding the economic uncertainties, MSAC considered that there was a lack of detail provided around these re-analyses.</w:t>
      </w:r>
    </w:p>
    <w:p w14:paraId="208E09E6" w14:textId="77777777" w:rsidR="008D501B" w:rsidRDefault="008D501B" w:rsidP="008D501B">
      <w:pPr>
        <w:pStyle w:val="NormalWeb"/>
        <w:spacing w:before="0" w:beforeAutospacing="0" w:after="0" w:afterAutospacing="0"/>
      </w:pPr>
      <w:r>
        <w:t>MSAC noted additional areas of uncertainty with the economic model were:</w:t>
      </w:r>
    </w:p>
    <w:p w14:paraId="041E8DDB" w14:textId="77777777" w:rsidR="008D501B" w:rsidRDefault="008D501B" w:rsidP="00120505">
      <w:pPr>
        <w:pStyle w:val="NormalWeb"/>
        <w:numPr>
          <w:ilvl w:val="0"/>
          <w:numId w:val="15"/>
        </w:numPr>
        <w:spacing w:before="0" w:beforeAutospacing="0" w:after="0" w:afterAutospacing="0"/>
        <w:ind w:left="782" w:hanging="357"/>
      </w:pPr>
      <w:r>
        <w:t>Whether omission of discounting is appropriate</w:t>
      </w:r>
      <w:r w:rsidR="00CA56C6">
        <w:t>.</w:t>
      </w:r>
    </w:p>
    <w:p w14:paraId="39E10BA4" w14:textId="2E7E68D5" w:rsidR="008D501B" w:rsidRDefault="008D501B" w:rsidP="008D501B">
      <w:pPr>
        <w:pStyle w:val="NormalWeb"/>
        <w:numPr>
          <w:ilvl w:val="0"/>
          <w:numId w:val="15"/>
        </w:numPr>
        <w:spacing w:before="0" w:beforeAutospacing="0" w:after="0" w:afterAutospacing="0"/>
        <w:ind w:left="782" w:hanging="357"/>
      </w:pPr>
      <w:r>
        <w:t>Whether simplifying assumptions such as direct-to-implant surgery were reasonable.</w:t>
      </w:r>
    </w:p>
    <w:p w14:paraId="09885C76" w14:textId="6120B048" w:rsidR="008D501B" w:rsidRDefault="008D501B" w:rsidP="00114D7C">
      <w:pPr>
        <w:pStyle w:val="NormalWeb"/>
        <w:spacing w:before="240" w:beforeAutospacing="0" w:after="160" w:afterAutospacing="0"/>
      </w:pPr>
      <w:r>
        <w:t>MSAC considered that the incidence of BIA-ALCL was very low in micro</w:t>
      </w:r>
      <w:r w:rsidR="00F5469B">
        <w:t>-</w:t>
      </w:r>
      <w:r>
        <w:t>textured implants and w</w:t>
      </w:r>
      <w:r w:rsidR="003B5919">
        <w:t>ould have little impact on cost-</w:t>
      </w:r>
      <w:r>
        <w:t>effectiveness compared with other potential complications.</w:t>
      </w:r>
    </w:p>
    <w:p w14:paraId="4F4FD217" w14:textId="2ABD817A" w:rsidR="008D501B" w:rsidRDefault="008D501B" w:rsidP="008D501B">
      <w:pPr>
        <w:pStyle w:val="NormalWeb"/>
        <w:spacing w:before="0" w:beforeAutospacing="0" w:after="0" w:afterAutospacing="0"/>
      </w:pPr>
      <w:r>
        <w:t xml:space="preserve">In its overall assessment of the economic evaluation, MSAC considered that the model appeared sensitive to outcomes that are heterogeneous and population dependent (augmentation </w:t>
      </w:r>
      <w:r w:rsidR="002D636F">
        <w:t>versus</w:t>
      </w:r>
      <w:r>
        <w:t xml:space="preserve"> reconstruction), and that double counting with reoperation as a distinct endpoint is an issue. MSAC considered that a simplified approach may be to pool outcomes that would be expected to differ between smooth and textured implants (capsular contracture and malposition) in defined populations (reconstructive patients). </w:t>
      </w:r>
    </w:p>
    <w:p w14:paraId="443B912D" w14:textId="3D19DC75" w:rsidR="008D501B" w:rsidRDefault="000B4572" w:rsidP="008D501B">
      <w:pPr>
        <w:pStyle w:val="NormalWeb"/>
        <w:spacing w:after="0" w:afterAutospacing="0"/>
      </w:pPr>
      <w:r>
        <w:t>MSAC agreed with the c</w:t>
      </w:r>
      <w:r w:rsidR="008D501B">
        <w:t>ommentary that the available evidence was</w:t>
      </w:r>
      <w:r w:rsidR="008D501B" w:rsidRPr="0093306F">
        <w:t xml:space="preserve"> insufficient to support the </w:t>
      </w:r>
      <w:r>
        <w:t>a</w:t>
      </w:r>
      <w:r w:rsidR="00AA1A07">
        <w:t>pplicant</w:t>
      </w:r>
      <w:r w:rsidR="008D501B" w:rsidRPr="0093306F">
        <w:t>’s claim of an incremental clinical benefit of</w:t>
      </w:r>
      <w:r w:rsidR="00E10182">
        <w:t xml:space="preserve"> Mentor</w:t>
      </w:r>
      <w:r w:rsidR="008D501B" w:rsidRPr="0093306F">
        <w:t xml:space="preserve"> textured breast implants versus smooth breast implants in terms of capsular contracture or any other complication or outcome.</w:t>
      </w:r>
      <w:r w:rsidR="008D501B">
        <w:t xml:space="preserve"> MSAC agreed there was</w:t>
      </w:r>
      <w:r w:rsidR="008D501B" w:rsidRPr="0093306F">
        <w:t xml:space="preserve"> very limited comparative evidence to inform decision-making about the relative benefits of one type of implant over another </w:t>
      </w:r>
      <w:r w:rsidR="008D501B">
        <w:t xml:space="preserve">for reconstructive surgery and that the </w:t>
      </w:r>
      <w:r w:rsidR="008D501B" w:rsidRPr="0093306F">
        <w:t xml:space="preserve">quality of studies comparing textured implants with smooth implants and the overall evidence base </w:t>
      </w:r>
      <w:r w:rsidR="008D501B">
        <w:t>was largely unsatisfactory.</w:t>
      </w:r>
    </w:p>
    <w:p w14:paraId="3C3D3680" w14:textId="199F9A34" w:rsidR="008D501B" w:rsidRDefault="008D501B" w:rsidP="008D501B">
      <w:pPr>
        <w:pStyle w:val="NormalWeb"/>
      </w:pPr>
      <w:r w:rsidRPr="00E85F99">
        <w:t xml:space="preserve">MSAC advised that </w:t>
      </w:r>
      <w:r w:rsidR="00F12DBB">
        <w:t xml:space="preserve">the </w:t>
      </w:r>
      <w:r w:rsidR="000B4572">
        <w:t>a</w:t>
      </w:r>
      <w:r w:rsidR="00F12DBB">
        <w:t>pplicant</w:t>
      </w:r>
      <w:r w:rsidR="00AA1A07">
        <w:t>’</w:t>
      </w:r>
      <w:r w:rsidR="00F12DBB">
        <w:t>s</w:t>
      </w:r>
      <w:r w:rsidRPr="00E85F99">
        <w:t xml:space="preserve"> claim for a higher benefit for its Mentor textured breast implants over smooth breast implants on the </w:t>
      </w:r>
      <w:r>
        <w:t>PL</w:t>
      </w:r>
      <w:r w:rsidRPr="00E85F99">
        <w:t xml:space="preserve"> is not supported by the evidence provided.</w:t>
      </w:r>
    </w:p>
    <w:p w14:paraId="16989BA6" w14:textId="77777777" w:rsidR="00114D7C" w:rsidRDefault="008D501B" w:rsidP="0093359F">
      <w:pPr>
        <w:spacing w:after="240"/>
        <w:rPr>
          <w:color w:val="000000"/>
        </w:rPr>
      </w:pPr>
      <w:r>
        <w:rPr>
          <w:color w:val="000000"/>
        </w:rPr>
        <w:t>Regarding the</w:t>
      </w:r>
      <w:r w:rsidRPr="00E85F99">
        <w:rPr>
          <w:color w:val="000000"/>
        </w:rPr>
        <w:t xml:space="preserve"> question of applicability of the current review to other micro</w:t>
      </w:r>
      <w:r w:rsidR="00F5469B">
        <w:rPr>
          <w:color w:val="000000"/>
        </w:rPr>
        <w:t>-</w:t>
      </w:r>
      <w:r w:rsidRPr="00E85F99">
        <w:rPr>
          <w:color w:val="000000"/>
        </w:rPr>
        <w:t xml:space="preserve">textured breast </w:t>
      </w:r>
      <w:r w:rsidRPr="00DA7345">
        <w:rPr>
          <w:color w:val="000000"/>
        </w:rPr>
        <w:t xml:space="preserve">implants that are </w:t>
      </w:r>
      <w:r w:rsidR="00D44480">
        <w:rPr>
          <w:color w:val="000000"/>
        </w:rPr>
        <w:t>included on the ARTG</w:t>
      </w:r>
      <w:r w:rsidRPr="00DA7345">
        <w:rPr>
          <w:color w:val="000000"/>
        </w:rPr>
        <w:t xml:space="preserve"> and listed on the PL, MSAC noted that individual products</w:t>
      </w:r>
      <w:r>
        <w:rPr>
          <w:color w:val="000000"/>
        </w:rPr>
        <w:t xml:space="preserve"> within a class of implant have been withdrawn, suggesting that product-based reviews with a common template and consensus economic model may be appropriate. </w:t>
      </w:r>
      <w:r w:rsidR="0093359F" w:rsidRPr="00E85F99">
        <w:rPr>
          <w:color w:val="000000"/>
        </w:rPr>
        <w:t xml:space="preserve">MSAC noted that </w:t>
      </w:r>
      <w:r w:rsidR="0093359F">
        <w:rPr>
          <w:color w:val="000000"/>
        </w:rPr>
        <w:t>the</w:t>
      </w:r>
      <w:r w:rsidR="0093359F" w:rsidRPr="00E85F99">
        <w:rPr>
          <w:color w:val="000000"/>
        </w:rPr>
        <w:t xml:space="preserve"> </w:t>
      </w:r>
      <w:r w:rsidR="0093359F">
        <w:rPr>
          <w:color w:val="000000"/>
        </w:rPr>
        <w:t xml:space="preserve">applicant </w:t>
      </w:r>
      <w:r w:rsidR="0093359F" w:rsidRPr="00E85F99">
        <w:rPr>
          <w:color w:val="000000"/>
        </w:rPr>
        <w:t xml:space="preserve">lodged a </w:t>
      </w:r>
      <w:r w:rsidR="0093359F">
        <w:rPr>
          <w:color w:val="000000"/>
        </w:rPr>
        <w:t>submission</w:t>
      </w:r>
      <w:r w:rsidR="0093359F" w:rsidRPr="00E85F99">
        <w:rPr>
          <w:color w:val="000000"/>
        </w:rPr>
        <w:t xml:space="preserve"> to support continued listing of their devices</w:t>
      </w:r>
      <w:r w:rsidR="00831309">
        <w:rPr>
          <w:color w:val="000000"/>
        </w:rPr>
        <w:t>.</w:t>
      </w:r>
      <w:r w:rsidR="0093359F" w:rsidRPr="00E85F99">
        <w:rPr>
          <w:color w:val="000000"/>
        </w:rPr>
        <w:t xml:space="preserve"> </w:t>
      </w:r>
    </w:p>
    <w:p w14:paraId="61D25BEE" w14:textId="4206B69E" w:rsidR="0093359F" w:rsidRDefault="0093359F" w:rsidP="0093359F">
      <w:pPr>
        <w:spacing w:after="240"/>
        <w:rPr>
          <w:lang w:val="en-US"/>
        </w:rPr>
      </w:pPr>
      <w:r>
        <w:rPr>
          <w:color w:val="000000"/>
        </w:rPr>
        <w:lastRenderedPageBreak/>
        <w:t>MSAC considered from the evidence provided that it was difficult to define</w:t>
      </w:r>
      <w:r w:rsidRPr="00E85F99">
        <w:rPr>
          <w:color w:val="000000"/>
        </w:rPr>
        <w:t xml:space="preserve"> a reasonable price for </w:t>
      </w:r>
      <w:r w:rsidR="00322300">
        <w:rPr>
          <w:color w:val="000000"/>
        </w:rPr>
        <w:t xml:space="preserve">the Mentor </w:t>
      </w:r>
      <w:r w:rsidRPr="00E85F99">
        <w:rPr>
          <w:color w:val="000000"/>
        </w:rPr>
        <w:t>textured breast implants</w:t>
      </w:r>
      <w:r>
        <w:rPr>
          <w:color w:val="000000"/>
        </w:rPr>
        <w:t xml:space="preserve"> and that current PL prices do not appear to have been </w:t>
      </w:r>
      <w:r>
        <w:rPr>
          <w:lang w:val="en-US"/>
        </w:rPr>
        <w:t>based on economic evaluation</w:t>
      </w:r>
      <w:r w:rsidR="00FC2E2F">
        <w:rPr>
          <w:lang w:val="en-US"/>
        </w:rPr>
        <w:t xml:space="preserve"> but rather transferred from the previous Schedule 5</w:t>
      </w:r>
      <w:r>
        <w:rPr>
          <w:lang w:val="en-US"/>
        </w:rPr>
        <w:t>.</w:t>
      </w:r>
    </w:p>
    <w:p w14:paraId="7EEB3CFD" w14:textId="7E1181E3" w:rsidR="008D501B" w:rsidRPr="000F2DC0" w:rsidRDefault="008D501B" w:rsidP="008D501B">
      <w:pPr>
        <w:spacing w:after="240"/>
        <w:rPr>
          <w:lang w:val="en-US"/>
        </w:rPr>
      </w:pPr>
      <w:r>
        <w:t>MSAC noted that these outcomes have no implications for MBS items for breast reconstructive surgery.</w:t>
      </w:r>
    </w:p>
    <w:p w14:paraId="218FADCC" w14:textId="77777777" w:rsidR="003647F8" w:rsidRPr="007A30F8" w:rsidRDefault="003647F8" w:rsidP="003647F8">
      <w:pPr>
        <w:pStyle w:val="Heading1"/>
      </w:pPr>
      <w:r w:rsidRPr="007A30F8">
        <w:t>Background</w:t>
      </w:r>
    </w:p>
    <w:p w14:paraId="693908C7" w14:textId="49DF1B23" w:rsidR="00D947FE" w:rsidRPr="00114D7C" w:rsidRDefault="00900296" w:rsidP="00114D7C">
      <w:pPr>
        <w:widowControl w:val="0"/>
        <w:spacing w:after="240"/>
        <w:rPr>
          <w:szCs w:val="24"/>
        </w:rPr>
      </w:pPr>
      <w:r w:rsidRPr="00D947FE">
        <w:rPr>
          <w:szCs w:val="24"/>
        </w:rPr>
        <w:t>In April 2019, the TGA convened its breast implant working group to examine current data on BIA-ALCL rates and correlation w</w:t>
      </w:r>
      <w:r w:rsidR="00114D7C">
        <w:rPr>
          <w:szCs w:val="24"/>
        </w:rPr>
        <w:t>ith the type of breast implant.</w:t>
      </w:r>
    </w:p>
    <w:p w14:paraId="0350456B" w14:textId="0339F2A5" w:rsidR="00D947FE" w:rsidRDefault="00900296" w:rsidP="00114D7C">
      <w:pPr>
        <w:widowControl w:val="0"/>
        <w:spacing w:after="240"/>
        <w:rPr>
          <w:szCs w:val="24"/>
        </w:rPr>
      </w:pPr>
      <w:r>
        <w:t xml:space="preserve">Following a review and laboratory assessment of </w:t>
      </w:r>
      <w:r w:rsidRPr="001D0D82">
        <w:t>breast implants</w:t>
      </w:r>
      <w:r>
        <w:t xml:space="preserve"> and breast tissue expanders sold in Australia, t</w:t>
      </w:r>
      <w:r w:rsidRPr="001D0D82">
        <w:t>he TGA</w:t>
      </w:r>
      <w:r>
        <w:t xml:space="preserve"> suspended the supply, import and export of all ‘</w:t>
      </w:r>
      <w:r w:rsidRPr="00701DBE">
        <w:t>macro</w:t>
      </w:r>
      <w:r w:rsidR="00F5469B">
        <w:t>-</w:t>
      </w:r>
      <w:r w:rsidRPr="00701DBE">
        <w:t>textured</w:t>
      </w:r>
      <w:r>
        <w:t>’ breast implants,</w:t>
      </w:r>
      <w:r w:rsidRPr="00701DBE">
        <w:t xml:space="preserve"> and some </w:t>
      </w:r>
      <w:r>
        <w:t>‘</w:t>
      </w:r>
      <w:r w:rsidRPr="00701DBE">
        <w:t>micro</w:t>
      </w:r>
      <w:r w:rsidR="00F5469B">
        <w:t>-</w:t>
      </w:r>
      <w:r w:rsidRPr="00701DBE">
        <w:t>textured</w:t>
      </w:r>
      <w:r>
        <w:t>’</w:t>
      </w:r>
      <w:r w:rsidRPr="00701DBE">
        <w:t xml:space="preserve"> implants</w:t>
      </w:r>
      <w:r>
        <w:t xml:space="preserve"> associated with higher incidences of BIA-ALCL and “other clinical concerns”.</w:t>
      </w:r>
    </w:p>
    <w:p w14:paraId="11E50FF0" w14:textId="66DDE2D1" w:rsidR="00D947FE" w:rsidRDefault="00900296" w:rsidP="00114D7C">
      <w:pPr>
        <w:widowControl w:val="0"/>
        <w:spacing w:after="240"/>
        <w:rPr>
          <w:szCs w:val="24"/>
        </w:rPr>
      </w:pPr>
      <w:r w:rsidRPr="00D947FE">
        <w:rPr>
          <w:szCs w:val="24"/>
        </w:rPr>
        <w:t>The TGA advised that eight models of textured implants (</w:t>
      </w:r>
      <w:r w:rsidR="00322300">
        <w:rPr>
          <w:szCs w:val="24"/>
        </w:rPr>
        <w:t>seven</w:t>
      </w:r>
      <w:r w:rsidR="00435259" w:rsidRPr="00D947FE">
        <w:rPr>
          <w:szCs w:val="24"/>
        </w:rPr>
        <w:t xml:space="preserve"> </w:t>
      </w:r>
      <w:r w:rsidRPr="00D947FE">
        <w:rPr>
          <w:szCs w:val="24"/>
        </w:rPr>
        <w:t xml:space="preserve">macro-textured and </w:t>
      </w:r>
      <w:r w:rsidR="00322300">
        <w:rPr>
          <w:szCs w:val="24"/>
        </w:rPr>
        <w:t>one</w:t>
      </w:r>
      <w:r w:rsidR="00435259" w:rsidRPr="00D947FE">
        <w:rPr>
          <w:szCs w:val="24"/>
        </w:rPr>
        <w:t xml:space="preserve"> </w:t>
      </w:r>
      <w:r w:rsidRPr="00D947FE">
        <w:rPr>
          <w:szCs w:val="24"/>
        </w:rPr>
        <w:t xml:space="preserve">micro-textured), from four manufacturers </w:t>
      </w:r>
      <w:r w:rsidR="00E828DE">
        <w:rPr>
          <w:szCs w:val="24"/>
        </w:rPr>
        <w:t>were</w:t>
      </w:r>
      <w:r w:rsidR="00435259">
        <w:rPr>
          <w:szCs w:val="24"/>
        </w:rPr>
        <w:t xml:space="preserve"> </w:t>
      </w:r>
      <w:r w:rsidRPr="00D947FE">
        <w:rPr>
          <w:szCs w:val="24"/>
        </w:rPr>
        <w:t xml:space="preserve">to be suspended from the ARTG for a </w:t>
      </w:r>
      <w:r w:rsidR="00FB2542" w:rsidRPr="00D947FE">
        <w:rPr>
          <w:szCs w:val="24"/>
        </w:rPr>
        <w:t>six-month</w:t>
      </w:r>
      <w:r w:rsidRPr="00D947FE">
        <w:rPr>
          <w:szCs w:val="24"/>
        </w:rPr>
        <w:t xml:space="preserve"> period which commenced 25 October 2019.</w:t>
      </w:r>
      <w:r w:rsidR="00D44480">
        <w:rPr>
          <w:szCs w:val="24"/>
        </w:rPr>
        <w:t xml:space="preserve"> The applicant’s</w:t>
      </w:r>
      <w:r w:rsidR="000B3732">
        <w:rPr>
          <w:szCs w:val="24"/>
        </w:rPr>
        <w:t xml:space="preserve"> Mentor textured breast implant devices are ‘micro-textured</w:t>
      </w:r>
      <w:r w:rsidR="00D44480">
        <w:rPr>
          <w:szCs w:val="24"/>
        </w:rPr>
        <w:t>’</w:t>
      </w:r>
      <w:r w:rsidR="000B3732">
        <w:rPr>
          <w:szCs w:val="24"/>
        </w:rPr>
        <w:t xml:space="preserve"> and continue to be included in the ARTG.</w:t>
      </w:r>
    </w:p>
    <w:p w14:paraId="11549967" w14:textId="6E68680B" w:rsidR="00D947FE" w:rsidRPr="00114D7C" w:rsidRDefault="00900296" w:rsidP="00114D7C">
      <w:pPr>
        <w:widowControl w:val="0"/>
        <w:spacing w:after="240"/>
        <w:rPr>
          <w:szCs w:val="24"/>
        </w:rPr>
      </w:pPr>
      <w:r w:rsidRPr="00D947FE">
        <w:rPr>
          <w:szCs w:val="24"/>
        </w:rPr>
        <w:t>All breast implants that were removed from the ARTG have also been removed from the PL.</w:t>
      </w:r>
    </w:p>
    <w:p w14:paraId="5BEB1A4C" w14:textId="055451DC" w:rsidR="00D947FE" w:rsidRDefault="00900296" w:rsidP="00D947FE">
      <w:pPr>
        <w:widowControl w:val="0"/>
        <w:rPr>
          <w:b/>
          <w:szCs w:val="24"/>
        </w:rPr>
      </w:pPr>
      <w:r>
        <w:t>New conditions for inclusion in the ARTG have been imposed on ALL breast implant devices that remain available, including tissue expanders</w:t>
      </w:r>
      <w:r w:rsidR="0093359F" w:rsidRPr="00D947FE">
        <w:rPr>
          <w:szCs w:val="24"/>
        </w:rPr>
        <w:t>:</w:t>
      </w:r>
    </w:p>
    <w:p w14:paraId="3258C2B5" w14:textId="00AF3269" w:rsidR="00900296" w:rsidRPr="00456334" w:rsidRDefault="00D947FE" w:rsidP="00120505">
      <w:pPr>
        <w:pStyle w:val="NormalWeb"/>
        <w:numPr>
          <w:ilvl w:val="0"/>
          <w:numId w:val="7"/>
        </w:numPr>
        <w:spacing w:before="0" w:beforeAutospacing="0" w:after="0" w:afterAutospacing="0"/>
      </w:pPr>
      <w:r>
        <w:t>A</w:t>
      </w:r>
      <w:r w:rsidR="00900296" w:rsidRPr="00456334">
        <w:t xml:space="preserve">ll cases of BIA-ALCL must be reported to the TGA </w:t>
      </w:r>
      <w:r w:rsidR="00900296">
        <w:t xml:space="preserve">by the sponsors </w:t>
      </w:r>
      <w:r w:rsidR="00322300">
        <w:t>within ten</w:t>
      </w:r>
      <w:r w:rsidR="00900296" w:rsidRPr="00456334">
        <w:t xml:space="preserve"> days of </w:t>
      </w:r>
      <w:r w:rsidR="00900296">
        <w:t>becoming aware of the adverse event</w:t>
      </w:r>
      <w:r w:rsidR="00900296" w:rsidRPr="00456334">
        <w:t>.</w:t>
      </w:r>
    </w:p>
    <w:p w14:paraId="12325806" w14:textId="77777777" w:rsidR="00900296" w:rsidRPr="00456334" w:rsidRDefault="00D947FE" w:rsidP="00120505">
      <w:pPr>
        <w:pStyle w:val="NormalWeb"/>
        <w:numPr>
          <w:ilvl w:val="0"/>
          <w:numId w:val="7"/>
        </w:numPr>
        <w:spacing w:before="0" w:beforeAutospacing="0" w:after="0" w:afterAutospacing="0"/>
      </w:pPr>
      <w:r>
        <w:t>N</w:t>
      </w:r>
      <w:r w:rsidR="00900296" w:rsidRPr="00456334">
        <w:t>ew six monthly reports from sponsors covering supply data</w:t>
      </w:r>
      <w:r w:rsidR="00900296">
        <w:t xml:space="preserve"> and</w:t>
      </w:r>
      <w:r w:rsidR="00900296" w:rsidRPr="00456334">
        <w:t xml:space="preserve"> details of all adverse events, and all complaints, both in Australia and world-wide.</w:t>
      </w:r>
    </w:p>
    <w:p w14:paraId="30678F7C" w14:textId="77777777" w:rsidR="00900296" w:rsidRDefault="00D947FE" w:rsidP="00120505">
      <w:pPr>
        <w:pStyle w:val="NormalWeb"/>
        <w:numPr>
          <w:ilvl w:val="0"/>
          <w:numId w:val="7"/>
        </w:numPr>
        <w:spacing w:before="0" w:beforeAutospacing="0" w:after="0" w:afterAutospacing="0"/>
      </w:pPr>
      <w:r>
        <w:t>T</w:t>
      </w:r>
      <w:r w:rsidR="00900296" w:rsidRPr="00456334">
        <w:t>he risk of BIA-ALCL must be included in clinicians' Instructions for Use of all breast implant and tissue expander devices.</w:t>
      </w:r>
    </w:p>
    <w:p w14:paraId="440CF2F3" w14:textId="0170664A" w:rsidR="00D947FE" w:rsidRPr="00114D7C" w:rsidRDefault="00D947FE" w:rsidP="00114D7C">
      <w:pPr>
        <w:pStyle w:val="NormalWeb"/>
        <w:numPr>
          <w:ilvl w:val="0"/>
          <w:numId w:val="7"/>
        </w:numPr>
        <w:spacing w:before="0" w:beforeAutospacing="0" w:after="0" w:afterAutospacing="0"/>
      </w:pPr>
      <w:r>
        <w:t>P</w:t>
      </w:r>
      <w:r w:rsidR="00900296" w:rsidRPr="00456334">
        <w:t>atient information leaflets must include warnings about the risks of BIA-ALCL.</w:t>
      </w:r>
    </w:p>
    <w:p w14:paraId="3FD13E00" w14:textId="5C6142AE" w:rsidR="00900296" w:rsidRPr="00D947FE" w:rsidRDefault="00900296" w:rsidP="00114D7C">
      <w:pPr>
        <w:widowControl w:val="0"/>
        <w:spacing w:before="240"/>
        <w:rPr>
          <w:szCs w:val="24"/>
        </w:rPr>
      </w:pPr>
      <w:r w:rsidRPr="00D947FE">
        <w:rPr>
          <w:szCs w:val="24"/>
        </w:rPr>
        <w:t>In</w:t>
      </w:r>
      <w:r w:rsidR="00322300">
        <w:rPr>
          <w:szCs w:val="24"/>
        </w:rPr>
        <w:t xml:space="preserve"> addition to these conditions; seven</w:t>
      </w:r>
      <w:r w:rsidRPr="00D947FE">
        <w:rPr>
          <w:szCs w:val="24"/>
        </w:rPr>
        <w:t xml:space="preserve"> out of </w:t>
      </w:r>
      <w:r w:rsidR="00322300">
        <w:rPr>
          <w:szCs w:val="24"/>
        </w:rPr>
        <w:t>ten</w:t>
      </w:r>
      <w:r w:rsidRPr="00D947FE">
        <w:rPr>
          <w:szCs w:val="24"/>
        </w:rPr>
        <w:t xml:space="preserve"> </w:t>
      </w:r>
      <w:r w:rsidR="008849E7">
        <w:rPr>
          <w:szCs w:val="24"/>
        </w:rPr>
        <w:t xml:space="preserve">of </w:t>
      </w:r>
      <w:r w:rsidR="000B4572">
        <w:rPr>
          <w:szCs w:val="24"/>
        </w:rPr>
        <w:t>the a</w:t>
      </w:r>
      <w:r w:rsidR="009A4569">
        <w:rPr>
          <w:szCs w:val="24"/>
        </w:rPr>
        <w:t>pplicant’s</w:t>
      </w:r>
      <w:r w:rsidRPr="00D947FE">
        <w:rPr>
          <w:szCs w:val="24"/>
        </w:rPr>
        <w:t xml:space="preserve"> breast implants are subject to additional clinical data requirements; </w:t>
      </w:r>
      <w:r w:rsidR="000B4572">
        <w:rPr>
          <w:szCs w:val="24"/>
        </w:rPr>
        <w:t>the a</w:t>
      </w:r>
      <w:r w:rsidR="009A4569">
        <w:rPr>
          <w:szCs w:val="24"/>
        </w:rPr>
        <w:t>pplicant</w:t>
      </w:r>
      <w:r w:rsidRPr="00D947FE">
        <w:rPr>
          <w:szCs w:val="24"/>
        </w:rPr>
        <w:t xml:space="preserve"> must provide the TGA, by 1 July 2020 with:</w:t>
      </w:r>
    </w:p>
    <w:p w14:paraId="59446B27" w14:textId="50C86223" w:rsidR="00900296" w:rsidRPr="009A5715" w:rsidRDefault="00FB2542" w:rsidP="00120505">
      <w:pPr>
        <w:pStyle w:val="ListParagraph"/>
        <w:widowControl w:val="0"/>
        <w:numPr>
          <w:ilvl w:val="0"/>
          <w:numId w:val="7"/>
        </w:numPr>
        <w:rPr>
          <w:szCs w:val="24"/>
        </w:rPr>
      </w:pPr>
      <w:r>
        <w:rPr>
          <w:szCs w:val="24"/>
        </w:rPr>
        <w:t>Immunotoxicology studies, and</w:t>
      </w:r>
    </w:p>
    <w:p w14:paraId="2736FD2D" w14:textId="2BAA7FBB" w:rsidR="00D947FE" w:rsidRPr="00114D7C" w:rsidRDefault="00FB2542" w:rsidP="00D947FE">
      <w:pPr>
        <w:pStyle w:val="ListParagraph"/>
        <w:widowControl w:val="0"/>
        <w:numPr>
          <w:ilvl w:val="0"/>
          <w:numId w:val="7"/>
        </w:numPr>
        <w:rPr>
          <w:szCs w:val="24"/>
        </w:rPr>
      </w:pPr>
      <w:r>
        <w:rPr>
          <w:szCs w:val="24"/>
        </w:rPr>
        <w:t>U</w:t>
      </w:r>
      <w:r w:rsidR="00900296" w:rsidRPr="009A5715">
        <w:rPr>
          <w:szCs w:val="24"/>
        </w:rPr>
        <w:t>pdated risk assessment documentation and processes with appropriate hazard controls implemented.</w:t>
      </w:r>
    </w:p>
    <w:p w14:paraId="7AF516F1" w14:textId="356A7590" w:rsidR="00B91F20" w:rsidRPr="00D947FE" w:rsidRDefault="00900296" w:rsidP="00114D7C">
      <w:pPr>
        <w:widowControl w:val="0"/>
        <w:spacing w:before="240" w:after="240"/>
        <w:rPr>
          <w:szCs w:val="24"/>
        </w:rPr>
      </w:pPr>
      <w:r w:rsidRPr="00D947FE">
        <w:rPr>
          <w:szCs w:val="24"/>
        </w:rPr>
        <w:t xml:space="preserve">As a result of the association of textured implants and BIA-ALCL, the </w:t>
      </w:r>
      <w:r w:rsidR="00F24BC0">
        <w:rPr>
          <w:szCs w:val="24"/>
        </w:rPr>
        <w:t xml:space="preserve">safety, effectiveness and </w:t>
      </w:r>
      <w:r w:rsidR="003B5919">
        <w:rPr>
          <w:szCs w:val="24"/>
        </w:rPr>
        <w:t>cost-</w:t>
      </w:r>
      <w:r w:rsidRPr="00D947FE">
        <w:rPr>
          <w:szCs w:val="24"/>
        </w:rPr>
        <w:t>effectiveness of these devices has been called into question.</w:t>
      </w:r>
    </w:p>
    <w:p w14:paraId="294F6BA4" w14:textId="101914E5" w:rsidR="00D947FE" w:rsidRDefault="00900296" w:rsidP="00114D7C">
      <w:pPr>
        <w:tabs>
          <w:tab w:val="left" w:pos="720"/>
        </w:tabs>
        <w:spacing w:before="240" w:after="240"/>
        <w:rPr>
          <w:szCs w:val="24"/>
        </w:rPr>
      </w:pPr>
      <w:r w:rsidRPr="00D947FE">
        <w:rPr>
          <w:szCs w:val="24"/>
        </w:rPr>
        <w:t>Most breast implants listed on the PL have not been subject to a health technology</w:t>
      </w:r>
      <w:r w:rsidR="003B5919">
        <w:rPr>
          <w:szCs w:val="24"/>
        </w:rPr>
        <w:t xml:space="preserve"> assessment to determine a cost-</w:t>
      </w:r>
      <w:r w:rsidRPr="00D947FE">
        <w:rPr>
          <w:szCs w:val="24"/>
        </w:rPr>
        <w:t>effective benefit. They were “grandfathered” across from Schedule 5 of the Private Health Insurance Act in 1985.</w:t>
      </w:r>
    </w:p>
    <w:p w14:paraId="66E1424D" w14:textId="77777777" w:rsidR="00900296" w:rsidRPr="00D947FE" w:rsidRDefault="00900296" w:rsidP="00D947FE">
      <w:pPr>
        <w:tabs>
          <w:tab w:val="left" w:pos="720"/>
        </w:tabs>
        <w:rPr>
          <w:szCs w:val="24"/>
        </w:rPr>
      </w:pPr>
      <w:r w:rsidRPr="00D947FE">
        <w:rPr>
          <w:szCs w:val="24"/>
        </w:rPr>
        <w:t xml:space="preserve">In July 2019, ahead of TGA’s regulatory action, the </w:t>
      </w:r>
      <w:r w:rsidR="00D45725">
        <w:rPr>
          <w:szCs w:val="24"/>
        </w:rPr>
        <w:t xml:space="preserve">Department of Health </w:t>
      </w:r>
      <w:r w:rsidRPr="00D947FE">
        <w:rPr>
          <w:szCs w:val="24"/>
        </w:rPr>
        <w:t xml:space="preserve">wrote to sponsors of textured breast implants to: </w:t>
      </w:r>
    </w:p>
    <w:p w14:paraId="6AB96800" w14:textId="77ECF94C" w:rsidR="00900296" w:rsidRPr="00B87452" w:rsidRDefault="00900296" w:rsidP="00120505">
      <w:pPr>
        <w:pStyle w:val="NormalWeb"/>
        <w:numPr>
          <w:ilvl w:val="0"/>
          <w:numId w:val="7"/>
        </w:numPr>
        <w:spacing w:before="0" w:beforeAutospacing="0" w:after="0" w:afterAutospacing="0"/>
      </w:pPr>
      <w:r w:rsidRPr="00B87452">
        <w:t xml:space="preserve">Request </w:t>
      </w:r>
      <w:r w:rsidR="006B7085">
        <w:t>a</w:t>
      </w:r>
      <w:r w:rsidR="000B4572">
        <w:t xml:space="preserve"> </w:t>
      </w:r>
      <w:r w:rsidR="006B7085">
        <w:t>submission</w:t>
      </w:r>
      <w:r w:rsidRPr="00B87452">
        <w:t xml:space="preserve"> for clinical and cost</w:t>
      </w:r>
      <w:r w:rsidR="003B5919">
        <w:t>-</w:t>
      </w:r>
      <w:r w:rsidRPr="00B87452">
        <w:t>effectiveness</w:t>
      </w:r>
      <w:r>
        <w:t>,</w:t>
      </w:r>
      <w:r w:rsidRPr="00B87452">
        <w:t xml:space="preserve"> given these new findings. </w:t>
      </w:r>
    </w:p>
    <w:p w14:paraId="1F3A0652" w14:textId="7E66FBF1" w:rsidR="00D947FE" w:rsidRDefault="00900296" w:rsidP="00114D7C">
      <w:pPr>
        <w:pStyle w:val="NormalWeb"/>
        <w:numPr>
          <w:ilvl w:val="0"/>
          <w:numId w:val="7"/>
        </w:numPr>
        <w:spacing w:before="0" w:beforeAutospacing="0" w:after="240" w:afterAutospacing="0"/>
      </w:pPr>
      <w:r w:rsidRPr="00B87452">
        <w:t>Request a voluntary “suspension” (deleting and possible subsequent re-listing).</w:t>
      </w:r>
    </w:p>
    <w:p w14:paraId="10112C3E" w14:textId="0AAF9988" w:rsidR="00900296" w:rsidRPr="00B87452" w:rsidRDefault="0093359F" w:rsidP="00D947FE">
      <w:pPr>
        <w:pStyle w:val="NormalWeb"/>
        <w:spacing w:before="0" w:beforeAutospacing="0" w:after="0" w:afterAutospacing="0"/>
      </w:pPr>
      <w:r>
        <w:lastRenderedPageBreak/>
        <w:t>Responses</w:t>
      </w:r>
      <w:r w:rsidR="00900296">
        <w:t xml:space="preserve"> </w:t>
      </w:r>
      <w:r w:rsidR="00B50EE1">
        <w:t xml:space="preserve">from the sponsors </w:t>
      </w:r>
      <w:r w:rsidR="00900296">
        <w:t>were varied:</w:t>
      </w:r>
    </w:p>
    <w:p w14:paraId="7DDAFFB1" w14:textId="1ADC5201" w:rsidR="00900296" w:rsidRPr="00B87452" w:rsidRDefault="00900296" w:rsidP="00120505">
      <w:pPr>
        <w:pStyle w:val="NormalWeb"/>
        <w:numPr>
          <w:ilvl w:val="0"/>
          <w:numId w:val="7"/>
        </w:numPr>
        <w:spacing w:before="0" w:beforeAutospacing="0" w:after="0" w:afterAutospacing="0"/>
      </w:pPr>
      <w:r w:rsidRPr="00B87452">
        <w:t xml:space="preserve">Two sponsors opted for a voluntary suspension. The associated devices have since been removed from the PL. </w:t>
      </w:r>
    </w:p>
    <w:p w14:paraId="559019D8" w14:textId="479E7114" w:rsidR="00900296" w:rsidRPr="00B87452" w:rsidRDefault="00900296" w:rsidP="00120505">
      <w:pPr>
        <w:pStyle w:val="NormalWeb"/>
        <w:numPr>
          <w:ilvl w:val="0"/>
          <w:numId w:val="7"/>
        </w:numPr>
        <w:spacing w:before="0" w:beforeAutospacing="0" w:after="0" w:afterAutospacing="0"/>
      </w:pPr>
      <w:r w:rsidRPr="00B87452">
        <w:t>One sponsor has had their products removed involuntar</w:t>
      </w:r>
      <w:r>
        <w:t>ily as at least one case of BIA-</w:t>
      </w:r>
      <w:r w:rsidRPr="00B87452">
        <w:t>ALCL has been confirmed</w:t>
      </w:r>
      <w:r w:rsidRPr="00B87452">
        <w:rPr>
          <w:rFonts w:asciiTheme="minorHAnsi" w:hAnsiTheme="minorHAnsi" w:cstheme="minorHAnsi"/>
        </w:rPr>
        <w:t>.</w:t>
      </w:r>
    </w:p>
    <w:p w14:paraId="143C46B8" w14:textId="271695C7" w:rsidR="00900296" w:rsidRDefault="000B4572" w:rsidP="00120505">
      <w:pPr>
        <w:pStyle w:val="NormalWeb"/>
        <w:numPr>
          <w:ilvl w:val="0"/>
          <w:numId w:val="7"/>
        </w:numPr>
        <w:spacing w:before="0" w:beforeAutospacing="0" w:after="0" w:afterAutospacing="0"/>
      </w:pPr>
      <w:r>
        <w:t>The a</w:t>
      </w:r>
      <w:r w:rsidR="006448A1">
        <w:t>pplicant</w:t>
      </w:r>
      <w:r w:rsidR="00900296" w:rsidRPr="00B87452">
        <w:t xml:space="preserve"> was the only </w:t>
      </w:r>
      <w:r w:rsidR="006448A1">
        <w:t>sponsor</w:t>
      </w:r>
      <w:r w:rsidR="00900296" w:rsidRPr="00B87452">
        <w:t xml:space="preserve"> that responded </w:t>
      </w:r>
      <w:r w:rsidR="00900296">
        <w:t>with a</w:t>
      </w:r>
      <w:r>
        <w:t xml:space="preserve"> </w:t>
      </w:r>
      <w:r w:rsidR="006B7085">
        <w:t>submission</w:t>
      </w:r>
      <w:r w:rsidR="00900296" w:rsidRPr="00B87452">
        <w:t xml:space="preserve"> to the Department, </w:t>
      </w:r>
      <w:r w:rsidR="00322300">
        <w:t>stating</w:t>
      </w:r>
      <w:r w:rsidR="00900296" w:rsidRPr="00B87452">
        <w:t xml:space="preserve"> why </w:t>
      </w:r>
      <w:r w:rsidR="00900296">
        <w:t>its</w:t>
      </w:r>
      <w:r w:rsidR="006C35BF">
        <w:t xml:space="preserve"> Mentor textured</w:t>
      </w:r>
      <w:r w:rsidR="00900296" w:rsidRPr="00B87452">
        <w:t xml:space="preserve"> breast implant devices should remain on the PL. </w:t>
      </w:r>
    </w:p>
    <w:p w14:paraId="0EFD2C87" w14:textId="59783FF6" w:rsidR="00D947FE" w:rsidRPr="00D635A8" w:rsidRDefault="00D947FE" w:rsidP="00D635A8">
      <w:pPr>
        <w:pStyle w:val="NormalWeb"/>
        <w:numPr>
          <w:ilvl w:val="0"/>
          <w:numId w:val="7"/>
        </w:numPr>
        <w:spacing w:before="0" w:beforeAutospacing="0" w:after="0" w:afterAutospacing="0"/>
      </w:pPr>
      <w:r>
        <w:t>Other sponsors have micro</w:t>
      </w:r>
      <w:r w:rsidR="00F5469B">
        <w:t>-</w:t>
      </w:r>
      <w:r>
        <w:t xml:space="preserve">textured implants that remain on the PL and ARTG but have made no </w:t>
      </w:r>
      <w:r w:rsidR="006B7085">
        <w:t>submission</w:t>
      </w:r>
      <w:r>
        <w:t>.</w:t>
      </w:r>
    </w:p>
    <w:p w14:paraId="21A1E44D" w14:textId="77777777" w:rsidR="003647F8" w:rsidRPr="00F715D1" w:rsidRDefault="003647F8" w:rsidP="003647F8">
      <w:pPr>
        <w:pStyle w:val="Heading1"/>
      </w:pPr>
      <w:r w:rsidRPr="00F715D1">
        <w:t>Prerequisites to implementation of any funding advice</w:t>
      </w:r>
    </w:p>
    <w:p w14:paraId="5AC02CB9" w14:textId="0C9F1F58" w:rsidR="003647F8" w:rsidRDefault="00C16A9C" w:rsidP="003647F8">
      <w:pPr>
        <w:tabs>
          <w:tab w:val="left" w:pos="720"/>
          <w:tab w:val="left" w:pos="1140"/>
        </w:tabs>
        <w:spacing w:after="240"/>
        <w:rPr>
          <w:szCs w:val="24"/>
        </w:rPr>
      </w:pPr>
      <w:r w:rsidRPr="00C16A9C">
        <w:rPr>
          <w:szCs w:val="24"/>
        </w:rPr>
        <w:t xml:space="preserve">The Mentor </w:t>
      </w:r>
      <w:r w:rsidR="006C35BF">
        <w:rPr>
          <w:szCs w:val="24"/>
        </w:rPr>
        <w:t xml:space="preserve">textured </w:t>
      </w:r>
      <w:r w:rsidRPr="00C16A9C">
        <w:rPr>
          <w:szCs w:val="24"/>
        </w:rPr>
        <w:t>breast implant devices</w:t>
      </w:r>
      <w:r>
        <w:rPr>
          <w:szCs w:val="24"/>
        </w:rPr>
        <w:t xml:space="preserve"> (shown in Table 1)</w:t>
      </w:r>
      <w:r w:rsidRPr="00C16A9C">
        <w:rPr>
          <w:szCs w:val="24"/>
        </w:rPr>
        <w:t xml:space="preserve"> remain </w:t>
      </w:r>
      <w:r w:rsidR="003647F8" w:rsidRPr="00DD78CB">
        <w:rPr>
          <w:szCs w:val="24"/>
        </w:rPr>
        <w:t>registered on the ARTG</w:t>
      </w:r>
      <w:r>
        <w:rPr>
          <w:szCs w:val="24"/>
        </w:rPr>
        <w:t xml:space="preserve"> with additional conditions imposed, as above.</w:t>
      </w:r>
      <w:r w:rsidR="000F26B4">
        <w:rPr>
          <w:szCs w:val="24"/>
        </w:rPr>
        <w:t xml:space="preserve"> </w:t>
      </w:r>
    </w:p>
    <w:p w14:paraId="19808B61" w14:textId="12B4FA7E" w:rsidR="0026051C" w:rsidRPr="00114D7C" w:rsidRDefault="0026051C" w:rsidP="00114D7C">
      <w:pPr>
        <w:rPr>
          <w:rFonts w:ascii="Arial Narrow" w:hAnsi="Arial Narrow"/>
          <w:b/>
          <w:sz w:val="20"/>
        </w:rPr>
      </w:pPr>
      <w:r w:rsidRPr="00114D7C">
        <w:rPr>
          <w:rFonts w:ascii="Arial Narrow" w:hAnsi="Arial Narrow"/>
          <w:b/>
          <w:sz w:val="20"/>
        </w:rPr>
        <w:t>Table 1</w:t>
      </w:r>
      <w:r w:rsidRPr="00114D7C">
        <w:rPr>
          <w:rFonts w:ascii="Arial Narrow" w:hAnsi="Arial Narrow"/>
          <w:b/>
          <w:sz w:val="20"/>
        </w:rPr>
        <w:tab/>
        <w:t>Mentor implants listed in</w:t>
      </w:r>
      <w:r w:rsidR="000B4572" w:rsidRPr="00114D7C">
        <w:rPr>
          <w:rFonts w:ascii="Arial Narrow" w:hAnsi="Arial Narrow"/>
          <w:b/>
          <w:sz w:val="20"/>
        </w:rPr>
        <w:t xml:space="preserve"> the </w:t>
      </w:r>
      <w:r w:rsidR="006B7085" w:rsidRPr="00114D7C">
        <w:rPr>
          <w:rFonts w:ascii="Arial Narrow" w:hAnsi="Arial Narrow"/>
          <w:b/>
          <w:sz w:val="20"/>
        </w:rPr>
        <w:t>submission</w:t>
      </w:r>
    </w:p>
    <w:tbl>
      <w:tblPr>
        <w:tblStyle w:val="TableGrid1"/>
        <w:tblW w:w="9039" w:type="dxa"/>
        <w:tblLook w:val="0000" w:firstRow="0" w:lastRow="0" w:firstColumn="0" w:lastColumn="0" w:noHBand="0" w:noVBand="0"/>
        <w:tblDescription w:val="Mentor implants listed in the submission"/>
      </w:tblPr>
      <w:tblGrid>
        <w:gridCol w:w="765"/>
        <w:gridCol w:w="3596"/>
        <w:gridCol w:w="4678"/>
      </w:tblGrid>
      <w:tr w:rsidR="00525752" w:rsidRPr="00E41C26" w14:paraId="6E8DB269" w14:textId="77777777" w:rsidTr="00114D7C">
        <w:trPr>
          <w:trHeight w:val="460"/>
          <w:tblHeader/>
        </w:trPr>
        <w:tc>
          <w:tcPr>
            <w:tcW w:w="0" w:type="auto"/>
          </w:tcPr>
          <w:p w14:paraId="736FB75E" w14:textId="77777777" w:rsidR="00525752" w:rsidRPr="002039B4" w:rsidRDefault="00525752" w:rsidP="009A12C5">
            <w:pPr>
              <w:pStyle w:val="Tabletext"/>
            </w:pPr>
            <w:r w:rsidRPr="009A12C5">
              <w:rPr>
                <w:b/>
              </w:rPr>
              <w:t xml:space="preserve">ARTG </w:t>
            </w:r>
          </w:p>
        </w:tc>
        <w:tc>
          <w:tcPr>
            <w:tcW w:w="3596" w:type="dxa"/>
          </w:tcPr>
          <w:p w14:paraId="1FDA74A8" w14:textId="77777777" w:rsidR="00525752" w:rsidRPr="002039B4" w:rsidRDefault="00525752" w:rsidP="009A12C5">
            <w:pPr>
              <w:pStyle w:val="Tabletext"/>
            </w:pPr>
            <w:bookmarkStart w:id="1" w:name="_Hlk21515900"/>
            <w:r w:rsidRPr="009A12C5">
              <w:rPr>
                <w:b/>
              </w:rPr>
              <w:t xml:space="preserve">Product Name </w:t>
            </w:r>
          </w:p>
        </w:tc>
        <w:tc>
          <w:tcPr>
            <w:tcW w:w="4678" w:type="dxa"/>
          </w:tcPr>
          <w:p w14:paraId="1ABA0CE7" w14:textId="77777777" w:rsidR="00525752" w:rsidRPr="002039B4" w:rsidRDefault="00525752" w:rsidP="009A12C5">
            <w:pPr>
              <w:pStyle w:val="Tabletext"/>
            </w:pPr>
            <w:r w:rsidRPr="009A12C5">
              <w:rPr>
                <w:b/>
              </w:rPr>
              <w:t xml:space="preserve">Description </w:t>
            </w:r>
          </w:p>
        </w:tc>
      </w:tr>
      <w:tr w:rsidR="00525752" w:rsidRPr="00E41C26" w14:paraId="644148C4" w14:textId="77777777" w:rsidTr="00114D7C">
        <w:trPr>
          <w:trHeight w:val="335"/>
        </w:trPr>
        <w:tc>
          <w:tcPr>
            <w:tcW w:w="0" w:type="auto"/>
          </w:tcPr>
          <w:p w14:paraId="4D0264B3" w14:textId="77777777" w:rsidR="00525752" w:rsidRPr="00E41C26" w:rsidRDefault="00525752" w:rsidP="009A12C5">
            <w:pPr>
              <w:pStyle w:val="Tabletext"/>
            </w:pPr>
            <w:r w:rsidRPr="00E41C26">
              <w:t xml:space="preserve">119809 </w:t>
            </w:r>
          </w:p>
        </w:tc>
        <w:bookmarkEnd w:id="1"/>
        <w:tc>
          <w:tcPr>
            <w:tcW w:w="3596" w:type="dxa"/>
          </w:tcPr>
          <w:p w14:paraId="6FDDF8EC" w14:textId="77777777" w:rsidR="00525752" w:rsidRPr="00E41C26" w:rsidRDefault="00525752" w:rsidP="009A12C5">
            <w:pPr>
              <w:pStyle w:val="Tabletext"/>
            </w:pPr>
            <w:r w:rsidRPr="00E41C26">
              <w:t xml:space="preserve">Mentor Siltex Becker Expander/Mammary Implant </w:t>
            </w:r>
          </w:p>
        </w:tc>
        <w:tc>
          <w:tcPr>
            <w:tcW w:w="4678" w:type="dxa"/>
          </w:tcPr>
          <w:p w14:paraId="31A36408" w14:textId="77777777" w:rsidR="00525752" w:rsidRPr="00E41C26" w:rsidRDefault="00525752" w:rsidP="009A12C5">
            <w:pPr>
              <w:pStyle w:val="Tabletext"/>
            </w:pPr>
            <w:r w:rsidRPr="00E41C26">
              <w:t xml:space="preserve">Textured Becker Expander/Mammary Implant </w:t>
            </w:r>
          </w:p>
        </w:tc>
      </w:tr>
      <w:tr w:rsidR="00525752" w:rsidRPr="00E41C26" w14:paraId="5DF3ED8D" w14:textId="77777777" w:rsidTr="00114D7C">
        <w:trPr>
          <w:trHeight w:val="335"/>
        </w:trPr>
        <w:tc>
          <w:tcPr>
            <w:tcW w:w="0" w:type="auto"/>
          </w:tcPr>
          <w:p w14:paraId="37917A72" w14:textId="77777777" w:rsidR="00525752" w:rsidRPr="00E41C26" w:rsidRDefault="00525752" w:rsidP="009A12C5">
            <w:pPr>
              <w:pStyle w:val="Tabletext"/>
            </w:pPr>
            <w:r w:rsidRPr="00E41C26">
              <w:t xml:space="preserve">226977 </w:t>
            </w:r>
          </w:p>
        </w:tc>
        <w:tc>
          <w:tcPr>
            <w:tcW w:w="3596" w:type="dxa"/>
          </w:tcPr>
          <w:p w14:paraId="631328D3" w14:textId="77777777" w:rsidR="00525752" w:rsidRPr="00E41C26" w:rsidRDefault="00525752" w:rsidP="009A12C5">
            <w:pPr>
              <w:pStyle w:val="Tabletext"/>
            </w:pPr>
            <w:r w:rsidRPr="00E41C26">
              <w:t xml:space="preserve">Mentor Siltex Contour Profile Breast Tissue Expander </w:t>
            </w:r>
          </w:p>
        </w:tc>
        <w:tc>
          <w:tcPr>
            <w:tcW w:w="4678" w:type="dxa"/>
          </w:tcPr>
          <w:p w14:paraId="71121671" w14:textId="77777777" w:rsidR="00525752" w:rsidRPr="00E41C26" w:rsidRDefault="00525752" w:rsidP="009A12C5">
            <w:pPr>
              <w:pStyle w:val="Tabletext"/>
            </w:pPr>
            <w:r w:rsidRPr="00E41C26">
              <w:t xml:space="preserve">Siltex Contour Profile Breast Tissue Expander (CPX4) </w:t>
            </w:r>
          </w:p>
        </w:tc>
      </w:tr>
      <w:tr w:rsidR="00525752" w:rsidRPr="00E41C26" w14:paraId="7763952E" w14:textId="77777777" w:rsidTr="00114D7C">
        <w:trPr>
          <w:trHeight w:val="415"/>
        </w:trPr>
        <w:tc>
          <w:tcPr>
            <w:tcW w:w="0" w:type="auto"/>
          </w:tcPr>
          <w:p w14:paraId="71ED27D7" w14:textId="77777777" w:rsidR="00525752" w:rsidRPr="00E41C26" w:rsidRDefault="00525752" w:rsidP="009A12C5">
            <w:pPr>
              <w:pStyle w:val="Tabletext"/>
            </w:pPr>
            <w:r w:rsidRPr="00E41C26">
              <w:t xml:space="preserve">226982 </w:t>
            </w:r>
          </w:p>
        </w:tc>
        <w:tc>
          <w:tcPr>
            <w:tcW w:w="3596" w:type="dxa"/>
          </w:tcPr>
          <w:p w14:paraId="321E5958" w14:textId="77777777" w:rsidR="00525752" w:rsidRPr="00E41C26" w:rsidRDefault="00525752" w:rsidP="009A12C5">
            <w:pPr>
              <w:pStyle w:val="Tabletext"/>
            </w:pPr>
            <w:r w:rsidRPr="00E41C26">
              <w:t xml:space="preserve">Mentor Siltex Contour Profile Breast Tissue Expander </w:t>
            </w:r>
          </w:p>
        </w:tc>
        <w:tc>
          <w:tcPr>
            <w:tcW w:w="4678" w:type="dxa"/>
          </w:tcPr>
          <w:p w14:paraId="515650B8" w14:textId="77777777" w:rsidR="00525752" w:rsidRPr="00E41C26" w:rsidRDefault="00525752" w:rsidP="009A12C5">
            <w:pPr>
              <w:pStyle w:val="Tabletext"/>
            </w:pPr>
            <w:r w:rsidRPr="00E41C26">
              <w:t xml:space="preserve">Siltex Contour Profile Breast Tissue Expander (CPX4) with suture tabs </w:t>
            </w:r>
          </w:p>
        </w:tc>
      </w:tr>
      <w:tr w:rsidR="00525752" w:rsidRPr="00E41C26" w14:paraId="5AD1061F" w14:textId="77777777" w:rsidTr="00114D7C">
        <w:trPr>
          <w:trHeight w:val="254"/>
        </w:trPr>
        <w:tc>
          <w:tcPr>
            <w:tcW w:w="765" w:type="dxa"/>
          </w:tcPr>
          <w:p w14:paraId="425F0CF5" w14:textId="77777777" w:rsidR="00525752" w:rsidRPr="00E41C26" w:rsidRDefault="00525752" w:rsidP="009A12C5">
            <w:pPr>
              <w:pStyle w:val="Tabletext"/>
            </w:pPr>
            <w:r>
              <w:t>110592</w:t>
            </w:r>
          </w:p>
        </w:tc>
        <w:tc>
          <w:tcPr>
            <w:tcW w:w="3596" w:type="dxa"/>
          </w:tcPr>
          <w:p w14:paraId="5380E799" w14:textId="77777777" w:rsidR="00525752" w:rsidRPr="00E41C26" w:rsidRDefault="00525752" w:rsidP="009A12C5">
            <w:pPr>
              <w:pStyle w:val="Tabletext"/>
            </w:pPr>
            <w:r w:rsidRPr="00E41C26">
              <w:t xml:space="preserve">Mentor Siltex Round Gel Implant </w:t>
            </w:r>
          </w:p>
        </w:tc>
        <w:tc>
          <w:tcPr>
            <w:tcW w:w="4678" w:type="dxa"/>
          </w:tcPr>
          <w:p w14:paraId="1341B532" w14:textId="77777777" w:rsidR="00525752" w:rsidRPr="00E41C26" w:rsidRDefault="00525752" w:rsidP="009A12C5">
            <w:pPr>
              <w:pStyle w:val="Tabletext"/>
            </w:pPr>
            <w:r w:rsidRPr="00E41C26">
              <w:t xml:space="preserve">Textured, Round Cohesive l Gel implant </w:t>
            </w:r>
          </w:p>
        </w:tc>
      </w:tr>
      <w:tr w:rsidR="00525752" w:rsidRPr="00E41C26" w14:paraId="18651E88" w14:textId="77777777" w:rsidTr="00114D7C">
        <w:trPr>
          <w:trHeight w:val="254"/>
        </w:trPr>
        <w:tc>
          <w:tcPr>
            <w:tcW w:w="0" w:type="auto"/>
          </w:tcPr>
          <w:p w14:paraId="1FE4ADA1" w14:textId="77777777" w:rsidR="00525752" w:rsidRPr="00E41C26" w:rsidRDefault="00525752" w:rsidP="009A12C5">
            <w:pPr>
              <w:pStyle w:val="Tabletext"/>
            </w:pPr>
            <w:r w:rsidRPr="00E41C26">
              <w:t xml:space="preserve">110589 </w:t>
            </w:r>
          </w:p>
        </w:tc>
        <w:tc>
          <w:tcPr>
            <w:tcW w:w="3596" w:type="dxa"/>
          </w:tcPr>
          <w:p w14:paraId="22E5AF37" w14:textId="77777777" w:rsidR="00525752" w:rsidRPr="00E41C26" w:rsidRDefault="00525752" w:rsidP="009A12C5">
            <w:pPr>
              <w:pStyle w:val="Tabletext"/>
            </w:pPr>
            <w:r w:rsidRPr="00E41C26">
              <w:t xml:space="preserve">Mentor Siltex Round Gel Implant </w:t>
            </w:r>
          </w:p>
        </w:tc>
        <w:tc>
          <w:tcPr>
            <w:tcW w:w="4678" w:type="dxa"/>
          </w:tcPr>
          <w:p w14:paraId="607F8D85" w14:textId="77777777" w:rsidR="00525752" w:rsidRPr="00E41C26" w:rsidRDefault="00525752" w:rsidP="009A12C5">
            <w:pPr>
              <w:pStyle w:val="Tabletext"/>
            </w:pPr>
            <w:r w:rsidRPr="00E41C26">
              <w:t xml:space="preserve">Textured, Round Cohesive Gel ll Implant </w:t>
            </w:r>
          </w:p>
        </w:tc>
      </w:tr>
      <w:tr w:rsidR="00525752" w:rsidRPr="00E41C26" w14:paraId="4D8E00DF" w14:textId="77777777" w:rsidTr="00114D7C">
        <w:trPr>
          <w:trHeight w:val="254"/>
        </w:trPr>
        <w:tc>
          <w:tcPr>
            <w:tcW w:w="0" w:type="auto"/>
          </w:tcPr>
          <w:p w14:paraId="7A50FA81" w14:textId="77777777" w:rsidR="00525752" w:rsidRPr="00E41C26" w:rsidRDefault="00525752" w:rsidP="009A12C5">
            <w:pPr>
              <w:pStyle w:val="Tabletext"/>
            </w:pPr>
            <w:r w:rsidRPr="00E41C26">
              <w:t xml:space="preserve">130678 </w:t>
            </w:r>
          </w:p>
        </w:tc>
        <w:tc>
          <w:tcPr>
            <w:tcW w:w="3596" w:type="dxa"/>
          </w:tcPr>
          <w:p w14:paraId="0FA7226C" w14:textId="77777777" w:rsidR="00525752" w:rsidRPr="00E41C26" w:rsidRDefault="00525752" w:rsidP="009A12C5">
            <w:pPr>
              <w:pStyle w:val="Tabletext"/>
            </w:pPr>
            <w:r w:rsidRPr="00E41C26">
              <w:t xml:space="preserve">Mentor Contour Profile Gel Implant </w:t>
            </w:r>
          </w:p>
        </w:tc>
        <w:tc>
          <w:tcPr>
            <w:tcW w:w="4678" w:type="dxa"/>
          </w:tcPr>
          <w:p w14:paraId="19E050F2" w14:textId="77777777" w:rsidR="00525752" w:rsidRPr="00E41C26" w:rsidRDefault="00525752" w:rsidP="009A12C5">
            <w:pPr>
              <w:pStyle w:val="Tabletext"/>
            </w:pPr>
            <w:r w:rsidRPr="00E41C26">
              <w:t xml:space="preserve">Textured, Contour Profile, Cohesive lll, Gel implant </w:t>
            </w:r>
          </w:p>
        </w:tc>
      </w:tr>
    </w:tbl>
    <w:p w14:paraId="5BC44440" w14:textId="77777777" w:rsidR="000F26B4" w:rsidRPr="009A12C5" w:rsidRDefault="00525752" w:rsidP="00525752">
      <w:pPr>
        <w:keepNext/>
        <w:keepLines/>
        <w:tabs>
          <w:tab w:val="left" w:pos="720"/>
          <w:tab w:val="left" w:pos="1140"/>
        </w:tabs>
        <w:spacing w:after="240"/>
        <w:rPr>
          <w:rFonts w:ascii="Arial Narrow" w:hAnsi="Arial Narrow" w:cstheme="minorHAnsi"/>
          <w:sz w:val="18"/>
          <w:szCs w:val="16"/>
        </w:rPr>
      </w:pPr>
      <w:r w:rsidRPr="009A12C5">
        <w:rPr>
          <w:rFonts w:ascii="Arial Narrow" w:hAnsi="Arial Narrow" w:cstheme="minorHAnsi"/>
          <w:sz w:val="18"/>
          <w:szCs w:val="16"/>
        </w:rPr>
        <w:t>Source: Commentary Appendix A p32</w:t>
      </w:r>
    </w:p>
    <w:p w14:paraId="137B31E8" w14:textId="77777777" w:rsidR="003647F8" w:rsidRPr="00F715D1" w:rsidRDefault="003647F8" w:rsidP="003647F8">
      <w:pPr>
        <w:pStyle w:val="Heading1"/>
      </w:pPr>
      <w:r w:rsidRPr="00F715D1">
        <w:t>Proposal for public funding</w:t>
      </w:r>
    </w:p>
    <w:p w14:paraId="78363EE9" w14:textId="366065A9" w:rsidR="007630B4" w:rsidRDefault="0026051C" w:rsidP="003647F8">
      <w:pPr>
        <w:tabs>
          <w:tab w:val="left" w:pos="720"/>
          <w:tab w:val="left" w:pos="1140"/>
        </w:tabs>
        <w:spacing w:after="240"/>
        <w:rPr>
          <w:szCs w:val="24"/>
        </w:rPr>
      </w:pPr>
      <w:r w:rsidRPr="00F367CB">
        <w:rPr>
          <w:szCs w:val="24"/>
        </w:rPr>
        <w:t xml:space="preserve">This </w:t>
      </w:r>
      <w:r w:rsidR="006B7085">
        <w:rPr>
          <w:szCs w:val="24"/>
        </w:rPr>
        <w:t>submission</w:t>
      </w:r>
      <w:r w:rsidRPr="00F367CB">
        <w:rPr>
          <w:szCs w:val="24"/>
        </w:rPr>
        <w:t xml:space="preserve"> </w:t>
      </w:r>
      <w:r w:rsidR="00322300">
        <w:rPr>
          <w:szCs w:val="24"/>
        </w:rPr>
        <w:t>did</w:t>
      </w:r>
      <w:r w:rsidRPr="00F367CB">
        <w:rPr>
          <w:szCs w:val="24"/>
        </w:rPr>
        <w:t xml:space="preserve"> not seek to alter the MBS item descriptor/s in any way.</w:t>
      </w:r>
      <w:r w:rsidR="006043CA">
        <w:rPr>
          <w:szCs w:val="24"/>
        </w:rPr>
        <w:t xml:space="preserve"> </w:t>
      </w:r>
    </w:p>
    <w:p w14:paraId="5418623C" w14:textId="508CEFC1" w:rsidR="0026051C" w:rsidRPr="00F367CB" w:rsidRDefault="006043CA" w:rsidP="003647F8">
      <w:pPr>
        <w:tabs>
          <w:tab w:val="left" w:pos="720"/>
          <w:tab w:val="left" w:pos="1140"/>
        </w:tabs>
        <w:spacing w:after="240"/>
        <w:rPr>
          <w:szCs w:val="24"/>
        </w:rPr>
      </w:pPr>
      <w:r>
        <w:rPr>
          <w:szCs w:val="24"/>
        </w:rPr>
        <w:t xml:space="preserve">The focus of the </w:t>
      </w:r>
      <w:r w:rsidR="006B7085">
        <w:rPr>
          <w:szCs w:val="24"/>
        </w:rPr>
        <w:t>submission</w:t>
      </w:r>
      <w:r w:rsidR="00322300">
        <w:rPr>
          <w:szCs w:val="24"/>
        </w:rPr>
        <w:t xml:space="preserve"> wa</w:t>
      </w:r>
      <w:r>
        <w:rPr>
          <w:szCs w:val="24"/>
        </w:rPr>
        <w:t xml:space="preserve">s whether </w:t>
      </w:r>
      <w:r w:rsidRPr="006043CA">
        <w:rPr>
          <w:szCs w:val="24"/>
        </w:rPr>
        <w:t>the higher benefit payable for Mentor textured breast implants on the PL, compared with smooth breast implants</w:t>
      </w:r>
      <w:r>
        <w:rPr>
          <w:szCs w:val="24"/>
        </w:rPr>
        <w:t xml:space="preserve"> is justified</w:t>
      </w:r>
      <w:r w:rsidRPr="006043CA">
        <w:rPr>
          <w:szCs w:val="24"/>
        </w:rPr>
        <w:t>.</w:t>
      </w:r>
    </w:p>
    <w:p w14:paraId="467D7FB9" w14:textId="25FAFBE3" w:rsidR="003647F8" w:rsidRPr="00F715D1" w:rsidRDefault="003647F8" w:rsidP="003647F8">
      <w:pPr>
        <w:pStyle w:val="Heading1"/>
      </w:pPr>
      <w:r w:rsidRPr="00F715D1">
        <w:t xml:space="preserve">Summary of </w:t>
      </w:r>
      <w:r w:rsidR="00323375">
        <w:t>public c</w:t>
      </w:r>
      <w:r w:rsidRPr="00F715D1">
        <w:t xml:space="preserve">onsultation </w:t>
      </w:r>
      <w:r w:rsidR="00323375">
        <w:t>feedback/consumer i</w:t>
      </w:r>
      <w:r w:rsidRPr="00F715D1">
        <w:t>ssues</w:t>
      </w:r>
    </w:p>
    <w:p w14:paraId="5799B393" w14:textId="380D6BC3" w:rsidR="00F367CB" w:rsidRDefault="00E33630" w:rsidP="003647F8">
      <w:pPr>
        <w:spacing w:after="240"/>
        <w:rPr>
          <w:szCs w:val="24"/>
        </w:rPr>
      </w:pPr>
      <w:r w:rsidRPr="000F2DC0">
        <w:rPr>
          <w:lang w:val="en-US"/>
        </w:rPr>
        <w:t>Three independent clinical experts provided advice to MSAC</w:t>
      </w:r>
      <w:r>
        <w:rPr>
          <w:lang w:val="en-US"/>
        </w:rPr>
        <w:t xml:space="preserve">. </w:t>
      </w:r>
      <w:r w:rsidR="007B17D8">
        <w:rPr>
          <w:lang w:val="en-US"/>
        </w:rPr>
        <w:t xml:space="preserve">The clinicians </w:t>
      </w:r>
      <w:r w:rsidR="00C90E3E">
        <w:rPr>
          <w:lang w:val="en-US"/>
        </w:rPr>
        <w:t>advised</w:t>
      </w:r>
      <w:r w:rsidR="00C90E3E" w:rsidRPr="000F2DC0">
        <w:rPr>
          <w:lang w:val="en-US"/>
        </w:rPr>
        <w:t xml:space="preserve"> </w:t>
      </w:r>
      <w:r w:rsidR="007B17D8" w:rsidRPr="000F2DC0">
        <w:rPr>
          <w:lang w:val="en-US"/>
        </w:rPr>
        <w:t>that</w:t>
      </w:r>
      <w:r w:rsidR="007B17D8">
        <w:rPr>
          <w:lang w:val="en-US"/>
        </w:rPr>
        <w:t xml:space="preserve"> the use of</w:t>
      </w:r>
      <w:r w:rsidR="007B17D8" w:rsidRPr="000F2DC0">
        <w:rPr>
          <w:lang w:val="en-US"/>
        </w:rPr>
        <w:t xml:space="preserve"> </w:t>
      </w:r>
      <w:r w:rsidR="007B17D8" w:rsidRPr="0052361E">
        <w:rPr>
          <w:lang w:val="en-US"/>
        </w:rPr>
        <w:t>textured breast implants do</w:t>
      </w:r>
      <w:r w:rsidR="007B17D8">
        <w:rPr>
          <w:lang w:val="en-US"/>
        </w:rPr>
        <w:t>es</w:t>
      </w:r>
      <w:r w:rsidR="007B17D8" w:rsidRPr="0052361E">
        <w:rPr>
          <w:lang w:val="en-US"/>
        </w:rPr>
        <w:t xml:space="preserve"> have a specific place in </w:t>
      </w:r>
      <w:r w:rsidR="00C90E3E">
        <w:rPr>
          <w:lang w:val="en-US"/>
        </w:rPr>
        <w:t>the</w:t>
      </w:r>
      <w:r w:rsidR="007B17D8" w:rsidRPr="0052361E">
        <w:rPr>
          <w:lang w:val="en-US"/>
        </w:rPr>
        <w:t xml:space="preserve"> group of women who do not have a tissue-based breast reconstruction, but rather have a saline or gel implant. </w:t>
      </w:r>
      <w:r w:rsidR="00C90E3E">
        <w:rPr>
          <w:lang w:val="en-US"/>
        </w:rPr>
        <w:t xml:space="preserve">The experts highlighted the wide variability in how breast reconstructions using breast implants and </w:t>
      </w:r>
      <w:r w:rsidR="00B73FD9">
        <w:rPr>
          <w:lang w:val="en-US"/>
        </w:rPr>
        <w:t xml:space="preserve">tissue </w:t>
      </w:r>
      <w:r w:rsidR="00C90E3E">
        <w:rPr>
          <w:lang w:val="en-US"/>
        </w:rPr>
        <w:t xml:space="preserve">expanders are performed. </w:t>
      </w:r>
      <w:r w:rsidRPr="0052361E">
        <w:rPr>
          <w:lang w:val="en-US"/>
        </w:rPr>
        <w:t xml:space="preserve">While </w:t>
      </w:r>
      <w:r>
        <w:rPr>
          <w:lang w:val="en-US"/>
        </w:rPr>
        <w:t xml:space="preserve">the clinicians </w:t>
      </w:r>
      <w:r w:rsidRPr="0052361E">
        <w:rPr>
          <w:lang w:val="en-US"/>
        </w:rPr>
        <w:t>ack</w:t>
      </w:r>
      <w:r>
        <w:rPr>
          <w:lang w:val="en-US"/>
        </w:rPr>
        <w:t>nowledged</w:t>
      </w:r>
      <w:r w:rsidRPr="0052361E">
        <w:rPr>
          <w:lang w:val="en-US"/>
        </w:rPr>
        <w:t xml:space="preserve"> a real </w:t>
      </w:r>
      <w:r>
        <w:rPr>
          <w:lang w:val="en-US"/>
        </w:rPr>
        <w:t xml:space="preserve">risk and increased diagnosis </w:t>
      </w:r>
      <w:r w:rsidRPr="0052361E">
        <w:rPr>
          <w:lang w:val="en-US"/>
        </w:rPr>
        <w:t xml:space="preserve">of </w:t>
      </w:r>
      <w:r>
        <w:rPr>
          <w:lang w:val="en-US"/>
        </w:rPr>
        <w:t>BIA-</w:t>
      </w:r>
      <w:r w:rsidRPr="0052361E">
        <w:rPr>
          <w:lang w:val="en-US"/>
        </w:rPr>
        <w:t xml:space="preserve">ALCL associated with textured breast implants, </w:t>
      </w:r>
      <w:r>
        <w:rPr>
          <w:lang w:val="en-US"/>
        </w:rPr>
        <w:t xml:space="preserve">they considered the risk </w:t>
      </w:r>
      <w:r w:rsidRPr="0052361E">
        <w:rPr>
          <w:lang w:val="en-US"/>
        </w:rPr>
        <w:t>to be very small for micro</w:t>
      </w:r>
      <w:r w:rsidR="00F5469B">
        <w:rPr>
          <w:lang w:val="en-US"/>
        </w:rPr>
        <w:t>-</w:t>
      </w:r>
      <w:r w:rsidRPr="0052361E">
        <w:rPr>
          <w:lang w:val="en-US"/>
        </w:rPr>
        <w:t>textured implants in comparison to the benefits provided</w:t>
      </w:r>
      <w:r>
        <w:rPr>
          <w:lang w:val="en-US"/>
        </w:rPr>
        <w:t>. It was also considered that the risk of BIA-ALCL in the post-m</w:t>
      </w:r>
      <w:r w:rsidRPr="00EB2F7F">
        <w:rPr>
          <w:lang w:val="en-US"/>
        </w:rPr>
        <w:t>astectomy due to cancer</w:t>
      </w:r>
      <w:r>
        <w:rPr>
          <w:lang w:val="en-US"/>
        </w:rPr>
        <w:t xml:space="preserve"> group may be viewed differently than for other populations. </w:t>
      </w:r>
      <w:r w:rsidR="008D501B">
        <w:rPr>
          <w:lang w:val="en-US"/>
        </w:rPr>
        <w:t>The</w:t>
      </w:r>
      <w:r w:rsidR="006043CA">
        <w:rPr>
          <w:lang w:val="en-US"/>
        </w:rPr>
        <w:t xml:space="preserve"> experts</w:t>
      </w:r>
      <w:r w:rsidR="008D501B">
        <w:rPr>
          <w:lang w:val="en-US"/>
        </w:rPr>
        <w:t xml:space="preserve"> stated that r</w:t>
      </w:r>
      <w:r w:rsidR="008D501B" w:rsidRPr="0052361E">
        <w:rPr>
          <w:lang w:val="en-US"/>
        </w:rPr>
        <w:t xml:space="preserve">etaining the availability of </w:t>
      </w:r>
      <w:r w:rsidR="00BE2210">
        <w:rPr>
          <w:lang w:val="en-US"/>
        </w:rPr>
        <w:t xml:space="preserve">Mentor </w:t>
      </w:r>
      <w:r w:rsidR="008D501B" w:rsidRPr="0052361E">
        <w:rPr>
          <w:lang w:val="en-US"/>
        </w:rPr>
        <w:t xml:space="preserve">textured </w:t>
      </w:r>
      <w:r w:rsidR="00B73FD9">
        <w:rPr>
          <w:lang w:val="en-US"/>
        </w:rPr>
        <w:t>breast tissue</w:t>
      </w:r>
      <w:r w:rsidR="008D501B" w:rsidRPr="0052361E">
        <w:rPr>
          <w:lang w:val="en-US"/>
        </w:rPr>
        <w:t xml:space="preserve"> expanders is of p</w:t>
      </w:r>
      <w:r w:rsidR="008D501B">
        <w:rPr>
          <w:lang w:val="en-US"/>
        </w:rPr>
        <w:t>articular interest</w:t>
      </w:r>
      <w:r w:rsidR="008D501B" w:rsidRPr="0052361E">
        <w:rPr>
          <w:lang w:val="en-US"/>
        </w:rPr>
        <w:t xml:space="preserve"> </w:t>
      </w:r>
      <w:r w:rsidR="008D501B">
        <w:rPr>
          <w:lang w:val="en-US"/>
        </w:rPr>
        <w:t>because</w:t>
      </w:r>
      <w:r w:rsidR="008D501B" w:rsidRPr="0052361E">
        <w:rPr>
          <w:lang w:val="en-US"/>
        </w:rPr>
        <w:t xml:space="preserve"> </w:t>
      </w:r>
      <w:r w:rsidR="006043CA">
        <w:rPr>
          <w:lang w:val="en-US"/>
        </w:rPr>
        <w:t>there are no</w:t>
      </w:r>
      <w:r w:rsidR="00BE2210">
        <w:rPr>
          <w:lang w:val="en-US"/>
        </w:rPr>
        <w:t xml:space="preserve"> </w:t>
      </w:r>
      <w:r w:rsidR="006043CA">
        <w:rPr>
          <w:lang w:val="en-US"/>
        </w:rPr>
        <w:t xml:space="preserve">smooth </w:t>
      </w:r>
      <w:r w:rsidR="002865DD">
        <w:rPr>
          <w:lang w:val="en-US"/>
        </w:rPr>
        <w:t xml:space="preserve">tissue </w:t>
      </w:r>
      <w:r w:rsidR="006043CA">
        <w:rPr>
          <w:lang w:val="en-US"/>
        </w:rPr>
        <w:t>expanders available</w:t>
      </w:r>
      <w:r w:rsidR="009A6895">
        <w:rPr>
          <w:lang w:val="en-US"/>
        </w:rPr>
        <w:t xml:space="preserve">, </w:t>
      </w:r>
      <w:r w:rsidR="00B73FD9">
        <w:rPr>
          <w:lang w:val="en-US"/>
        </w:rPr>
        <w:t xml:space="preserve">tissue </w:t>
      </w:r>
      <w:r w:rsidR="009A6895">
        <w:rPr>
          <w:lang w:val="en-US"/>
        </w:rPr>
        <w:t>expanders are a temporary measure,</w:t>
      </w:r>
      <w:r w:rsidR="006043CA">
        <w:rPr>
          <w:lang w:val="en-US"/>
        </w:rPr>
        <w:t xml:space="preserve"> and </w:t>
      </w:r>
      <w:r w:rsidR="00C90E3E">
        <w:rPr>
          <w:lang w:val="en-US"/>
        </w:rPr>
        <w:t>a small group of</w:t>
      </w:r>
      <w:r w:rsidR="00C90E3E" w:rsidRPr="0052361E">
        <w:rPr>
          <w:lang w:val="en-US"/>
        </w:rPr>
        <w:t xml:space="preserve"> </w:t>
      </w:r>
      <w:r w:rsidR="008D501B" w:rsidRPr="0052361E">
        <w:rPr>
          <w:lang w:val="en-US"/>
        </w:rPr>
        <w:t>women would otherwise not be able to have a breast reconstruction</w:t>
      </w:r>
      <w:r>
        <w:rPr>
          <w:lang w:val="en-US"/>
        </w:rPr>
        <w:t>.</w:t>
      </w:r>
    </w:p>
    <w:p w14:paraId="3E8AE04D" w14:textId="77777777" w:rsidR="003647F8" w:rsidRPr="00F715D1" w:rsidRDefault="003647F8" w:rsidP="003647F8">
      <w:pPr>
        <w:pStyle w:val="Heading1"/>
      </w:pPr>
      <w:r w:rsidRPr="00F715D1">
        <w:lastRenderedPageBreak/>
        <w:t>Proposed intervention’s place in clinical management</w:t>
      </w:r>
    </w:p>
    <w:p w14:paraId="733FBDB4" w14:textId="54DCB067" w:rsidR="00A50F2A" w:rsidRDefault="00A35E6F" w:rsidP="00114D7C">
      <w:pPr>
        <w:spacing w:after="240"/>
      </w:pPr>
      <w:r>
        <w:t xml:space="preserve">The </w:t>
      </w:r>
      <w:r w:rsidR="00C1197E">
        <w:t>submission</w:t>
      </w:r>
      <w:r>
        <w:t xml:space="preserve"> indicated </w:t>
      </w:r>
      <w:r w:rsidR="00345F7C">
        <w:t xml:space="preserve">Mentor textured breast implants and </w:t>
      </w:r>
      <w:r w:rsidR="00A50F2A">
        <w:t xml:space="preserve">tissue </w:t>
      </w:r>
      <w:r w:rsidR="00345F7C">
        <w:t>expanders are one of several surgical options used in patients undergoing breast reconstruction and breast augmentation.</w:t>
      </w:r>
      <w:r w:rsidR="00A50F2A">
        <w:t xml:space="preserve"> The commentary noted that </w:t>
      </w:r>
      <w:r w:rsidR="00A50F2A" w:rsidRPr="00A50F2A">
        <w:t>Mentor textured saline filled implants and tissue expanders are listed on the PL but are not within scope, so the assessment essentially relates to Mentor textured gel filled implants only.</w:t>
      </w:r>
    </w:p>
    <w:p w14:paraId="70CBB1E7" w14:textId="5A25FDE6" w:rsidR="00C73457" w:rsidRDefault="00C73457" w:rsidP="00C73457">
      <w:pPr>
        <w:keepNext/>
        <w:rPr>
          <w:i/>
          <w:szCs w:val="24"/>
        </w:rPr>
      </w:pPr>
      <w:r>
        <w:rPr>
          <w:i/>
          <w:szCs w:val="24"/>
        </w:rPr>
        <w:t>Breast reconstruction</w:t>
      </w:r>
    </w:p>
    <w:p w14:paraId="4C0C99C5" w14:textId="5E83A6B7" w:rsidR="003A673A" w:rsidRPr="005709FF" w:rsidRDefault="003A673A" w:rsidP="003A673A">
      <w:pPr>
        <w:rPr>
          <w:szCs w:val="24"/>
        </w:rPr>
      </w:pPr>
      <w:r w:rsidRPr="00D22416">
        <w:rPr>
          <w:szCs w:val="24"/>
        </w:rPr>
        <w:t xml:space="preserve">The </w:t>
      </w:r>
      <w:r w:rsidR="00C1197E">
        <w:rPr>
          <w:szCs w:val="24"/>
        </w:rPr>
        <w:t>submission</w:t>
      </w:r>
      <w:r>
        <w:rPr>
          <w:szCs w:val="24"/>
        </w:rPr>
        <w:t xml:space="preserve"> stated patients undergoing </w:t>
      </w:r>
      <w:r w:rsidRPr="00D22416">
        <w:rPr>
          <w:szCs w:val="24"/>
        </w:rPr>
        <w:t xml:space="preserve">primary and revision breast </w:t>
      </w:r>
      <w:r>
        <w:rPr>
          <w:szCs w:val="24"/>
        </w:rPr>
        <w:t>reconstruction who are potentially eligible for treatment with breast implants are</w:t>
      </w:r>
      <w:r w:rsidRPr="00D22416">
        <w:rPr>
          <w:szCs w:val="24"/>
        </w:rPr>
        <w:t xml:space="preserve"> within scope of the review.</w:t>
      </w:r>
      <w:r>
        <w:rPr>
          <w:szCs w:val="24"/>
        </w:rPr>
        <w:t xml:space="preserve"> The </w:t>
      </w:r>
      <w:r w:rsidR="00C1197E">
        <w:rPr>
          <w:szCs w:val="24"/>
        </w:rPr>
        <w:t>submission</w:t>
      </w:r>
      <w:r>
        <w:rPr>
          <w:szCs w:val="24"/>
        </w:rPr>
        <w:t xml:space="preserve"> stated the overall category of breast reconstruction surgery includes subcategories involving </w:t>
      </w:r>
      <w:r w:rsidRPr="005709FF">
        <w:rPr>
          <w:szCs w:val="24"/>
        </w:rPr>
        <w:t>replacement of missing breast volume in the following situations:</w:t>
      </w:r>
    </w:p>
    <w:p w14:paraId="1A73F2E9" w14:textId="77777777" w:rsidR="003A673A" w:rsidRPr="005709FF" w:rsidRDefault="003A673A" w:rsidP="003A673A">
      <w:pPr>
        <w:pStyle w:val="ListParagraph"/>
        <w:numPr>
          <w:ilvl w:val="0"/>
          <w:numId w:val="2"/>
        </w:numPr>
        <w:rPr>
          <w:szCs w:val="24"/>
        </w:rPr>
      </w:pPr>
      <w:r w:rsidRPr="005709FF">
        <w:rPr>
          <w:szCs w:val="24"/>
        </w:rPr>
        <w:t>following mastectomy due to cancer (including prophylac</w:t>
      </w:r>
      <w:r>
        <w:rPr>
          <w:szCs w:val="24"/>
        </w:rPr>
        <w:t>tic mastectomy)</w:t>
      </w:r>
    </w:p>
    <w:p w14:paraId="6D3A8E0A" w14:textId="77777777" w:rsidR="003A673A" w:rsidRPr="005709FF" w:rsidRDefault="003A673A" w:rsidP="003A673A">
      <w:pPr>
        <w:pStyle w:val="ListParagraph"/>
        <w:numPr>
          <w:ilvl w:val="0"/>
          <w:numId w:val="2"/>
        </w:numPr>
        <w:rPr>
          <w:szCs w:val="24"/>
        </w:rPr>
      </w:pPr>
      <w:r>
        <w:rPr>
          <w:szCs w:val="24"/>
        </w:rPr>
        <w:t>to correct trauma to the breast</w:t>
      </w:r>
    </w:p>
    <w:p w14:paraId="7A67F4B7" w14:textId="77777777" w:rsidR="003A673A" w:rsidRPr="005709FF" w:rsidRDefault="003A673A" w:rsidP="003A673A">
      <w:pPr>
        <w:pStyle w:val="ListParagraph"/>
        <w:numPr>
          <w:ilvl w:val="0"/>
          <w:numId w:val="2"/>
        </w:numPr>
        <w:rPr>
          <w:szCs w:val="24"/>
        </w:rPr>
      </w:pPr>
      <w:r w:rsidRPr="005709FF">
        <w:rPr>
          <w:szCs w:val="24"/>
        </w:rPr>
        <w:t>to address congenital deformities</w:t>
      </w:r>
      <w:r>
        <w:rPr>
          <w:szCs w:val="24"/>
        </w:rPr>
        <w:t>,</w:t>
      </w:r>
      <w:r w:rsidRPr="005709FF">
        <w:rPr>
          <w:szCs w:val="24"/>
        </w:rPr>
        <w:t xml:space="preserve"> or</w:t>
      </w:r>
    </w:p>
    <w:p w14:paraId="06D72EE1" w14:textId="46B95BC7" w:rsidR="00B73FD9" w:rsidRPr="00114D7C" w:rsidRDefault="003A673A" w:rsidP="00114D7C">
      <w:pPr>
        <w:pStyle w:val="ListParagraph"/>
        <w:numPr>
          <w:ilvl w:val="0"/>
          <w:numId w:val="2"/>
        </w:numPr>
        <w:rPr>
          <w:szCs w:val="24"/>
        </w:rPr>
      </w:pPr>
      <w:r w:rsidRPr="005709FF">
        <w:rPr>
          <w:szCs w:val="24"/>
        </w:rPr>
        <w:t>to correct severe breast ptosis.</w:t>
      </w:r>
    </w:p>
    <w:p w14:paraId="5CC6BC2B" w14:textId="47BC8ACF" w:rsidR="003A673A" w:rsidRDefault="003A673A" w:rsidP="00114D7C">
      <w:pPr>
        <w:spacing w:before="240" w:after="240"/>
        <w:rPr>
          <w:szCs w:val="24"/>
        </w:rPr>
      </w:pPr>
      <w:r w:rsidRPr="005709FF">
        <w:rPr>
          <w:szCs w:val="24"/>
        </w:rPr>
        <w:t xml:space="preserve">In addition, </w:t>
      </w:r>
      <w:r>
        <w:rPr>
          <w:szCs w:val="24"/>
        </w:rPr>
        <w:t xml:space="preserve">breast implants and </w:t>
      </w:r>
      <w:r w:rsidR="00B73FD9">
        <w:rPr>
          <w:szCs w:val="24"/>
        </w:rPr>
        <w:t xml:space="preserve">tissue </w:t>
      </w:r>
      <w:r>
        <w:rPr>
          <w:szCs w:val="24"/>
        </w:rPr>
        <w:t xml:space="preserve">expanders may be used if there is </w:t>
      </w:r>
      <w:r w:rsidRPr="005709FF">
        <w:rPr>
          <w:szCs w:val="24"/>
        </w:rPr>
        <w:t>a need to replace or revise previously reconstructed breasts.</w:t>
      </w:r>
    </w:p>
    <w:p w14:paraId="24AC388A" w14:textId="77777777" w:rsidR="00195754" w:rsidRPr="005709FF" w:rsidRDefault="000B4572" w:rsidP="00195754">
      <w:pPr>
        <w:spacing w:after="240"/>
        <w:rPr>
          <w:szCs w:val="24"/>
        </w:rPr>
      </w:pPr>
      <w:r>
        <w:rPr>
          <w:szCs w:val="24"/>
        </w:rPr>
        <w:t>The c</w:t>
      </w:r>
      <w:r w:rsidR="001D2ECA">
        <w:rPr>
          <w:szCs w:val="24"/>
        </w:rPr>
        <w:t>ommentary noted that a</w:t>
      </w:r>
      <w:r w:rsidR="00195754" w:rsidRPr="00D22416">
        <w:rPr>
          <w:szCs w:val="24"/>
        </w:rPr>
        <w:t>ccording to the ABDR Annual Report 2018, of 1593 post-cancer reconstruction procedures involving breast implants, 37% of insertion procedures were direct-to-implant and 63% were two-stage procedures. For risk-reducing reconstruction, the difference was less marked (of 790 procedures, 54% were direct-to-implant and 46% were two-stage). In contrast, 93% (230/247) of breast implant procedures for developmental deformity are direct-to-implant.</w:t>
      </w:r>
      <w:r w:rsidR="002212F1">
        <w:rPr>
          <w:szCs w:val="24"/>
        </w:rPr>
        <w:t xml:space="preserve"> </w:t>
      </w:r>
      <w:r w:rsidR="00195754" w:rsidRPr="00D22416">
        <w:rPr>
          <w:szCs w:val="24"/>
        </w:rPr>
        <w:t>The staging of insertion procedures and whether breast reconstruction is unilateral or bilateral will have cost implications.</w:t>
      </w:r>
    </w:p>
    <w:p w14:paraId="7E01D87A" w14:textId="77777777" w:rsidR="00C73457" w:rsidRPr="00C73457" w:rsidRDefault="00C73457" w:rsidP="00C73457">
      <w:pPr>
        <w:rPr>
          <w:i/>
          <w:szCs w:val="24"/>
        </w:rPr>
      </w:pPr>
      <w:r>
        <w:rPr>
          <w:i/>
          <w:szCs w:val="24"/>
        </w:rPr>
        <w:t>Breast augmentation</w:t>
      </w:r>
    </w:p>
    <w:p w14:paraId="27DAB210" w14:textId="73BFEF9B" w:rsidR="00D22416" w:rsidRPr="00D22416" w:rsidRDefault="00D22416" w:rsidP="00D22416">
      <w:pPr>
        <w:spacing w:after="240"/>
        <w:rPr>
          <w:szCs w:val="24"/>
        </w:rPr>
      </w:pPr>
      <w:r w:rsidRPr="00D22416">
        <w:rPr>
          <w:szCs w:val="24"/>
        </w:rPr>
        <w:t xml:space="preserve">The </w:t>
      </w:r>
      <w:r w:rsidR="00C1197E">
        <w:rPr>
          <w:szCs w:val="24"/>
        </w:rPr>
        <w:t>submission</w:t>
      </w:r>
      <w:r w:rsidR="00A35E6F">
        <w:rPr>
          <w:szCs w:val="24"/>
        </w:rPr>
        <w:t xml:space="preserve"> </w:t>
      </w:r>
      <w:r w:rsidR="003A673A">
        <w:rPr>
          <w:szCs w:val="24"/>
        </w:rPr>
        <w:t>stated</w:t>
      </w:r>
      <w:r w:rsidR="00A35E6F">
        <w:rPr>
          <w:szCs w:val="24"/>
        </w:rPr>
        <w:t xml:space="preserve"> patient</w:t>
      </w:r>
      <w:r w:rsidR="003A673A">
        <w:rPr>
          <w:szCs w:val="24"/>
        </w:rPr>
        <w:t>s</w:t>
      </w:r>
      <w:r w:rsidR="00A35E6F">
        <w:rPr>
          <w:szCs w:val="24"/>
        </w:rPr>
        <w:t xml:space="preserve"> undergoing </w:t>
      </w:r>
      <w:r w:rsidRPr="00D22416">
        <w:rPr>
          <w:szCs w:val="24"/>
        </w:rPr>
        <w:t>primary and revision breast augmentation</w:t>
      </w:r>
      <w:r w:rsidR="00A35E6F">
        <w:rPr>
          <w:szCs w:val="24"/>
        </w:rPr>
        <w:t xml:space="preserve"> </w:t>
      </w:r>
      <w:r w:rsidR="003A673A">
        <w:rPr>
          <w:szCs w:val="24"/>
        </w:rPr>
        <w:t>who are potentially eligible for treatment with breast implants</w:t>
      </w:r>
      <w:r w:rsidR="00A35E6F">
        <w:rPr>
          <w:szCs w:val="24"/>
        </w:rPr>
        <w:t xml:space="preserve"> are</w:t>
      </w:r>
      <w:r w:rsidRPr="00D22416">
        <w:rPr>
          <w:szCs w:val="24"/>
        </w:rPr>
        <w:t xml:space="preserve"> within scope of the review.</w:t>
      </w:r>
    </w:p>
    <w:p w14:paraId="0BEDDF77" w14:textId="2A493F69" w:rsidR="005709FF" w:rsidRDefault="003A673A" w:rsidP="005709FF">
      <w:pPr>
        <w:spacing w:after="240"/>
        <w:rPr>
          <w:szCs w:val="24"/>
        </w:rPr>
      </w:pPr>
      <w:r>
        <w:rPr>
          <w:szCs w:val="24"/>
        </w:rPr>
        <w:t>However, t</w:t>
      </w:r>
      <w:r w:rsidR="000B4572">
        <w:rPr>
          <w:szCs w:val="24"/>
        </w:rPr>
        <w:t>he c</w:t>
      </w:r>
      <w:r w:rsidR="001D2ECA">
        <w:rPr>
          <w:szCs w:val="24"/>
        </w:rPr>
        <w:t>ommentary</w:t>
      </w:r>
      <w:r w:rsidR="00D22416">
        <w:rPr>
          <w:szCs w:val="24"/>
        </w:rPr>
        <w:t xml:space="preserve"> considered</w:t>
      </w:r>
      <w:r w:rsidR="001D2ECA">
        <w:rPr>
          <w:szCs w:val="24"/>
        </w:rPr>
        <w:t xml:space="preserve"> </w:t>
      </w:r>
      <w:r w:rsidR="00E828DE">
        <w:rPr>
          <w:szCs w:val="24"/>
        </w:rPr>
        <w:t xml:space="preserve">cosmetic </w:t>
      </w:r>
      <w:r w:rsidR="001D2ECA">
        <w:rPr>
          <w:szCs w:val="24"/>
        </w:rPr>
        <w:t>breast augmentation</w:t>
      </w:r>
      <w:r w:rsidR="00D22416">
        <w:rPr>
          <w:szCs w:val="24"/>
        </w:rPr>
        <w:t xml:space="preserve"> </w:t>
      </w:r>
      <w:r w:rsidR="00D22416" w:rsidRPr="00D22416">
        <w:rPr>
          <w:szCs w:val="24"/>
        </w:rPr>
        <w:t>to be out of scope as</w:t>
      </w:r>
      <w:r w:rsidR="00D22416">
        <w:rPr>
          <w:szCs w:val="24"/>
        </w:rPr>
        <w:t xml:space="preserve"> </w:t>
      </w:r>
      <w:r w:rsidR="005709FF" w:rsidRPr="005709FF">
        <w:rPr>
          <w:szCs w:val="24"/>
        </w:rPr>
        <w:t>this procedure is not covered by PL or MBS arrangements, except in the clinically appropriate situations defined in the MBS items</w:t>
      </w:r>
      <w:r w:rsidR="00F367CB">
        <w:rPr>
          <w:szCs w:val="24"/>
        </w:rPr>
        <w:t xml:space="preserve">. </w:t>
      </w:r>
      <w:r w:rsidR="0047200B">
        <w:rPr>
          <w:szCs w:val="24"/>
        </w:rPr>
        <w:t xml:space="preserve">Such </w:t>
      </w:r>
      <w:r w:rsidR="00F367CB" w:rsidRPr="005709FF">
        <w:rPr>
          <w:szCs w:val="24"/>
        </w:rPr>
        <w:t xml:space="preserve">MBS services </w:t>
      </w:r>
      <w:r w:rsidR="0047200B">
        <w:rPr>
          <w:szCs w:val="24"/>
        </w:rPr>
        <w:t xml:space="preserve">are </w:t>
      </w:r>
      <w:r w:rsidR="00F367CB" w:rsidRPr="005709FF">
        <w:rPr>
          <w:szCs w:val="24"/>
        </w:rPr>
        <w:t>related to th</w:t>
      </w:r>
      <w:r w:rsidR="00926657">
        <w:rPr>
          <w:szCs w:val="24"/>
        </w:rPr>
        <w:t>e correction of breast ptosis</w:t>
      </w:r>
      <w:r w:rsidR="00F367CB" w:rsidRPr="005709FF">
        <w:rPr>
          <w:szCs w:val="24"/>
        </w:rPr>
        <w:t xml:space="preserve"> in the context of breast cancer or developmental abnormality, to match the position of the contralateral breast.</w:t>
      </w:r>
      <w:r w:rsidR="001D2ECA">
        <w:rPr>
          <w:szCs w:val="24"/>
        </w:rPr>
        <w:t xml:space="preserve"> </w:t>
      </w:r>
      <w:r w:rsidR="005709FF" w:rsidRPr="005709FF">
        <w:rPr>
          <w:szCs w:val="24"/>
        </w:rPr>
        <w:t>Furthermore, due to notable differences in the demographics and health of the patient populations, clinical literature relating to breast augmentation with cosmetic/aesthetic indication is not considered applicable to the reconstruction population eligible for breast implants/expanders on the PL and MBS. If considered at all, data relating to cosmetic breast augmentation should be viewed as supportive evidence at best.</w:t>
      </w:r>
    </w:p>
    <w:p w14:paraId="3FA28EEE" w14:textId="5B9A7C3B" w:rsidR="006B407A" w:rsidRDefault="000B4572" w:rsidP="005709FF">
      <w:pPr>
        <w:spacing w:after="240"/>
        <w:rPr>
          <w:szCs w:val="24"/>
        </w:rPr>
      </w:pPr>
      <w:r>
        <w:rPr>
          <w:szCs w:val="24"/>
        </w:rPr>
        <w:t>The a</w:t>
      </w:r>
      <w:r w:rsidR="006B407A">
        <w:rPr>
          <w:szCs w:val="24"/>
        </w:rPr>
        <w:t>pplicant</w:t>
      </w:r>
      <w:r w:rsidR="00EB2F7F">
        <w:rPr>
          <w:szCs w:val="24"/>
        </w:rPr>
        <w:t xml:space="preserve">, in the pre-MSAC response, </w:t>
      </w:r>
      <w:r w:rsidR="005819DB">
        <w:rPr>
          <w:szCs w:val="24"/>
        </w:rPr>
        <w:t xml:space="preserve">disagreed </w:t>
      </w:r>
      <w:r w:rsidR="00A4096F">
        <w:rPr>
          <w:szCs w:val="24"/>
        </w:rPr>
        <w:t xml:space="preserve">claiming </w:t>
      </w:r>
      <w:r w:rsidR="006B407A">
        <w:rPr>
          <w:szCs w:val="24"/>
        </w:rPr>
        <w:t>data from augmentation populations</w:t>
      </w:r>
      <w:r w:rsidR="005819DB">
        <w:rPr>
          <w:szCs w:val="24"/>
        </w:rPr>
        <w:t xml:space="preserve"> </w:t>
      </w:r>
      <w:r w:rsidR="006B407A">
        <w:rPr>
          <w:szCs w:val="24"/>
        </w:rPr>
        <w:t>to be applicable given t</w:t>
      </w:r>
      <w:r w:rsidR="006B407A" w:rsidRPr="006B407A">
        <w:rPr>
          <w:szCs w:val="24"/>
        </w:rPr>
        <w:t>his review was triggered in response to TGA concerns regarding textured breast implants and BIA-ALCL</w:t>
      </w:r>
      <w:r w:rsidR="006B407A">
        <w:rPr>
          <w:szCs w:val="24"/>
        </w:rPr>
        <w:t xml:space="preserve"> that were</w:t>
      </w:r>
      <w:r w:rsidR="006B407A" w:rsidRPr="006B407A">
        <w:rPr>
          <w:szCs w:val="24"/>
        </w:rPr>
        <w:t xml:space="preserve"> not limited to reconstruction or augmentation patients.</w:t>
      </w:r>
    </w:p>
    <w:p w14:paraId="5A520ADD" w14:textId="24BCE92F" w:rsidR="006B407A" w:rsidRPr="006B407A" w:rsidRDefault="000B4572" w:rsidP="005709FF">
      <w:pPr>
        <w:spacing w:after="240"/>
        <w:rPr>
          <w:szCs w:val="24"/>
        </w:rPr>
      </w:pPr>
      <w:r>
        <w:rPr>
          <w:szCs w:val="24"/>
        </w:rPr>
        <w:t>The a</w:t>
      </w:r>
      <w:r w:rsidR="006B407A">
        <w:rPr>
          <w:szCs w:val="24"/>
        </w:rPr>
        <w:t>pplicant also claim</w:t>
      </w:r>
      <w:r w:rsidR="002212F1">
        <w:rPr>
          <w:szCs w:val="24"/>
        </w:rPr>
        <w:t>ed</w:t>
      </w:r>
      <w:r w:rsidR="006B407A">
        <w:rPr>
          <w:szCs w:val="24"/>
        </w:rPr>
        <w:t xml:space="preserve"> that t</w:t>
      </w:r>
      <w:r w:rsidR="006B407A" w:rsidRPr="006B407A">
        <w:rPr>
          <w:szCs w:val="24"/>
        </w:rPr>
        <w:t xml:space="preserve">he treatment of complications from augmentation procedures can incur costs to the Australian healthcare system, with implications for Medicare and public hospital budgets. Hence, inclusion of augmentation patients in the </w:t>
      </w:r>
      <w:r w:rsidR="009A12C5">
        <w:rPr>
          <w:szCs w:val="24"/>
        </w:rPr>
        <w:t xml:space="preserve">submission </w:t>
      </w:r>
      <w:r w:rsidR="006B407A" w:rsidRPr="006B407A">
        <w:rPr>
          <w:szCs w:val="24"/>
        </w:rPr>
        <w:t xml:space="preserve">represents a </w:t>
      </w:r>
      <w:r w:rsidR="006B407A" w:rsidRPr="006B407A">
        <w:rPr>
          <w:szCs w:val="24"/>
        </w:rPr>
        <w:lastRenderedPageBreak/>
        <w:t xml:space="preserve">more holistic approach to fully understanding the broader implications of the comparative safety of textured </w:t>
      </w:r>
      <w:r w:rsidR="002D636F">
        <w:rPr>
          <w:szCs w:val="24"/>
        </w:rPr>
        <w:t>versus</w:t>
      </w:r>
      <w:r w:rsidR="006B407A" w:rsidRPr="006B407A">
        <w:rPr>
          <w:szCs w:val="24"/>
        </w:rPr>
        <w:t xml:space="preserve"> smooth breast implants.</w:t>
      </w:r>
    </w:p>
    <w:p w14:paraId="1877A84A" w14:textId="77777777" w:rsidR="003647F8" w:rsidRPr="00F715D1" w:rsidRDefault="003647F8" w:rsidP="003647F8">
      <w:pPr>
        <w:pStyle w:val="Heading1"/>
      </w:pPr>
      <w:r w:rsidRPr="00F715D1">
        <w:t xml:space="preserve">Comparator </w:t>
      </w:r>
    </w:p>
    <w:p w14:paraId="417FD6DB" w14:textId="7B2A1B7B" w:rsidR="00F07661" w:rsidRPr="00BC6F21" w:rsidRDefault="007A706E" w:rsidP="00BC6F21">
      <w:pPr>
        <w:tabs>
          <w:tab w:val="num" w:pos="426"/>
        </w:tabs>
      </w:pPr>
      <w:r>
        <w:t>Th</w:t>
      </w:r>
      <w:r w:rsidR="000B4572">
        <w:t>e comparator</w:t>
      </w:r>
      <w:r w:rsidR="00926657">
        <w:t>,</w:t>
      </w:r>
      <w:r w:rsidR="000B4572">
        <w:t xml:space="preserve"> as amended in the c</w:t>
      </w:r>
      <w:r>
        <w:t>ommentary</w:t>
      </w:r>
      <w:r w:rsidR="00926657">
        <w:t>,</w:t>
      </w:r>
      <w:r>
        <w:t xml:space="preserve"> is </w:t>
      </w:r>
      <w:r w:rsidR="00D947FE">
        <w:t>b</w:t>
      </w:r>
      <w:r w:rsidR="00F07661" w:rsidRPr="00BC6F21">
        <w:t>reast implantation with smooth implants and expanders (Class-Smooth Implants)</w:t>
      </w:r>
      <w:r w:rsidR="0089340D">
        <w:t>:</w:t>
      </w:r>
    </w:p>
    <w:p w14:paraId="60625D55" w14:textId="77777777" w:rsidR="00F07661" w:rsidRPr="00BC6F21" w:rsidRDefault="00F07661" w:rsidP="00120505">
      <w:pPr>
        <w:pStyle w:val="ListParagraph"/>
        <w:numPr>
          <w:ilvl w:val="0"/>
          <w:numId w:val="2"/>
        </w:numPr>
      </w:pPr>
      <w:r w:rsidRPr="00BC6F21">
        <w:t xml:space="preserve">Saline filled </w:t>
      </w:r>
    </w:p>
    <w:p w14:paraId="38A3748C" w14:textId="77777777" w:rsidR="00F07661" w:rsidRPr="00BC6F21" w:rsidRDefault="00F07661" w:rsidP="00120505">
      <w:pPr>
        <w:pStyle w:val="ListParagraph"/>
        <w:numPr>
          <w:ilvl w:val="0"/>
          <w:numId w:val="2"/>
        </w:numPr>
      </w:pPr>
      <w:r w:rsidRPr="00BC6F21">
        <w:t>Silicone gel filled</w:t>
      </w:r>
    </w:p>
    <w:p w14:paraId="11AF4BCF" w14:textId="65F7421B" w:rsidR="00C027A5" w:rsidRDefault="00F07661" w:rsidP="001055CA">
      <w:pPr>
        <w:pStyle w:val="ListParagraph"/>
        <w:numPr>
          <w:ilvl w:val="0"/>
          <w:numId w:val="2"/>
        </w:numPr>
        <w:spacing w:before="240"/>
        <w:ind w:left="714" w:hanging="357"/>
        <w:contextualSpacing w:val="0"/>
      </w:pPr>
      <w:r w:rsidRPr="00BC6F21">
        <w:t>All sizes</w:t>
      </w:r>
      <w:r w:rsidR="007A706E">
        <w:t>.</w:t>
      </w:r>
    </w:p>
    <w:p w14:paraId="2DACF2A4" w14:textId="0BBC94AD" w:rsidR="00563D47" w:rsidRPr="00195754" w:rsidRDefault="007A706E" w:rsidP="001055CA">
      <w:pPr>
        <w:tabs>
          <w:tab w:val="num" w:pos="426"/>
        </w:tabs>
        <w:spacing w:before="240"/>
      </w:pPr>
      <w:r>
        <w:rPr>
          <w:iCs/>
        </w:rPr>
        <w:t>The</w:t>
      </w:r>
      <w:r w:rsidR="000B4572">
        <w:rPr>
          <w:iCs/>
        </w:rPr>
        <w:t xml:space="preserve"> c</w:t>
      </w:r>
      <w:r w:rsidR="001D2ECA">
        <w:rPr>
          <w:iCs/>
        </w:rPr>
        <w:t>ommentary</w:t>
      </w:r>
      <w:r w:rsidR="00A50F2A">
        <w:rPr>
          <w:iCs/>
        </w:rPr>
        <w:t>’s</w:t>
      </w:r>
      <w:r>
        <w:rPr>
          <w:iCs/>
        </w:rPr>
        <w:t xml:space="preserve"> preference </w:t>
      </w:r>
      <w:r w:rsidR="00EB2F7F">
        <w:rPr>
          <w:iCs/>
        </w:rPr>
        <w:t>wa</w:t>
      </w:r>
      <w:r>
        <w:rPr>
          <w:iCs/>
        </w:rPr>
        <w:t>s to</w:t>
      </w:r>
      <w:r w:rsidR="002644E6">
        <w:rPr>
          <w:iCs/>
        </w:rPr>
        <w:t xml:space="preserve"> </w:t>
      </w:r>
      <w:r w:rsidR="00563D47" w:rsidRPr="00195754">
        <w:rPr>
          <w:iCs/>
        </w:rPr>
        <w:t xml:space="preserve">compare </w:t>
      </w:r>
      <w:r w:rsidR="00206EA1">
        <w:rPr>
          <w:iCs/>
        </w:rPr>
        <w:t>the d</w:t>
      </w:r>
      <w:r w:rsidR="00195754" w:rsidRPr="00195754">
        <w:rPr>
          <w:iCs/>
        </w:rPr>
        <w:t xml:space="preserve">evices </w:t>
      </w:r>
      <w:r w:rsidR="00563D47" w:rsidRPr="00195754">
        <w:rPr>
          <w:iCs/>
        </w:rPr>
        <w:t>to saline filled and gel filled implants separately as they may have a different safety and effectiveness profile.</w:t>
      </w:r>
    </w:p>
    <w:p w14:paraId="5EE53C5E" w14:textId="77777777" w:rsidR="003647F8" w:rsidRPr="00F715D1" w:rsidRDefault="003647F8" w:rsidP="003647F8">
      <w:pPr>
        <w:pStyle w:val="Heading1"/>
      </w:pPr>
      <w:r w:rsidRPr="00F715D1">
        <w:t>Comparative safety</w:t>
      </w:r>
    </w:p>
    <w:p w14:paraId="5247DD79" w14:textId="4CACF495" w:rsidR="00D23473" w:rsidRDefault="003A673A" w:rsidP="00114D7C">
      <w:pPr>
        <w:spacing w:after="240"/>
        <w:rPr>
          <w:szCs w:val="24"/>
        </w:rPr>
      </w:pPr>
      <w:r>
        <w:rPr>
          <w:szCs w:val="24"/>
        </w:rPr>
        <w:t xml:space="preserve">The </w:t>
      </w:r>
      <w:r w:rsidR="00C1197E">
        <w:rPr>
          <w:szCs w:val="24"/>
        </w:rPr>
        <w:t>submission</w:t>
      </w:r>
      <w:r>
        <w:rPr>
          <w:szCs w:val="24"/>
        </w:rPr>
        <w:t xml:space="preserve">’s literature review identified </w:t>
      </w:r>
      <w:r w:rsidR="00810E6F">
        <w:rPr>
          <w:szCs w:val="24"/>
        </w:rPr>
        <w:t>47 studies</w:t>
      </w:r>
      <w:r>
        <w:rPr>
          <w:szCs w:val="24"/>
        </w:rPr>
        <w:t xml:space="preserve"> </w:t>
      </w:r>
      <w:r w:rsidR="00230A57">
        <w:rPr>
          <w:szCs w:val="24"/>
        </w:rPr>
        <w:t xml:space="preserve">considered </w:t>
      </w:r>
      <w:r w:rsidR="00810E6F">
        <w:rPr>
          <w:szCs w:val="24"/>
        </w:rPr>
        <w:t>eligible for inclusion:</w:t>
      </w:r>
      <w:r>
        <w:rPr>
          <w:szCs w:val="24"/>
        </w:rPr>
        <w:t xml:space="preserve"> </w:t>
      </w:r>
      <w:r w:rsidR="00810E6F" w:rsidRPr="00A50F2A">
        <w:rPr>
          <w:szCs w:val="24"/>
        </w:rPr>
        <w:t>17</w:t>
      </w:r>
      <w:r w:rsidR="00926657">
        <w:rPr>
          <w:szCs w:val="24"/>
        </w:rPr>
        <w:t> </w:t>
      </w:r>
      <w:r w:rsidR="00A50F2A">
        <w:rPr>
          <w:szCs w:val="24"/>
        </w:rPr>
        <w:t>m</w:t>
      </w:r>
      <w:r w:rsidR="00810E6F" w:rsidRPr="00A50F2A">
        <w:rPr>
          <w:szCs w:val="24"/>
        </w:rPr>
        <w:t>eta-analyses</w:t>
      </w:r>
      <w:r>
        <w:rPr>
          <w:szCs w:val="24"/>
        </w:rPr>
        <w:t xml:space="preserve">; nine </w:t>
      </w:r>
      <w:r w:rsidR="00810E6F" w:rsidRPr="00A50F2A">
        <w:rPr>
          <w:szCs w:val="24"/>
        </w:rPr>
        <w:t>systematic reviews</w:t>
      </w:r>
      <w:r>
        <w:rPr>
          <w:szCs w:val="24"/>
        </w:rPr>
        <w:t>; f</w:t>
      </w:r>
      <w:r w:rsidR="00810E6F" w:rsidRPr="00A50F2A">
        <w:rPr>
          <w:szCs w:val="24"/>
        </w:rPr>
        <w:t>our R</w:t>
      </w:r>
      <w:r w:rsidR="00793E8A" w:rsidRPr="00A50F2A">
        <w:rPr>
          <w:szCs w:val="24"/>
        </w:rPr>
        <w:t>CTs</w:t>
      </w:r>
      <w:r>
        <w:rPr>
          <w:szCs w:val="24"/>
        </w:rPr>
        <w:t>; s</w:t>
      </w:r>
      <w:r w:rsidR="00810E6F" w:rsidRPr="00A50F2A">
        <w:rPr>
          <w:szCs w:val="24"/>
        </w:rPr>
        <w:t>even Mentor Trials</w:t>
      </w:r>
      <w:r w:rsidR="00A50F2A">
        <w:rPr>
          <w:szCs w:val="24"/>
        </w:rPr>
        <w:t>; f</w:t>
      </w:r>
      <w:r w:rsidR="00810E6F" w:rsidRPr="00A50F2A">
        <w:rPr>
          <w:szCs w:val="24"/>
        </w:rPr>
        <w:t xml:space="preserve">our FDA </w:t>
      </w:r>
      <w:r w:rsidR="00A50F2A">
        <w:rPr>
          <w:szCs w:val="24"/>
        </w:rPr>
        <w:t>r</w:t>
      </w:r>
      <w:r w:rsidR="00810E6F" w:rsidRPr="00A50F2A">
        <w:rPr>
          <w:szCs w:val="24"/>
        </w:rPr>
        <w:t>eviews</w:t>
      </w:r>
      <w:r w:rsidR="00A50F2A">
        <w:rPr>
          <w:szCs w:val="24"/>
        </w:rPr>
        <w:t>; f</w:t>
      </w:r>
      <w:r w:rsidR="00810E6F" w:rsidRPr="00A50F2A">
        <w:rPr>
          <w:szCs w:val="24"/>
        </w:rPr>
        <w:t>our CORE studies</w:t>
      </w:r>
      <w:r w:rsidR="00A50F2A">
        <w:rPr>
          <w:szCs w:val="24"/>
        </w:rPr>
        <w:t xml:space="preserve">; and </w:t>
      </w:r>
      <w:r w:rsidR="00A50F2A" w:rsidRPr="006906FB">
        <w:rPr>
          <w:szCs w:val="24"/>
        </w:rPr>
        <w:t>t</w:t>
      </w:r>
      <w:r w:rsidR="00810E6F" w:rsidRPr="006334ED">
        <w:rPr>
          <w:szCs w:val="24"/>
        </w:rPr>
        <w:t xml:space="preserve">wo ABDR Reports. </w:t>
      </w:r>
      <w:r w:rsidR="006906FB">
        <w:rPr>
          <w:szCs w:val="24"/>
        </w:rPr>
        <w:t xml:space="preserve">The </w:t>
      </w:r>
      <w:r w:rsidR="00C1197E">
        <w:rPr>
          <w:szCs w:val="24"/>
        </w:rPr>
        <w:t>submission</w:t>
      </w:r>
      <w:r w:rsidR="006906FB">
        <w:rPr>
          <w:szCs w:val="24"/>
        </w:rPr>
        <w:t xml:space="preserve"> stated most of the evidence comparing the efficacy of textured implants will revert to rates of c</w:t>
      </w:r>
      <w:r w:rsidR="007C4154">
        <w:rPr>
          <w:szCs w:val="24"/>
        </w:rPr>
        <w:t>apsular contracture</w:t>
      </w:r>
      <w:r w:rsidR="006906FB">
        <w:rPr>
          <w:szCs w:val="24"/>
        </w:rPr>
        <w:t xml:space="preserve">, which </w:t>
      </w:r>
      <w:r w:rsidR="00E0218B">
        <w:rPr>
          <w:szCs w:val="24"/>
        </w:rPr>
        <w:t>was reported as primary outcome for several studies.</w:t>
      </w:r>
    </w:p>
    <w:p w14:paraId="119B6A74" w14:textId="6CACE6E7" w:rsidR="00B91F20" w:rsidRDefault="009A12C5" w:rsidP="009A12C5">
      <w:pPr>
        <w:pStyle w:val="Heading2"/>
      </w:pPr>
      <w:r>
        <w:t>Textured versus</w:t>
      </w:r>
      <w:r w:rsidR="00D23473">
        <w:t xml:space="preserve"> smooth implants</w:t>
      </w:r>
    </w:p>
    <w:p w14:paraId="2E0520D3" w14:textId="09E3FCA9" w:rsidR="009903C0" w:rsidRDefault="00F238D7" w:rsidP="009A12C5">
      <w:pPr>
        <w:pStyle w:val="Heading3"/>
      </w:pPr>
      <w:r w:rsidRPr="002049DD">
        <w:t>Capsular contracture</w:t>
      </w:r>
    </w:p>
    <w:p w14:paraId="274CF649" w14:textId="481FF0F7" w:rsidR="00926657" w:rsidRPr="00114D7C" w:rsidRDefault="007C4154" w:rsidP="00114D7C">
      <w:pPr>
        <w:rPr>
          <w:szCs w:val="24"/>
        </w:rPr>
      </w:pPr>
      <w:r>
        <w:t xml:space="preserve">The commentary stated </w:t>
      </w:r>
      <w:r w:rsidR="00926657">
        <w:t xml:space="preserve">that </w:t>
      </w:r>
      <w:r>
        <w:rPr>
          <w:szCs w:val="24"/>
          <w:lang w:val="en-US"/>
        </w:rPr>
        <w:t>o</w:t>
      </w:r>
      <w:r w:rsidR="00D7330C">
        <w:rPr>
          <w:szCs w:val="24"/>
          <w:lang w:val="en-US"/>
        </w:rPr>
        <w:t>f the systematic reviews</w:t>
      </w:r>
      <w:r w:rsidR="00B91F20">
        <w:rPr>
          <w:szCs w:val="24"/>
          <w:lang w:val="en-US"/>
        </w:rPr>
        <w:t xml:space="preserve"> included in the </w:t>
      </w:r>
      <w:r w:rsidR="00C1197E">
        <w:rPr>
          <w:szCs w:val="24"/>
          <w:lang w:val="en-US"/>
        </w:rPr>
        <w:t>submission</w:t>
      </w:r>
      <w:r w:rsidR="00B91F20">
        <w:rPr>
          <w:szCs w:val="24"/>
          <w:lang w:val="en-US"/>
        </w:rPr>
        <w:t xml:space="preserve"> </w:t>
      </w:r>
      <w:r>
        <w:rPr>
          <w:szCs w:val="24"/>
          <w:lang w:val="en-US"/>
        </w:rPr>
        <w:t xml:space="preserve">only a Cochrane review by </w:t>
      </w:r>
      <w:r w:rsidR="00D7330C" w:rsidRPr="00810E6F">
        <w:rPr>
          <w:iCs/>
          <w:szCs w:val="24"/>
          <w:lang w:val="en-US"/>
        </w:rPr>
        <w:t>Rocco</w:t>
      </w:r>
      <w:r>
        <w:rPr>
          <w:iCs/>
          <w:szCs w:val="24"/>
          <w:lang w:val="en-US"/>
        </w:rPr>
        <w:t xml:space="preserve"> et al.</w:t>
      </w:r>
      <w:r w:rsidR="00D7330C" w:rsidRPr="00810E6F">
        <w:rPr>
          <w:iCs/>
          <w:szCs w:val="24"/>
          <w:lang w:val="en-US"/>
        </w:rPr>
        <w:t xml:space="preserve"> 2016</w:t>
      </w:r>
      <w:r w:rsidR="00926657">
        <w:rPr>
          <w:iCs/>
          <w:szCs w:val="24"/>
          <w:lang w:val="en-US"/>
        </w:rPr>
        <w:t xml:space="preserve"> (n=20)</w:t>
      </w:r>
      <w:r>
        <w:rPr>
          <w:iCs/>
          <w:szCs w:val="24"/>
          <w:lang w:val="en-US"/>
        </w:rPr>
        <w:t xml:space="preserve"> was considered the most applicable study as it </w:t>
      </w:r>
      <w:r w:rsidR="00E0218B">
        <w:rPr>
          <w:iCs/>
          <w:szCs w:val="24"/>
          <w:lang w:val="en-US"/>
        </w:rPr>
        <w:t xml:space="preserve">compared a cohort of </w:t>
      </w:r>
      <w:r w:rsidR="006906FB">
        <w:rPr>
          <w:szCs w:val="24"/>
        </w:rPr>
        <w:t>patients</w:t>
      </w:r>
      <w:r w:rsidR="00E0218B">
        <w:rPr>
          <w:szCs w:val="24"/>
        </w:rPr>
        <w:t xml:space="preserve"> </w:t>
      </w:r>
      <w:r>
        <w:rPr>
          <w:iCs/>
          <w:szCs w:val="24"/>
          <w:lang w:val="en-US"/>
        </w:rPr>
        <w:t>who had received implants for breast reconstruction</w:t>
      </w:r>
      <w:r w:rsidR="00E0218B">
        <w:rPr>
          <w:iCs/>
          <w:szCs w:val="24"/>
          <w:lang w:val="en-US"/>
        </w:rPr>
        <w:t>;</w:t>
      </w:r>
      <w:r>
        <w:rPr>
          <w:iCs/>
          <w:szCs w:val="24"/>
          <w:lang w:val="en-US"/>
        </w:rPr>
        <w:t xml:space="preserve"> and </w:t>
      </w:r>
      <w:r w:rsidR="00D7330C" w:rsidRPr="00810E6F">
        <w:rPr>
          <w:iCs/>
          <w:szCs w:val="24"/>
          <w:lang w:val="en-US"/>
        </w:rPr>
        <w:t>Liu</w:t>
      </w:r>
      <w:r>
        <w:rPr>
          <w:iCs/>
          <w:szCs w:val="24"/>
          <w:lang w:val="en-US"/>
        </w:rPr>
        <w:t xml:space="preserve"> et al.</w:t>
      </w:r>
      <w:r w:rsidR="00D7330C" w:rsidRPr="00810E6F">
        <w:rPr>
          <w:iCs/>
          <w:szCs w:val="24"/>
          <w:lang w:val="en-US"/>
        </w:rPr>
        <w:t xml:space="preserve"> 2015</w:t>
      </w:r>
      <w:r w:rsidR="005A235E">
        <w:rPr>
          <w:iCs/>
          <w:szCs w:val="24"/>
          <w:lang w:val="en-US"/>
        </w:rPr>
        <w:t>, which included a subgroup analysis of the breast reconstruction population (Table</w:t>
      </w:r>
      <w:r w:rsidR="00926657">
        <w:rPr>
          <w:iCs/>
          <w:szCs w:val="24"/>
          <w:lang w:val="en-US"/>
        </w:rPr>
        <w:t> </w:t>
      </w:r>
      <w:r w:rsidR="008E5CCE">
        <w:rPr>
          <w:iCs/>
          <w:szCs w:val="24"/>
          <w:lang w:val="en-US"/>
        </w:rPr>
        <w:t>2)</w:t>
      </w:r>
      <w:r w:rsidR="005A235E">
        <w:rPr>
          <w:iCs/>
          <w:szCs w:val="24"/>
          <w:lang w:val="en-US"/>
        </w:rPr>
        <w:t xml:space="preserve">. </w:t>
      </w:r>
      <w:r w:rsidR="00E0218B" w:rsidRPr="00E0218B">
        <w:rPr>
          <w:iCs/>
          <w:szCs w:val="24"/>
          <w:lang w:val="en-US"/>
        </w:rPr>
        <w:t xml:space="preserve">The single small RCT identified in the Cochrane review reported two capsular contractures in each arm (Thuesen et al. 1995). </w:t>
      </w:r>
      <w:r w:rsidR="006906FB">
        <w:rPr>
          <w:szCs w:val="24"/>
        </w:rPr>
        <w:t>Overall, the commentary noted that t</w:t>
      </w:r>
      <w:r w:rsidR="006906FB" w:rsidRPr="00C73457">
        <w:rPr>
          <w:szCs w:val="24"/>
        </w:rPr>
        <w:t xml:space="preserve">here are no large, high quality studies of textured </w:t>
      </w:r>
      <w:r w:rsidR="006906FB">
        <w:rPr>
          <w:szCs w:val="24"/>
        </w:rPr>
        <w:t>versus</w:t>
      </w:r>
      <w:r w:rsidR="006906FB" w:rsidRPr="00C73457">
        <w:rPr>
          <w:szCs w:val="24"/>
        </w:rPr>
        <w:t xml:space="preserve"> smooth implants for reconstructive patients</w:t>
      </w:r>
      <w:r w:rsidR="006906FB">
        <w:rPr>
          <w:szCs w:val="24"/>
        </w:rPr>
        <w:t xml:space="preserve">. The </w:t>
      </w:r>
      <w:r w:rsidR="006906FB" w:rsidRPr="00C73457">
        <w:rPr>
          <w:szCs w:val="24"/>
        </w:rPr>
        <w:t xml:space="preserve">one valid 1995 trial with n=20 showed rates of capsular contracture of 18.2% </w:t>
      </w:r>
      <w:r w:rsidR="006906FB">
        <w:rPr>
          <w:szCs w:val="24"/>
        </w:rPr>
        <w:t>versus</w:t>
      </w:r>
      <w:r w:rsidR="006906FB" w:rsidRPr="00C73457">
        <w:rPr>
          <w:szCs w:val="24"/>
        </w:rPr>
        <w:t xml:space="preserve"> 22.2% (relative risk [RR] 0.82 [95% CI 0.14, 4.71])</w:t>
      </w:r>
      <w:r w:rsidR="006906FB">
        <w:rPr>
          <w:szCs w:val="24"/>
        </w:rPr>
        <w:t xml:space="preserve"> </w:t>
      </w:r>
      <w:r w:rsidR="006906FB" w:rsidRPr="00810E6F">
        <w:rPr>
          <w:iCs/>
          <w:szCs w:val="24"/>
          <w:lang w:val="en-US"/>
        </w:rPr>
        <w:t>(Thuesen et al. 1995).</w:t>
      </w:r>
      <w:r w:rsidR="00926657">
        <w:rPr>
          <w:b/>
          <w:iCs/>
          <w:lang w:val="en-US"/>
        </w:rPr>
        <w:br w:type="page"/>
      </w:r>
    </w:p>
    <w:p w14:paraId="2DB4F9E4" w14:textId="7CCEDEF9" w:rsidR="00FB47EB" w:rsidRPr="00114D7C" w:rsidRDefault="00FB47EB" w:rsidP="00114D7C">
      <w:pPr>
        <w:rPr>
          <w:rFonts w:ascii="Arial Narrow" w:hAnsi="Arial Narrow"/>
          <w:b/>
          <w:sz w:val="20"/>
        </w:rPr>
      </w:pPr>
      <w:r w:rsidRPr="00114D7C">
        <w:rPr>
          <w:rFonts w:ascii="Arial Narrow" w:hAnsi="Arial Narrow"/>
          <w:b/>
          <w:sz w:val="20"/>
        </w:rPr>
        <w:lastRenderedPageBreak/>
        <w:t>Table 2</w:t>
      </w:r>
      <w:r w:rsidRPr="00114D7C">
        <w:rPr>
          <w:rFonts w:ascii="Arial Narrow" w:hAnsi="Arial Narrow"/>
          <w:b/>
          <w:sz w:val="20"/>
        </w:rPr>
        <w:tab/>
      </w:r>
      <w:r w:rsidR="008E5CCE" w:rsidRPr="00114D7C">
        <w:rPr>
          <w:rFonts w:ascii="Arial Narrow" w:hAnsi="Arial Narrow"/>
          <w:b/>
          <w:sz w:val="20"/>
        </w:rPr>
        <w:t>Summary of systematic literature review and meta-analysis comparing textured and smooth implants for capsular contracture</w:t>
      </w:r>
    </w:p>
    <w:tbl>
      <w:tblPr>
        <w:tblStyle w:val="TableGrid1"/>
        <w:tblW w:w="5048" w:type="pct"/>
        <w:tblLook w:val="0000" w:firstRow="0" w:lastRow="0" w:firstColumn="0" w:lastColumn="0" w:noHBand="0" w:noVBand="0"/>
        <w:tblDescription w:val="Summary of systematic literature review and meta-analysis comparing textured and smooth implants for capsular contracture"/>
      </w:tblPr>
      <w:tblGrid>
        <w:gridCol w:w="1527"/>
        <w:gridCol w:w="661"/>
        <w:gridCol w:w="952"/>
        <w:gridCol w:w="1251"/>
        <w:gridCol w:w="1362"/>
        <w:gridCol w:w="1351"/>
        <w:gridCol w:w="1999"/>
      </w:tblGrid>
      <w:tr w:rsidR="00FB47EB" w:rsidRPr="00C027A5" w14:paraId="2EBD8493" w14:textId="60828ACC" w:rsidTr="003D52DE">
        <w:trPr>
          <w:trHeight w:val="141"/>
          <w:tblHeader/>
        </w:trPr>
        <w:tc>
          <w:tcPr>
            <w:tcW w:w="839" w:type="pct"/>
          </w:tcPr>
          <w:p w14:paraId="6D04884E" w14:textId="77777777" w:rsidR="00FB47EB" w:rsidRPr="00C027A5" w:rsidRDefault="00FB47EB" w:rsidP="00831309">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 xml:space="preserve">Paper </w:t>
            </w:r>
          </w:p>
        </w:tc>
        <w:tc>
          <w:tcPr>
            <w:tcW w:w="363" w:type="pct"/>
          </w:tcPr>
          <w:p w14:paraId="61EDF8C4" w14:textId="757CD9D8" w:rsidR="00FB47EB" w:rsidRPr="00C027A5" w:rsidRDefault="00FB47EB" w:rsidP="00831309">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Year</w:t>
            </w:r>
          </w:p>
        </w:tc>
        <w:tc>
          <w:tcPr>
            <w:tcW w:w="523" w:type="pct"/>
          </w:tcPr>
          <w:p w14:paraId="016D6EB8" w14:textId="58A23539" w:rsidR="00FB47EB" w:rsidRPr="00C027A5" w:rsidRDefault="00FB47EB" w:rsidP="00FB47EB">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Follow up (years)</w:t>
            </w:r>
            <w:r w:rsidRPr="00C027A5">
              <w:rPr>
                <w:rFonts w:ascii="Arial Narrow" w:eastAsia="Calibri" w:hAnsi="Arial Narrow" w:cs="Arial"/>
                <w:sz w:val="20"/>
                <w:szCs w:val="20"/>
                <w:vertAlign w:val="superscript"/>
                <w:lang w:eastAsia="en-AU"/>
              </w:rPr>
              <w:t>b</w:t>
            </w:r>
          </w:p>
        </w:tc>
        <w:tc>
          <w:tcPr>
            <w:tcW w:w="687" w:type="pct"/>
          </w:tcPr>
          <w:p w14:paraId="5E3D3174" w14:textId="0C69AA17" w:rsidR="00FB47EB" w:rsidRPr="00C027A5" w:rsidRDefault="00FB47EB" w:rsidP="00831309">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Population</w:t>
            </w:r>
          </w:p>
        </w:tc>
        <w:tc>
          <w:tcPr>
            <w:tcW w:w="748" w:type="pct"/>
          </w:tcPr>
          <w:p w14:paraId="6C9F1A36" w14:textId="5EE8E118" w:rsidR="00FB47EB" w:rsidRPr="00C027A5" w:rsidRDefault="00FB47EB" w:rsidP="00831309">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Intervention (N)</w:t>
            </w:r>
          </w:p>
        </w:tc>
        <w:tc>
          <w:tcPr>
            <w:tcW w:w="742" w:type="pct"/>
          </w:tcPr>
          <w:p w14:paraId="02B5A55A" w14:textId="548B568B" w:rsidR="00FB47EB" w:rsidRPr="00C027A5" w:rsidRDefault="00FB47EB" w:rsidP="00831309">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Comparator (N)</w:t>
            </w:r>
          </w:p>
        </w:tc>
        <w:tc>
          <w:tcPr>
            <w:tcW w:w="1099" w:type="pct"/>
          </w:tcPr>
          <w:p w14:paraId="0B13A481" w14:textId="413FBA47" w:rsidR="00FB47EB" w:rsidRPr="00C027A5" w:rsidRDefault="00FB47EB" w:rsidP="00831309">
            <w:pPr>
              <w:pStyle w:val="01TableHeading"/>
              <w:rPr>
                <w:rFonts w:ascii="Arial Narrow" w:eastAsia="Calibri" w:hAnsi="Arial Narrow" w:cs="Arial"/>
                <w:sz w:val="20"/>
                <w:szCs w:val="20"/>
                <w:lang w:eastAsia="en-AU"/>
              </w:rPr>
            </w:pPr>
            <w:r w:rsidRPr="00C027A5">
              <w:rPr>
                <w:rFonts w:ascii="Arial Narrow" w:eastAsia="Calibri" w:hAnsi="Arial Narrow" w:cs="Arial"/>
                <w:sz w:val="20"/>
                <w:szCs w:val="20"/>
                <w:lang w:eastAsia="en-AU"/>
              </w:rPr>
              <w:t>Conclusion</w:t>
            </w:r>
          </w:p>
        </w:tc>
      </w:tr>
      <w:tr w:rsidR="00FB47EB" w:rsidRPr="00C027A5" w14:paraId="4F23D5D9" w14:textId="0B9AAE07" w:rsidTr="003D52DE">
        <w:trPr>
          <w:trHeight w:val="103"/>
        </w:trPr>
        <w:tc>
          <w:tcPr>
            <w:tcW w:w="839" w:type="pct"/>
          </w:tcPr>
          <w:p w14:paraId="53390E4C" w14:textId="77777777" w:rsidR="00FB47EB" w:rsidRPr="00C027A5" w:rsidRDefault="00FB47EB" w:rsidP="00FB47EB">
            <w:pPr>
              <w:pStyle w:val="Default"/>
              <w:rPr>
                <w:rFonts w:cs="Arial"/>
              </w:rPr>
            </w:pPr>
            <w:r w:rsidRPr="00C027A5">
              <w:rPr>
                <w:rFonts w:cs="Arial"/>
              </w:rPr>
              <w:t xml:space="preserve">Cifuentes et al </w:t>
            </w:r>
          </w:p>
          <w:p w14:paraId="3793D817" w14:textId="7C3E78E0" w:rsidR="00FB47EB" w:rsidRPr="00C027A5" w:rsidRDefault="00FB47EB" w:rsidP="00FB47EB">
            <w:pPr>
              <w:pStyle w:val="05Tabletext22"/>
              <w:rPr>
                <w:rFonts w:ascii="Arial Narrow" w:hAnsi="Arial Narrow" w:cs="Arial"/>
                <w:sz w:val="20"/>
                <w:szCs w:val="20"/>
              </w:rPr>
            </w:pPr>
          </w:p>
        </w:tc>
        <w:tc>
          <w:tcPr>
            <w:tcW w:w="363" w:type="pct"/>
          </w:tcPr>
          <w:p w14:paraId="3DD5B848" w14:textId="39D3AE1E"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2017 </w:t>
            </w:r>
          </w:p>
        </w:tc>
        <w:tc>
          <w:tcPr>
            <w:tcW w:w="523" w:type="pct"/>
          </w:tcPr>
          <w:p w14:paraId="4B0B7866" w14:textId="08CB7F75"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nr </w:t>
            </w:r>
          </w:p>
        </w:tc>
        <w:tc>
          <w:tcPr>
            <w:tcW w:w="687" w:type="pct"/>
          </w:tcPr>
          <w:p w14:paraId="1216BD85" w14:textId="01E554B8"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Mixed Cohort </w:t>
            </w:r>
          </w:p>
        </w:tc>
        <w:tc>
          <w:tcPr>
            <w:tcW w:w="748" w:type="pct"/>
          </w:tcPr>
          <w:p w14:paraId="55EFC692" w14:textId="77777777" w:rsidR="00FB47EB" w:rsidRPr="00C027A5" w:rsidRDefault="00FB47EB" w:rsidP="00FB47EB">
            <w:pPr>
              <w:pStyle w:val="Default"/>
              <w:rPr>
                <w:rFonts w:cs="Arial"/>
              </w:rPr>
            </w:pPr>
            <w:r w:rsidRPr="00C027A5">
              <w:rPr>
                <w:rFonts w:cs="Arial"/>
              </w:rPr>
              <w:t xml:space="preserve">Group </w:t>
            </w:r>
          </w:p>
          <w:p w14:paraId="6AA1C3ED" w14:textId="77777777" w:rsidR="00FB47EB" w:rsidRPr="00C027A5" w:rsidRDefault="00FB47EB" w:rsidP="00FB47EB">
            <w:pPr>
              <w:pStyle w:val="Default"/>
              <w:rPr>
                <w:rFonts w:cs="Arial"/>
              </w:rPr>
            </w:pPr>
            <w:r w:rsidRPr="00C027A5">
              <w:rPr>
                <w:rFonts w:cs="Arial"/>
              </w:rPr>
              <w:t xml:space="preserve">Texture </w:t>
            </w:r>
          </w:p>
          <w:p w14:paraId="0D715057" w14:textId="5AE659BA"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(1255) </w:t>
            </w:r>
          </w:p>
        </w:tc>
        <w:tc>
          <w:tcPr>
            <w:tcW w:w="742" w:type="pct"/>
          </w:tcPr>
          <w:p w14:paraId="520D0D5C" w14:textId="77777777" w:rsidR="00FB47EB" w:rsidRPr="00C027A5" w:rsidRDefault="00FB47EB" w:rsidP="00FB47EB">
            <w:pPr>
              <w:pStyle w:val="Default"/>
              <w:rPr>
                <w:rFonts w:cs="Arial"/>
              </w:rPr>
            </w:pPr>
            <w:r w:rsidRPr="00C027A5">
              <w:rPr>
                <w:rFonts w:cs="Arial"/>
              </w:rPr>
              <w:t xml:space="preserve">Group Smooth </w:t>
            </w:r>
          </w:p>
          <w:p w14:paraId="2F73AC26" w14:textId="59C665A0"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(1047) </w:t>
            </w:r>
          </w:p>
        </w:tc>
        <w:tc>
          <w:tcPr>
            <w:tcW w:w="1099" w:type="pct"/>
          </w:tcPr>
          <w:p w14:paraId="4812E8C2" w14:textId="2B3597D9"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Reduced Risk (RR): 0.41 [95% CI 0.31 -0.54], moderate evidence suggesting that textured breast implants probably reduce the risk of CC </w:t>
            </w:r>
          </w:p>
        </w:tc>
      </w:tr>
      <w:tr w:rsidR="00FB47EB" w:rsidRPr="00C027A5" w14:paraId="0557F15F" w14:textId="18782662" w:rsidTr="003D52DE">
        <w:trPr>
          <w:trHeight w:val="103"/>
        </w:trPr>
        <w:tc>
          <w:tcPr>
            <w:tcW w:w="839" w:type="pct"/>
          </w:tcPr>
          <w:p w14:paraId="2CCFC12C" w14:textId="59486693"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Barnsley et al </w:t>
            </w:r>
          </w:p>
        </w:tc>
        <w:tc>
          <w:tcPr>
            <w:tcW w:w="363" w:type="pct"/>
          </w:tcPr>
          <w:p w14:paraId="39327892" w14:textId="4993EAE5"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2016 </w:t>
            </w:r>
          </w:p>
        </w:tc>
        <w:tc>
          <w:tcPr>
            <w:tcW w:w="523" w:type="pct"/>
          </w:tcPr>
          <w:p w14:paraId="60484CBB" w14:textId="4AA736B2"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8.4 </w:t>
            </w:r>
          </w:p>
        </w:tc>
        <w:tc>
          <w:tcPr>
            <w:tcW w:w="687" w:type="pct"/>
          </w:tcPr>
          <w:p w14:paraId="50B49E04" w14:textId="0BEA2CE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Primary Aug </w:t>
            </w:r>
          </w:p>
        </w:tc>
        <w:tc>
          <w:tcPr>
            <w:tcW w:w="748" w:type="pct"/>
          </w:tcPr>
          <w:p w14:paraId="31C92C0D" w14:textId="77777777" w:rsidR="00FB47EB" w:rsidRPr="00C027A5" w:rsidRDefault="00FB47EB" w:rsidP="00FB47EB">
            <w:pPr>
              <w:pStyle w:val="Default"/>
              <w:rPr>
                <w:rFonts w:cs="Arial"/>
              </w:rPr>
            </w:pPr>
            <w:r w:rsidRPr="00C027A5">
              <w:rPr>
                <w:rFonts w:cs="Arial"/>
              </w:rPr>
              <w:t xml:space="preserve">Group </w:t>
            </w:r>
          </w:p>
          <w:p w14:paraId="0DABC6EB" w14:textId="77777777" w:rsidR="00FB47EB" w:rsidRPr="00C027A5" w:rsidRDefault="00FB47EB" w:rsidP="00FB47EB">
            <w:pPr>
              <w:pStyle w:val="Default"/>
              <w:rPr>
                <w:rFonts w:cs="Arial"/>
              </w:rPr>
            </w:pPr>
            <w:r w:rsidRPr="00C027A5">
              <w:rPr>
                <w:rFonts w:cs="Arial"/>
              </w:rPr>
              <w:t xml:space="preserve">Texture </w:t>
            </w:r>
          </w:p>
          <w:p w14:paraId="3C1ED180" w14:textId="11FAD0D5"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(271) </w:t>
            </w:r>
          </w:p>
        </w:tc>
        <w:tc>
          <w:tcPr>
            <w:tcW w:w="742" w:type="pct"/>
          </w:tcPr>
          <w:p w14:paraId="5E2A3C57" w14:textId="77777777" w:rsidR="00FB47EB" w:rsidRPr="00C027A5" w:rsidRDefault="00FB47EB" w:rsidP="00FB47EB">
            <w:pPr>
              <w:pStyle w:val="Default"/>
              <w:rPr>
                <w:rFonts w:cs="Arial"/>
              </w:rPr>
            </w:pPr>
            <w:r w:rsidRPr="00C027A5">
              <w:rPr>
                <w:rFonts w:cs="Arial"/>
              </w:rPr>
              <w:t xml:space="preserve">Group Smooth </w:t>
            </w:r>
          </w:p>
          <w:p w14:paraId="2AD3F353" w14:textId="1559C1F4"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(261) </w:t>
            </w:r>
          </w:p>
        </w:tc>
        <w:tc>
          <w:tcPr>
            <w:tcW w:w="1099" w:type="pct"/>
          </w:tcPr>
          <w:p w14:paraId="54653127" w14:textId="2F727A25"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Odds Ratio: 0.19 [95% CI 0.07-0.52], CC was 5x more likely with smooth </w:t>
            </w:r>
          </w:p>
        </w:tc>
      </w:tr>
      <w:tr w:rsidR="00FB47EB" w:rsidRPr="00C027A5" w14:paraId="77A7E5A1" w14:textId="491B7DCF" w:rsidTr="003D52DE">
        <w:trPr>
          <w:trHeight w:val="103"/>
        </w:trPr>
        <w:tc>
          <w:tcPr>
            <w:tcW w:w="839" w:type="pct"/>
          </w:tcPr>
          <w:p w14:paraId="19D38322" w14:textId="1AA6C4CB"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Barnsley et al </w:t>
            </w:r>
          </w:p>
        </w:tc>
        <w:tc>
          <w:tcPr>
            <w:tcW w:w="363" w:type="pct"/>
          </w:tcPr>
          <w:p w14:paraId="625A7CFA" w14:textId="0AD86DE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2016 </w:t>
            </w:r>
          </w:p>
        </w:tc>
        <w:tc>
          <w:tcPr>
            <w:tcW w:w="523" w:type="pct"/>
          </w:tcPr>
          <w:p w14:paraId="4479638E" w14:textId="2BFCD557"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8.4 </w:t>
            </w:r>
          </w:p>
        </w:tc>
        <w:tc>
          <w:tcPr>
            <w:tcW w:w="687" w:type="pct"/>
          </w:tcPr>
          <w:p w14:paraId="7FED052A" w14:textId="1D913AB5"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Primary Aug </w:t>
            </w:r>
          </w:p>
        </w:tc>
        <w:tc>
          <w:tcPr>
            <w:tcW w:w="748" w:type="pct"/>
          </w:tcPr>
          <w:p w14:paraId="6785EBE5" w14:textId="77777777" w:rsidR="00FB47EB" w:rsidRPr="00C027A5" w:rsidRDefault="00FB47EB" w:rsidP="00FB47EB">
            <w:pPr>
              <w:pStyle w:val="Default"/>
              <w:rPr>
                <w:rFonts w:cs="Arial"/>
              </w:rPr>
            </w:pPr>
            <w:r w:rsidRPr="00C027A5">
              <w:rPr>
                <w:rFonts w:cs="Arial"/>
              </w:rPr>
              <w:t xml:space="preserve">Mentor Microtexture </w:t>
            </w:r>
          </w:p>
          <w:p w14:paraId="42EC2082" w14:textId="17B7AE99"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(115) </w:t>
            </w:r>
          </w:p>
        </w:tc>
        <w:tc>
          <w:tcPr>
            <w:tcW w:w="742" w:type="pct"/>
          </w:tcPr>
          <w:p w14:paraId="1B17BCD0" w14:textId="7CB1E777"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Mentor Smooth (111) </w:t>
            </w:r>
          </w:p>
        </w:tc>
        <w:tc>
          <w:tcPr>
            <w:tcW w:w="1099" w:type="pct"/>
          </w:tcPr>
          <w:p w14:paraId="3EB64378" w14:textId="5009AFCC"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Odds Ratio: 0.06 [95% CI 0.02 -0.16], Mentor Microtexture associated with a statistically significant reduction in CC formation </w:t>
            </w:r>
          </w:p>
        </w:tc>
      </w:tr>
      <w:tr w:rsidR="00FB47EB" w:rsidRPr="00C027A5" w14:paraId="28C6774B" w14:textId="71472131" w:rsidTr="003D52DE">
        <w:trPr>
          <w:trHeight w:val="103"/>
        </w:trPr>
        <w:tc>
          <w:tcPr>
            <w:tcW w:w="839" w:type="pct"/>
          </w:tcPr>
          <w:p w14:paraId="7F21397C" w14:textId="7D52A32B"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Rocco et al </w:t>
            </w:r>
          </w:p>
        </w:tc>
        <w:tc>
          <w:tcPr>
            <w:tcW w:w="363" w:type="pct"/>
          </w:tcPr>
          <w:p w14:paraId="38A74EBF" w14:textId="664A92A5"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2016 </w:t>
            </w:r>
          </w:p>
        </w:tc>
        <w:tc>
          <w:tcPr>
            <w:tcW w:w="523" w:type="pct"/>
          </w:tcPr>
          <w:p w14:paraId="0584C33E" w14:textId="55E89EAE"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3 </w:t>
            </w:r>
          </w:p>
        </w:tc>
        <w:tc>
          <w:tcPr>
            <w:tcW w:w="687" w:type="pct"/>
          </w:tcPr>
          <w:p w14:paraId="5142CA6F" w14:textId="581C51C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Primary Recon </w:t>
            </w:r>
          </w:p>
        </w:tc>
        <w:tc>
          <w:tcPr>
            <w:tcW w:w="748" w:type="pct"/>
          </w:tcPr>
          <w:p w14:paraId="517A0D98" w14:textId="77777777" w:rsidR="00FB47EB" w:rsidRPr="00C027A5" w:rsidRDefault="00FB47EB" w:rsidP="00FB47EB">
            <w:pPr>
              <w:pStyle w:val="Default"/>
              <w:rPr>
                <w:rFonts w:cs="Arial"/>
              </w:rPr>
            </w:pPr>
            <w:r w:rsidRPr="00C027A5">
              <w:rPr>
                <w:rFonts w:cs="Arial"/>
              </w:rPr>
              <w:t xml:space="preserve">Group </w:t>
            </w:r>
          </w:p>
          <w:p w14:paraId="526852F0" w14:textId="77777777" w:rsidR="00FB47EB" w:rsidRPr="00C027A5" w:rsidRDefault="00FB47EB" w:rsidP="00FB47EB">
            <w:pPr>
              <w:pStyle w:val="Default"/>
              <w:rPr>
                <w:rFonts w:cs="Arial"/>
              </w:rPr>
            </w:pPr>
            <w:r w:rsidRPr="00C027A5">
              <w:rPr>
                <w:rFonts w:cs="Arial"/>
              </w:rPr>
              <w:t xml:space="preserve">Texture </w:t>
            </w:r>
          </w:p>
          <w:p w14:paraId="0A5CE4E9" w14:textId="0742AF69"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(11) </w:t>
            </w:r>
          </w:p>
        </w:tc>
        <w:tc>
          <w:tcPr>
            <w:tcW w:w="742" w:type="pct"/>
          </w:tcPr>
          <w:p w14:paraId="24500A0A" w14:textId="77777777" w:rsidR="00FB47EB" w:rsidRPr="00C027A5" w:rsidRDefault="00FB47EB" w:rsidP="00FB47EB">
            <w:pPr>
              <w:pStyle w:val="Default"/>
              <w:rPr>
                <w:rFonts w:cs="Arial"/>
              </w:rPr>
            </w:pPr>
            <w:r w:rsidRPr="00C027A5">
              <w:rPr>
                <w:rFonts w:cs="Arial"/>
              </w:rPr>
              <w:t xml:space="preserve">Group Smooth </w:t>
            </w:r>
          </w:p>
          <w:p w14:paraId="0C982F88" w14:textId="2D9DF2A2"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(9) </w:t>
            </w:r>
          </w:p>
        </w:tc>
        <w:tc>
          <w:tcPr>
            <w:tcW w:w="1099" w:type="pct"/>
          </w:tcPr>
          <w:p w14:paraId="50D14365" w14:textId="1F71F1E4"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RR: 0.82 [95% CI 0.14 -4.71], smooth implants were associated with worse outcomes when compared to textured implants for cc </w:t>
            </w:r>
          </w:p>
        </w:tc>
      </w:tr>
      <w:tr w:rsidR="00FB47EB" w:rsidRPr="00FB47EB" w14:paraId="0EA027EF" w14:textId="0713576E" w:rsidTr="003D52DE">
        <w:trPr>
          <w:trHeight w:val="103"/>
        </w:trPr>
        <w:tc>
          <w:tcPr>
            <w:tcW w:w="839" w:type="pct"/>
          </w:tcPr>
          <w:p w14:paraId="60DB3802" w14:textId="13C54B1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Liu et al </w:t>
            </w:r>
          </w:p>
        </w:tc>
        <w:tc>
          <w:tcPr>
            <w:tcW w:w="363" w:type="pct"/>
          </w:tcPr>
          <w:p w14:paraId="550094AB" w14:textId="73F2690C"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2015 </w:t>
            </w:r>
          </w:p>
        </w:tc>
        <w:tc>
          <w:tcPr>
            <w:tcW w:w="523" w:type="pct"/>
          </w:tcPr>
          <w:p w14:paraId="12544C33" w14:textId="76C6F3F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10 </w:t>
            </w:r>
          </w:p>
        </w:tc>
        <w:tc>
          <w:tcPr>
            <w:tcW w:w="687" w:type="pct"/>
          </w:tcPr>
          <w:p w14:paraId="46FBFF78" w14:textId="501A8FDB"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Mixed Cohort </w:t>
            </w:r>
          </w:p>
        </w:tc>
        <w:tc>
          <w:tcPr>
            <w:tcW w:w="748" w:type="pct"/>
          </w:tcPr>
          <w:p w14:paraId="75D585F4" w14:textId="77777777" w:rsidR="00FB47EB" w:rsidRPr="00C027A5" w:rsidRDefault="00FB47EB" w:rsidP="00FB47EB">
            <w:pPr>
              <w:pStyle w:val="Default"/>
              <w:rPr>
                <w:rFonts w:cs="Arial"/>
              </w:rPr>
            </w:pPr>
            <w:r w:rsidRPr="00C027A5">
              <w:rPr>
                <w:rFonts w:cs="Arial"/>
              </w:rPr>
              <w:t xml:space="preserve">Group </w:t>
            </w:r>
          </w:p>
          <w:p w14:paraId="1B80D854" w14:textId="77777777" w:rsidR="00FB47EB" w:rsidRPr="00C027A5" w:rsidRDefault="00FB47EB" w:rsidP="00FB47EB">
            <w:pPr>
              <w:pStyle w:val="Default"/>
              <w:rPr>
                <w:rFonts w:cs="Arial"/>
              </w:rPr>
            </w:pPr>
            <w:r w:rsidRPr="00C027A5">
              <w:rPr>
                <w:rFonts w:cs="Arial"/>
              </w:rPr>
              <w:t xml:space="preserve">Smooth </w:t>
            </w:r>
          </w:p>
          <w:p w14:paraId="4C84683F" w14:textId="38F7DD91"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(5265) </w:t>
            </w:r>
          </w:p>
        </w:tc>
        <w:tc>
          <w:tcPr>
            <w:tcW w:w="742" w:type="pct"/>
          </w:tcPr>
          <w:p w14:paraId="17FBCF5B" w14:textId="77777777" w:rsidR="00FB47EB" w:rsidRPr="00C027A5" w:rsidRDefault="00FB47EB" w:rsidP="00FB47EB">
            <w:pPr>
              <w:pStyle w:val="Default"/>
              <w:rPr>
                <w:rFonts w:cs="Arial"/>
              </w:rPr>
            </w:pPr>
            <w:r w:rsidRPr="00C027A5">
              <w:rPr>
                <w:rFonts w:cs="Arial"/>
              </w:rPr>
              <w:t xml:space="preserve">Group </w:t>
            </w:r>
          </w:p>
          <w:p w14:paraId="324E9B12" w14:textId="77777777" w:rsidR="00FB47EB" w:rsidRPr="00C027A5" w:rsidRDefault="00FB47EB" w:rsidP="00FB47EB">
            <w:pPr>
              <w:pStyle w:val="Default"/>
              <w:rPr>
                <w:rFonts w:cs="Arial"/>
              </w:rPr>
            </w:pPr>
            <w:r w:rsidRPr="00C027A5">
              <w:rPr>
                <w:rFonts w:cs="Arial"/>
              </w:rPr>
              <w:t xml:space="preserve">Texture </w:t>
            </w:r>
          </w:p>
          <w:p w14:paraId="3054C403" w14:textId="0C9FC02F"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(3193) </w:t>
            </w:r>
          </w:p>
        </w:tc>
        <w:tc>
          <w:tcPr>
            <w:tcW w:w="1099" w:type="pct"/>
          </w:tcPr>
          <w:p w14:paraId="0C0DD35B" w14:textId="679C78DA"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RR: 3.10 [95% CI 2.23-4.3] </w:t>
            </w:r>
          </w:p>
        </w:tc>
      </w:tr>
      <w:tr w:rsidR="00FB47EB" w:rsidRPr="00FB47EB" w14:paraId="2B30FEFA" w14:textId="77777777" w:rsidTr="003D52DE">
        <w:trPr>
          <w:trHeight w:val="103"/>
        </w:trPr>
        <w:tc>
          <w:tcPr>
            <w:tcW w:w="839" w:type="pct"/>
          </w:tcPr>
          <w:p w14:paraId="6BF01D65" w14:textId="78D542B8"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Liu et al </w:t>
            </w:r>
          </w:p>
        </w:tc>
        <w:tc>
          <w:tcPr>
            <w:tcW w:w="363" w:type="pct"/>
          </w:tcPr>
          <w:p w14:paraId="75A4AD64" w14:textId="286D92E4"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2015 </w:t>
            </w:r>
          </w:p>
        </w:tc>
        <w:tc>
          <w:tcPr>
            <w:tcW w:w="523" w:type="pct"/>
          </w:tcPr>
          <w:p w14:paraId="499CBF5A" w14:textId="0EA90D0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10 </w:t>
            </w:r>
          </w:p>
        </w:tc>
        <w:tc>
          <w:tcPr>
            <w:tcW w:w="687" w:type="pct"/>
          </w:tcPr>
          <w:p w14:paraId="1D65BA70" w14:textId="06654AA4"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Primary Recon </w:t>
            </w:r>
          </w:p>
        </w:tc>
        <w:tc>
          <w:tcPr>
            <w:tcW w:w="748" w:type="pct"/>
          </w:tcPr>
          <w:p w14:paraId="76ED368A" w14:textId="77777777" w:rsidR="00FB47EB" w:rsidRPr="00C027A5" w:rsidRDefault="00FB47EB" w:rsidP="00FB47EB">
            <w:pPr>
              <w:pStyle w:val="Default"/>
              <w:rPr>
                <w:rFonts w:cs="Arial"/>
              </w:rPr>
            </w:pPr>
            <w:r w:rsidRPr="00C027A5">
              <w:rPr>
                <w:rFonts w:cs="Arial"/>
              </w:rPr>
              <w:t xml:space="preserve">Group </w:t>
            </w:r>
          </w:p>
          <w:p w14:paraId="0552387C" w14:textId="77777777" w:rsidR="00FB47EB" w:rsidRPr="00C027A5" w:rsidRDefault="00FB47EB" w:rsidP="00FB47EB">
            <w:pPr>
              <w:pStyle w:val="Default"/>
              <w:rPr>
                <w:rFonts w:cs="Arial"/>
              </w:rPr>
            </w:pPr>
            <w:r w:rsidRPr="00C027A5">
              <w:rPr>
                <w:rFonts w:cs="Arial"/>
              </w:rPr>
              <w:t xml:space="preserve">Smooth </w:t>
            </w:r>
          </w:p>
          <w:p w14:paraId="62AE0CE3" w14:textId="3E4D9356"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(na) </w:t>
            </w:r>
          </w:p>
        </w:tc>
        <w:tc>
          <w:tcPr>
            <w:tcW w:w="742" w:type="pct"/>
          </w:tcPr>
          <w:p w14:paraId="411A1D1D" w14:textId="77777777" w:rsidR="00FB47EB" w:rsidRPr="00C027A5" w:rsidRDefault="00FB47EB" w:rsidP="00FB47EB">
            <w:pPr>
              <w:pStyle w:val="Default"/>
              <w:rPr>
                <w:rFonts w:cs="Arial"/>
              </w:rPr>
            </w:pPr>
            <w:r w:rsidRPr="00C027A5">
              <w:rPr>
                <w:rFonts w:cs="Arial"/>
              </w:rPr>
              <w:t xml:space="preserve">Group </w:t>
            </w:r>
          </w:p>
          <w:p w14:paraId="21DBB755" w14:textId="77777777" w:rsidR="00FB47EB" w:rsidRPr="00C027A5" w:rsidRDefault="00FB47EB" w:rsidP="00FB47EB">
            <w:pPr>
              <w:pStyle w:val="Default"/>
              <w:rPr>
                <w:rFonts w:cs="Arial"/>
              </w:rPr>
            </w:pPr>
            <w:r w:rsidRPr="00C027A5">
              <w:rPr>
                <w:rFonts w:cs="Arial"/>
              </w:rPr>
              <w:t xml:space="preserve">Texture </w:t>
            </w:r>
          </w:p>
          <w:p w14:paraId="4A315521" w14:textId="0514EA89"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(na) </w:t>
            </w:r>
          </w:p>
        </w:tc>
        <w:tc>
          <w:tcPr>
            <w:tcW w:w="1099" w:type="pct"/>
          </w:tcPr>
          <w:p w14:paraId="619BA5B5" w14:textId="0E763528"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RR: 2.3[95% CI 1.17-4.5] </w:t>
            </w:r>
          </w:p>
        </w:tc>
      </w:tr>
      <w:tr w:rsidR="00FB47EB" w:rsidRPr="00FB47EB" w14:paraId="1DD13818" w14:textId="77777777" w:rsidTr="003D52DE">
        <w:trPr>
          <w:trHeight w:val="103"/>
        </w:trPr>
        <w:tc>
          <w:tcPr>
            <w:tcW w:w="839" w:type="pct"/>
          </w:tcPr>
          <w:p w14:paraId="64FCDA51" w14:textId="6C07782C"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Wong et al </w:t>
            </w:r>
          </w:p>
        </w:tc>
        <w:tc>
          <w:tcPr>
            <w:tcW w:w="363" w:type="pct"/>
          </w:tcPr>
          <w:p w14:paraId="535042D2" w14:textId="759A1968"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2006 </w:t>
            </w:r>
          </w:p>
        </w:tc>
        <w:tc>
          <w:tcPr>
            <w:tcW w:w="523" w:type="pct"/>
          </w:tcPr>
          <w:p w14:paraId="4920539F" w14:textId="33CD9A80"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3 </w:t>
            </w:r>
          </w:p>
        </w:tc>
        <w:tc>
          <w:tcPr>
            <w:tcW w:w="687" w:type="pct"/>
          </w:tcPr>
          <w:p w14:paraId="7834D2B9" w14:textId="71ACF3BE"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Primary Aug </w:t>
            </w:r>
          </w:p>
        </w:tc>
        <w:tc>
          <w:tcPr>
            <w:tcW w:w="748" w:type="pct"/>
          </w:tcPr>
          <w:p w14:paraId="130FB8A9" w14:textId="77777777" w:rsidR="00FB47EB" w:rsidRPr="00C027A5" w:rsidRDefault="00FB47EB" w:rsidP="00FB47EB">
            <w:pPr>
              <w:pStyle w:val="Default"/>
              <w:rPr>
                <w:rFonts w:cs="Arial"/>
              </w:rPr>
            </w:pPr>
            <w:r w:rsidRPr="00C027A5">
              <w:rPr>
                <w:rFonts w:cs="Arial"/>
              </w:rPr>
              <w:t xml:space="preserve">Group </w:t>
            </w:r>
          </w:p>
          <w:p w14:paraId="5D2BEFF4" w14:textId="77777777" w:rsidR="00FB47EB" w:rsidRPr="00C027A5" w:rsidRDefault="00FB47EB" w:rsidP="00FB47EB">
            <w:pPr>
              <w:pStyle w:val="Default"/>
              <w:rPr>
                <w:rFonts w:cs="Arial"/>
              </w:rPr>
            </w:pPr>
            <w:r w:rsidRPr="00C027A5">
              <w:rPr>
                <w:rFonts w:cs="Arial"/>
              </w:rPr>
              <w:t xml:space="preserve">Smooth </w:t>
            </w:r>
          </w:p>
          <w:p w14:paraId="79A14532" w14:textId="77777777" w:rsidR="00FB47EB" w:rsidRPr="00C027A5" w:rsidRDefault="00FB47EB" w:rsidP="00FB47EB">
            <w:pPr>
              <w:pStyle w:val="Default"/>
              <w:rPr>
                <w:rFonts w:cs="Arial"/>
              </w:rPr>
            </w:pPr>
            <w:r w:rsidRPr="00C027A5">
              <w:rPr>
                <w:rFonts w:cs="Arial"/>
              </w:rPr>
              <w:t xml:space="preserve">(1 year -209 </w:t>
            </w:r>
          </w:p>
          <w:p w14:paraId="3AE87C09" w14:textId="77777777" w:rsidR="00FB47EB" w:rsidRPr="00C027A5" w:rsidRDefault="00FB47EB" w:rsidP="00FB47EB">
            <w:pPr>
              <w:pStyle w:val="Default"/>
              <w:rPr>
                <w:rFonts w:cs="Arial"/>
              </w:rPr>
            </w:pPr>
            <w:r w:rsidRPr="00C027A5">
              <w:rPr>
                <w:rFonts w:cs="Arial"/>
              </w:rPr>
              <w:t xml:space="preserve">3 years – 69 </w:t>
            </w:r>
          </w:p>
          <w:p w14:paraId="1D850CDA" w14:textId="03EB3C44" w:rsidR="00FB47EB" w:rsidRPr="00C027A5" w:rsidRDefault="00FB47EB" w:rsidP="00FB47EB">
            <w:pPr>
              <w:pStyle w:val="Default"/>
              <w:rPr>
                <w:rFonts w:cs="Arial"/>
              </w:rPr>
            </w:pPr>
            <w:r w:rsidRPr="00C027A5">
              <w:rPr>
                <w:rFonts w:cs="Arial"/>
              </w:rPr>
              <w:t xml:space="preserve">7.5 years - 62) </w:t>
            </w:r>
          </w:p>
        </w:tc>
        <w:tc>
          <w:tcPr>
            <w:tcW w:w="742" w:type="pct"/>
          </w:tcPr>
          <w:p w14:paraId="7273ABC1" w14:textId="77777777" w:rsidR="00FB47EB" w:rsidRPr="00C027A5" w:rsidRDefault="00FB47EB" w:rsidP="00FB47EB">
            <w:pPr>
              <w:pStyle w:val="Default"/>
              <w:rPr>
                <w:rFonts w:cs="Arial"/>
              </w:rPr>
            </w:pPr>
            <w:r w:rsidRPr="00C027A5">
              <w:rPr>
                <w:rFonts w:cs="Arial"/>
              </w:rPr>
              <w:t xml:space="preserve">Group </w:t>
            </w:r>
          </w:p>
          <w:p w14:paraId="5A910E03" w14:textId="77777777" w:rsidR="00FB47EB" w:rsidRPr="00C027A5" w:rsidRDefault="00FB47EB" w:rsidP="00FB47EB">
            <w:pPr>
              <w:pStyle w:val="Default"/>
              <w:rPr>
                <w:rFonts w:cs="Arial"/>
              </w:rPr>
            </w:pPr>
            <w:r w:rsidRPr="00C027A5">
              <w:rPr>
                <w:rFonts w:cs="Arial"/>
              </w:rPr>
              <w:t xml:space="preserve">Texture </w:t>
            </w:r>
          </w:p>
          <w:p w14:paraId="09D36F85" w14:textId="77777777" w:rsidR="00FB47EB" w:rsidRPr="00C027A5" w:rsidRDefault="00FB47EB" w:rsidP="00FB47EB">
            <w:pPr>
              <w:pStyle w:val="Default"/>
              <w:rPr>
                <w:rFonts w:cs="Arial"/>
              </w:rPr>
            </w:pPr>
            <w:r w:rsidRPr="00C027A5">
              <w:rPr>
                <w:rFonts w:cs="Arial"/>
              </w:rPr>
              <w:t xml:space="preserve">(1 year -213 </w:t>
            </w:r>
          </w:p>
          <w:p w14:paraId="0F6A0069" w14:textId="77777777" w:rsidR="00FB47EB" w:rsidRPr="00C027A5" w:rsidRDefault="00FB47EB" w:rsidP="00FB47EB">
            <w:pPr>
              <w:pStyle w:val="Default"/>
              <w:rPr>
                <w:rFonts w:cs="Arial"/>
              </w:rPr>
            </w:pPr>
            <w:r w:rsidRPr="00C027A5">
              <w:rPr>
                <w:rFonts w:cs="Arial"/>
              </w:rPr>
              <w:t xml:space="preserve">3 years – 79 </w:t>
            </w:r>
          </w:p>
          <w:p w14:paraId="144AD499" w14:textId="709E6D5F" w:rsidR="00FB47EB" w:rsidRPr="00C027A5" w:rsidRDefault="00FB47EB" w:rsidP="00FB47EB">
            <w:pPr>
              <w:pStyle w:val="Default"/>
              <w:rPr>
                <w:rFonts w:cs="Arial"/>
              </w:rPr>
            </w:pPr>
            <w:r w:rsidRPr="00C027A5">
              <w:rPr>
                <w:rFonts w:cs="Arial"/>
              </w:rPr>
              <w:t xml:space="preserve">7.5 years - 72) </w:t>
            </w:r>
          </w:p>
        </w:tc>
        <w:tc>
          <w:tcPr>
            <w:tcW w:w="1099" w:type="pct"/>
          </w:tcPr>
          <w:p w14:paraId="08D6BC51" w14:textId="77777777" w:rsidR="00FB47EB" w:rsidRPr="00C027A5" w:rsidRDefault="00FB47EB" w:rsidP="00FB47EB">
            <w:pPr>
              <w:pStyle w:val="Default"/>
              <w:rPr>
                <w:rFonts w:cs="Arial"/>
              </w:rPr>
            </w:pPr>
            <w:r w:rsidRPr="00C027A5">
              <w:rPr>
                <w:rFonts w:cs="Arial"/>
              </w:rPr>
              <w:t xml:space="preserve">1-year RR: 4.16 [95% CI 1.58 - 10.96] p=0.0004 </w:t>
            </w:r>
          </w:p>
          <w:p w14:paraId="31032AFF" w14:textId="77777777" w:rsidR="00FB47EB" w:rsidRPr="00C027A5" w:rsidRDefault="00FB47EB" w:rsidP="00FB47EB">
            <w:pPr>
              <w:pStyle w:val="Default"/>
              <w:rPr>
                <w:rFonts w:cs="Arial"/>
              </w:rPr>
            </w:pPr>
            <w:r w:rsidRPr="00C027A5">
              <w:rPr>
                <w:rFonts w:cs="Arial"/>
              </w:rPr>
              <w:t xml:space="preserve">3 years RR: 7.25 [95% CI 2.42 - 21.69] p=0.0004 </w:t>
            </w:r>
          </w:p>
          <w:p w14:paraId="61953B9F" w14:textId="77777777" w:rsidR="00FB47EB" w:rsidRPr="00C027A5" w:rsidRDefault="00FB47EB" w:rsidP="00FB47EB">
            <w:pPr>
              <w:pStyle w:val="Default"/>
              <w:rPr>
                <w:rFonts w:cs="Arial"/>
              </w:rPr>
            </w:pPr>
            <w:r w:rsidRPr="00C027A5">
              <w:rPr>
                <w:rFonts w:cs="Arial"/>
              </w:rPr>
              <w:t xml:space="preserve">7 years RR: 2.98 [95% CI, 0.86 to 10.37] p=0.09 </w:t>
            </w:r>
          </w:p>
          <w:p w14:paraId="15CABD6A" w14:textId="351D2B70" w:rsidR="00FB47EB" w:rsidRPr="00C027A5" w:rsidRDefault="00FB47EB" w:rsidP="00FB47EB">
            <w:pPr>
              <w:pStyle w:val="05Tabletext22"/>
              <w:rPr>
                <w:rFonts w:ascii="Arial Narrow" w:hAnsi="Arial Narrow" w:cs="Arial"/>
                <w:sz w:val="20"/>
                <w:szCs w:val="20"/>
              </w:rPr>
            </w:pPr>
            <w:r w:rsidRPr="00C027A5">
              <w:rPr>
                <w:rFonts w:ascii="Arial Narrow" w:hAnsi="Arial Narrow" w:cs="Arial"/>
                <w:sz w:val="20"/>
                <w:szCs w:val="20"/>
              </w:rPr>
              <w:t xml:space="preserve">Textured implants were associated with less CC </w:t>
            </w:r>
          </w:p>
        </w:tc>
      </w:tr>
    </w:tbl>
    <w:p w14:paraId="3345C1A0" w14:textId="2B3D62A2" w:rsidR="000474AD" w:rsidRPr="00C027A5" w:rsidRDefault="00FB47EB" w:rsidP="006570AD">
      <w:pPr>
        <w:rPr>
          <w:rFonts w:ascii="Arial Narrow" w:hAnsi="Arial Narrow" w:cs="Arial"/>
          <w:sz w:val="18"/>
          <w:szCs w:val="18"/>
          <w:lang w:val="en-US"/>
        </w:rPr>
      </w:pPr>
      <w:r w:rsidRPr="00C027A5">
        <w:rPr>
          <w:rFonts w:ascii="Arial Narrow" w:hAnsi="Arial Narrow" w:cs="Arial"/>
          <w:sz w:val="18"/>
          <w:szCs w:val="18"/>
          <w:lang w:val="en-US"/>
        </w:rPr>
        <w:t xml:space="preserve">Source: Table 12, </w:t>
      </w:r>
      <w:r w:rsidR="00154A5E" w:rsidRPr="00C027A5">
        <w:rPr>
          <w:rFonts w:ascii="Arial Narrow" w:hAnsi="Arial Narrow" w:cs="Arial"/>
          <w:sz w:val="18"/>
          <w:szCs w:val="18"/>
          <w:lang w:val="en-US"/>
        </w:rPr>
        <w:t>p</w:t>
      </w:r>
      <w:r w:rsidRPr="00C027A5">
        <w:rPr>
          <w:rFonts w:ascii="Arial Narrow" w:hAnsi="Arial Narrow" w:cs="Arial"/>
          <w:sz w:val="18"/>
          <w:szCs w:val="18"/>
          <w:lang w:val="en-US"/>
        </w:rPr>
        <w:t>37 of the submission.</w:t>
      </w:r>
    </w:p>
    <w:p w14:paraId="1B57A187" w14:textId="4B46DE21" w:rsidR="00FB47EB" w:rsidRPr="00C027A5" w:rsidRDefault="00FB47EB" w:rsidP="006570AD">
      <w:pPr>
        <w:rPr>
          <w:rFonts w:ascii="Arial Narrow" w:hAnsi="Arial Narrow" w:cs="Arial"/>
          <w:sz w:val="18"/>
          <w:szCs w:val="18"/>
          <w:lang w:val="en-US"/>
        </w:rPr>
      </w:pPr>
      <w:r w:rsidRPr="00C027A5">
        <w:rPr>
          <w:rFonts w:ascii="Arial Narrow" w:hAnsi="Arial Narrow" w:cs="Arial"/>
          <w:sz w:val="18"/>
          <w:szCs w:val="18"/>
          <w:lang w:val="en-US"/>
        </w:rPr>
        <w:t>Abbreviations: CC=capsular contracture</w:t>
      </w:r>
      <w:r w:rsidR="00DF57CC" w:rsidRPr="00C027A5">
        <w:rPr>
          <w:rFonts w:ascii="Arial Narrow" w:hAnsi="Arial Narrow" w:cs="Arial"/>
          <w:sz w:val="18"/>
          <w:szCs w:val="18"/>
          <w:lang w:val="en-US"/>
        </w:rPr>
        <w:t>, Primary Aug=Primary Augmentation; Primary Recon=Primary Reconstruction</w:t>
      </w:r>
    </w:p>
    <w:p w14:paraId="78C4696F" w14:textId="12948FF8" w:rsidR="00DF57CC" w:rsidRPr="00C027A5" w:rsidRDefault="00DF57CC" w:rsidP="006570AD">
      <w:pPr>
        <w:rPr>
          <w:rFonts w:ascii="Arial Narrow" w:hAnsi="Arial Narrow" w:cs="Arial"/>
          <w:sz w:val="18"/>
          <w:szCs w:val="18"/>
          <w:highlight w:val="yellow"/>
          <w:lang w:val="en-US"/>
        </w:rPr>
      </w:pPr>
      <w:r w:rsidRPr="00C027A5">
        <w:rPr>
          <w:rFonts w:ascii="Arial Narrow" w:hAnsi="Arial Narrow" w:cs="Arial"/>
          <w:sz w:val="18"/>
          <w:szCs w:val="18"/>
          <w:vertAlign w:val="superscript"/>
        </w:rPr>
        <w:t>b</w:t>
      </w:r>
      <w:r w:rsidRPr="00C027A5">
        <w:rPr>
          <w:rFonts w:ascii="Arial Narrow" w:hAnsi="Arial Narrow" w:cs="Arial"/>
          <w:sz w:val="18"/>
          <w:szCs w:val="18"/>
        </w:rPr>
        <w:t xml:space="preserve"> Mean follow up years where available, otherwise reported as maximum follow up period</w:t>
      </w:r>
    </w:p>
    <w:p w14:paraId="16C445CB" w14:textId="756D3F71" w:rsidR="004F2307" w:rsidRPr="0089340D" w:rsidRDefault="003E2EE2" w:rsidP="00114D7C">
      <w:pPr>
        <w:spacing w:before="240" w:after="240"/>
        <w:rPr>
          <w:szCs w:val="24"/>
        </w:rPr>
      </w:pPr>
      <w:r w:rsidRPr="003E2EE2">
        <w:rPr>
          <w:szCs w:val="24"/>
          <w:lang w:val="en-US"/>
        </w:rPr>
        <w:t>No additional relevant RCT</w:t>
      </w:r>
      <w:r w:rsidR="002865DD">
        <w:rPr>
          <w:szCs w:val="24"/>
          <w:lang w:val="en-US"/>
        </w:rPr>
        <w:t>s</w:t>
      </w:r>
      <w:r w:rsidRPr="003E2EE2">
        <w:rPr>
          <w:szCs w:val="24"/>
          <w:lang w:val="en-US"/>
        </w:rPr>
        <w:t xml:space="preserve"> </w:t>
      </w:r>
      <w:r w:rsidR="006906FB">
        <w:rPr>
          <w:szCs w:val="24"/>
          <w:lang w:val="en-US"/>
        </w:rPr>
        <w:t xml:space="preserve">comparing </w:t>
      </w:r>
      <w:r w:rsidRPr="003E2EE2">
        <w:rPr>
          <w:szCs w:val="24"/>
          <w:lang w:val="en-US"/>
        </w:rPr>
        <w:t xml:space="preserve">textured implants </w:t>
      </w:r>
      <w:r w:rsidR="009A12C5">
        <w:rPr>
          <w:szCs w:val="24"/>
          <w:lang w:val="en-US"/>
        </w:rPr>
        <w:t>versus</w:t>
      </w:r>
      <w:r w:rsidRPr="003E2EE2">
        <w:rPr>
          <w:szCs w:val="24"/>
          <w:lang w:val="en-US"/>
        </w:rPr>
        <w:t xml:space="preserve"> smooth im</w:t>
      </w:r>
      <w:r w:rsidR="00206EA1">
        <w:rPr>
          <w:szCs w:val="24"/>
          <w:lang w:val="en-US"/>
        </w:rPr>
        <w:t xml:space="preserve">plants were identified in the </w:t>
      </w:r>
      <w:r w:rsidR="00C1197E">
        <w:rPr>
          <w:szCs w:val="24"/>
          <w:lang w:val="en-US"/>
        </w:rPr>
        <w:t>submission</w:t>
      </w:r>
      <w:r w:rsidR="006906FB">
        <w:rPr>
          <w:szCs w:val="24"/>
          <w:lang w:val="en-US"/>
        </w:rPr>
        <w:t>.</w:t>
      </w:r>
    </w:p>
    <w:p w14:paraId="35565BFA" w14:textId="03C93B11" w:rsidR="00436235" w:rsidRPr="00EC48B7" w:rsidRDefault="003A15A0" w:rsidP="00436235">
      <w:pPr>
        <w:pStyle w:val="BodyText"/>
        <w:rPr>
          <w:iCs/>
          <w:lang w:val="en-US"/>
        </w:rPr>
      </w:pPr>
      <w:r>
        <w:rPr>
          <w:lang w:val="en-US"/>
        </w:rPr>
        <w:t>T</w:t>
      </w:r>
      <w:r w:rsidR="007A706E" w:rsidRPr="00251864">
        <w:rPr>
          <w:lang w:val="en-US"/>
        </w:rPr>
        <w:t xml:space="preserve">he </w:t>
      </w:r>
      <w:r w:rsidR="00C1197E">
        <w:rPr>
          <w:lang w:val="en-US"/>
        </w:rPr>
        <w:t>submission</w:t>
      </w:r>
      <w:r>
        <w:rPr>
          <w:lang w:val="en-US"/>
        </w:rPr>
        <w:t xml:space="preserve"> also</w:t>
      </w:r>
      <w:r w:rsidR="007A706E" w:rsidRPr="00251864">
        <w:rPr>
          <w:lang w:val="en-US"/>
        </w:rPr>
        <w:t xml:space="preserve"> included two</w:t>
      </w:r>
      <w:r w:rsidR="007A706E">
        <w:rPr>
          <w:lang w:val="en-US"/>
        </w:rPr>
        <w:t xml:space="preserve"> non-randomised</w:t>
      </w:r>
      <w:r w:rsidR="007A706E" w:rsidRPr="00251864">
        <w:rPr>
          <w:lang w:val="en-US"/>
        </w:rPr>
        <w:t xml:space="preserve"> comparative cohort studies; one comparing textured </w:t>
      </w:r>
      <w:r w:rsidR="002D636F">
        <w:rPr>
          <w:lang w:val="en-US"/>
        </w:rPr>
        <w:t>versus</w:t>
      </w:r>
      <w:r w:rsidR="007A706E">
        <w:rPr>
          <w:lang w:val="en-US"/>
        </w:rPr>
        <w:t xml:space="preserve"> </w:t>
      </w:r>
      <w:r w:rsidR="007A706E" w:rsidRPr="00251864">
        <w:rPr>
          <w:lang w:val="en-US"/>
        </w:rPr>
        <w:t xml:space="preserve">smooth implants </w:t>
      </w:r>
      <w:r w:rsidR="007A706E">
        <w:rPr>
          <w:noProof/>
          <w:lang w:val="en-US"/>
        </w:rPr>
        <w:t>(Collis and Sharpe 2000)</w:t>
      </w:r>
      <w:r w:rsidR="007A706E" w:rsidRPr="00251864">
        <w:rPr>
          <w:lang w:val="en-US"/>
        </w:rPr>
        <w:t xml:space="preserve"> and one comparing Mentor textured </w:t>
      </w:r>
      <w:r w:rsidR="009A12C5">
        <w:rPr>
          <w:lang w:val="en-US"/>
        </w:rPr>
        <w:t>versus</w:t>
      </w:r>
      <w:r w:rsidR="007A706E" w:rsidRPr="00251864">
        <w:rPr>
          <w:lang w:val="en-US"/>
        </w:rPr>
        <w:t xml:space="preserve"> other textured implants </w:t>
      </w:r>
      <w:r w:rsidR="007A706E">
        <w:rPr>
          <w:noProof/>
          <w:lang w:val="en-US"/>
        </w:rPr>
        <w:t>(Doren et al. 2015)</w:t>
      </w:r>
      <w:r w:rsidR="007A706E" w:rsidRPr="00251864">
        <w:rPr>
          <w:lang w:val="en-US"/>
        </w:rPr>
        <w:t xml:space="preserve">. </w:t>
      </w:r>
      <w:r w:rsidR="005307F0">
        <w:rPr>
          <w:lang w:val="en-US"/>
        </w:rPr>
        <w:t>The commentary identified t</w:t>
      </w:r>
      <w:r w:rsidR="007A706E" w:rsidRPr="00251864">
        <w:rPr>
          <w:lang w:val="en-US"/>
        </w:rPr>
        <w:t>wo additional comparative cohort studies compar</w:t>
      </w:r>
      <w:r w:rsidR="006906FB">
        <w:rPr>
          <w:lang w:val="en-US"/>
        </w:rPr>
        <w:t>ing</w:t>
      </w:r>
      <w:r w:rsidR="007A706E" w:rsidRPr="00251864">
        <w:rPr>
          <w:lang w:val="en-US"/>
        </w:rPr>
        <w:t xml:space="preserve"> textured </w:t>
      </w:r>
      <w:r w:rsidR="009A12C5">
        <w:rPr>
          <w:lang w:val="en-US"/>
        </w:rPr>
        <w:t>versus</w:t>
      </w:r>
      <w:r w:rsidR="007A706E" w:rsidRPr="00251864">
        <w:rPr>
          <w:lang w:val="en-US"/>
        </w:rPr>
        <w:t xml:space="preserve"> smooth implants </w:t>
      </w:r>
      <w:r w:rsidR="007A706E">
        <w:rPr>
          <w:noProof/>
          <w:lang w:val="en-US"/>
        </w:rPr>
        <w:t>(Antony et al. 2014)</w:t>
      </w:r>
      <w:r w:rsidR="007A706E" w:rsidRPr="00251864">
        <w:rPr>
          <w:lang w:val="en-US"/>
        </w:rPr>
        <w:t xml:space="preserve"> and the other compar</w:t>
      </w:r>
      <w:r w:rsidR="006906FB">
        <w:rPr>
          <w:lang w:val="en-US"/>
        </w:rPr>
        <w:t>ing</w:t>
      </w:r>
      <w:r w:rsidR="007A706E" w:rsidRPr="00251864">
        <w:rPr>
          <w:lang w:val="en-US"/>
        </w:rPr>
        <w:t xml:space="preserve"> Mentor textured </w:t>
      </w:r>
      <w:r w:rsidR="002D636F">
        <w:rPr>
          <w:lang w:val="en-US"/>
        </w:rPr>
        <w:t>versus</w:t>
      </w:r>
      <w:r w:rsidR="007A706E" w:rsidRPr="00251864">
        <w:rPr>
          <w:lang w:val="en-US"/>
        </w:rPr>
        <w:t xml:space="preserve"> other textured </w:t>
      </w:r>
      <w:r w:rsidR="005307F0">
        <w:rPr>
          <w:lang w:val="en-US"/>
        </w:rPr>
        <w:lastRenderedPageBreak/>
        <w:t xml:space="preserve">implants </w:t>
      </w:r>
      <w:r w:rsidR="007A706E" w:rsidRPr="00251864">
        <w:rPr>
          <w:lang w:val="en-US"/>
        </w:rPr>
        <w:t xml:space="preserve">(Microcell) </w:t>
      </w:r>
      <w:r w:rsidR="007A706E">
        <w:rPr>
          <w:noProof/>
          <w:lang w:val="en-US"/>
        </w:rPr>
        <w:t>(Benediktsson and Perbeck 2006)</w:t>
      </w:r>
      <w:r w:rsidR="007A706E" w:rsidRPr="00251864">
        <w:rPr>
          <w:lang w:val="en-US"/>
        </w:rPr>
        <w:t xml:space="preserve">. </w:t>
      </w:r>
      <w:r w:rsidR="006508A1">
        <w:rPr>
          <w:lang w:val="en-US"/>
        </w:rPr>
        <w:t xml:space="preserve">The commentary stated there was </w:t>
      </w:r>
      <w:r w:rsidR="006508A1">
        <w:rPr>
          <w:iCs/>
          <w:lang w:val="en-US"/>
        </w:rPr>
        <w:t>n</w:t>
      </w:r>
      <w:r w:rsidR="00436235" w:rsidRPr="00EC48B7">
        <w:rPr>
          <w:iCs/>
          <w:lang w:val="en-US"/>
        </w:rPr>
        <w:t>o difference between textured and smooth implants for capsular contracture:</w:t>
      </w:r>
    </w:p>
    <w:p w14:paraId="4D134E5A" w14:textId="7D3E5093" w:rsidR="00436235" w:rsidRPr="00EC48B7" w:rsidRDefault="00436235" w:rsidP="00120505">
      <w:pPr>
        <w:pStyle w:val="BodyText"/>
        <w:numPr>
          <w:ilvl w:val="0"/>
          <w:numId w:val="3"/>
        </w:numPr>
        <w:spacing w:line="259" w:lineRule="auto"/>
        <w:rPr>
          <w:iCs/>
          <w:lang w:val="en-US"/>
        </w:rPr>
      </w:pPr>
      <w:r w:rsidRPr="00EC48B7">
        <w:rPr>
          <w:iCs/>
          <w:noProof/>
          <w:lang w:val="en-US"/>
        </w:rPr>
        <w:t>Collis and Sharpe (2000)</w:t>
      </w:r>
      <w:r w:rsidRPr="00EC48B7">
        <w:rPr>
          <w:iCs/>
          <w:lang w:val="en-US"/>
        </w:rPr>
        <w:t xml:space="preserve"> series of 189 two-stage breast reconstructions (1986-1998), capsular contracture 8.4% textured </w:t>
      </w:r>
      <w:r w:rsidR="002D636F">
        <w:rPr>
          <w:iCs/>
          <w:lang w:val="en-US"/>
        </w:rPr>
        <w:t>versus</w:t>
      </w:r>
      <w:r w:rsidRPr="00EC48B7">
        <w:rPr>
          <w:iCs/>
          <w:lang w:val="en-US"/>
        </w:rPr>
        <w:t xml:space="preserve"> 12.8% smooth, unadjusted RR 0.68 [95% CI 0.28, 1.7]</w:t>
      </w:r>
      <w:r w:rsidR="00071433">
        <w:rPr>
          <w:iCs/>
          <w:lang w:val="en-US"/>
        </w:rPr>
        <w:t>.</w:t>
      </w:r>
      <w:r w:rsidR="006508A1">
        <w:rPr>
          <w:iCs/>
          <w:lang w:val="en-US"/>
        </w:rPr>
        <w:t xml:space="preserve"> See Table 3 below.</w:t>
      </w:r>
    </w:p>
    <w:p w14:paraId="51B1612E" w14:textId="2B9D4D5A" w:rsidR="006508A1" w:rsidRPr="00926657" w:rsidRDefault="00436235" w:rsidP="00926657">
      <w:pPr>
        <w:pStyle w:val="BodyText"/>
        <w:numPr>
          <w:ilvl w:val="0"/>
          <w:numId w:val="3"/>
        </w:numPr>
        <w:spacing w:after="240"/>
        <w:ind w:left="714" w:hanging="357"/>
        <w:rPr>
          <w:lang w:val="en-US"/>
        </w:rPr>
      </w:pPr>
      <w:r w:rsidRPr="00EC48B7">
        <w:rPr>
          <w:iCs/>
          <w:noProof/>
          <w:lang w:val="en-US"/>
        </w:rPr>
        <w:t>Antony et al. (2014)</w:t>
      </w:r>
      <w:r w:rsidRPr="00EC48B7">
        <w:rPr>
          <w:iCs/>
          <w:lang w:val="en-US"/>
        </w:rPr>
        <w:t xml:space="preserve"> series of 365 two-stage breast reconstructions (1997-2007), capsular contracture significant in univariate analysis but not at multivariate analysis. Overall rate of 8.4%.</w:t>
      </w:r>
    </w:p>
    <w:p w14:paraId="51E4340E" w14:textId="6F15D7F1" w:rsidR="006508A1" w:rsidRPr="00114D7C" w:rsidRDefault="006508A1" w:rsidP="00114D7C">
      <w:pPr>
        <w:rPr>
          <w:rFonts w:ascii="Arial Narrow" w:hAnsi="Arial Narrow"/>
          <w:b/>
          <w:sz w:val="20"/>
        </w:rPr>
      </w:pPr>
      <w:bookmarkStart w:id="2" w:name="_Ref23886452"/>
      <w:r w:rsidRPr="00114D7C">
        <w:rPr>
          <w:rFonts w:ascii="Arial Narrow" w:hAnsi="Arial Narrow"/>
          <w:b/>
          <w:sz w:val="20"/>
        </w:rPr>
        <w:t>Table</w:t>
      </w:r>
      <w:bookmarkEnd w:id="2"/>
      <w:r w:rsidRPr="00114D7C">
        <w:rPr>
          <w:rFonts w:ascii="Arial Narrow" w:hAnsi="Arial Narrow"/>
          <w:b/>
          <w:sz w:val="20"/>
        </w:rPr>
        <w:t xml:space="preserve"> 3</w:t>
      </w:r>
      <w:r w:rsidRPr="00114D7C">
        <w:rPr>
          <w:rFonts w:ascii="Arial Narrow" w:hAnsi="Arial Narrow"/>
          <w:b/>
          <w:sz w:val="20"/>
        </w:rPr>
        <w:tab/>
        <w:t>Textured vs. smooth implants for capsular contracture, Collis and Sharpe (2000)</w:t>
      </w:r>
    </w:p>
    <w:tbl>
      <w:tblPr>
        <w:tblStyle w:val="TableGrid1"/>
        <w:tblW w:w="0" w:type="auto"/>
        <w:tblLook w:val="0000" w:firstRow="0" w:lastRow="0" w:firstColumn="0" w:lastColumn="0" w:noHBand="0" w:noVBand="0"/>
        <w:tblDescription w:val="Textured vs. smooth implants for capsular contracture, Collis and Sharpe (2000)"/>
      </w:tblPr>
      <w:tblGrid>
        <w:gridCol w:w="1447"/>
        <w:gridCol w:w="1109"/>
        <w:gridCol w:w="1119"/>
        <w:gridCol w:w="691"/>
        <w:gridCol w:w="1342"/>
        <w:gridCol w:w="1113"/>
        <w:gridCol w:w="1154"/>
        <w:gridCol w:w="1041"/>
      </w:tblGrid>
      <w:tr w:rsidR="006508A1" w:rsidRPr="005610C9" w14:paraId="75D00377" w14:textId="77777777" w:rsidTr="003D52DE">
        <w:trPr>
          <w:trHeight w:val="114"/>
          <w:tblHeader/>
        </w:trPr>
        <w:tc>
          <w:tcPr>
            <w:tcW w:w="1531" w:type="dxa"/>
          </w:tcPr>
          <w:p w14:paraId="3AADD042"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Textured</w:t>
            </w:r>
          </w:p>
        </w:tc>
        <w:tc>
          <w:tcPr>
            <w:tcW w:w="1143" w:type="dxa"/>
          </w:tcPr>
          <w:p w14:paraId="391B3F48" w14:textId="77777777" w:rsidR="006508A1" w:rsidRPr="009A12C5" w:rsidRDefault="006508A1" w:rsidP="00AB20A2">
            <w:pPr>
              <w:pStyle w:val="01TableHeading"/>
              <w:rPr>
                <w:rFonts w:ascii="Arial Narrow" w:eastAsia="Calibri" w:hAnsi="Arial Narrow"/>
                <w:sz w:val="20"/>
                <w:lang w:eastAsia="en-AU"/>
              </w:rPr>
            </w:pPr>
          </w:p>
        </w:tc>
        <w:tc>
          <w:tcPr>
            <w:tcW w:w="0" w:type="auto"/>
          </w:tcPr>
          <w:p w14:paraId="655775AF" w14:textId="77777777" w:rsidR="006508A1" w:rsidRPr="009A12C5" w:rsidRDefault="006508A1" w:rsidP="00AB20A2">
            <w:pPr>
              <w:pStyle w:val="01TableHeading"/>
              <w:rPr>
                <w:rFonts w:ascii="Arial Narrow" w:eastAsia="Calibri" w:hAnsi="Arial Narrow"/>
                <w:sz w:val="20"/>
                <w:lang w:eastAsia="en-AU"/>
              </w:rPr>
            </w:pPr>
          </w:p>
        </w:tc>
        <w:tc>
          <w:tcPr>
            <w:tcW w:w="0" w:type="auto"/>
          </w:tcPr>
          <w:p w14:paraId="674AB42E" w14:textId="77777777" w:rsidR="006508A1" w:rsidRPr="009A12C5" w:rsidRDefault="006508A1" w:rsidP="00AB20A2">
            <w:pPr>
              <w:pStyle w:val="01TableHeading"/>
              <w:rPr>
                <w:rFonts w:ascii="Arial Narrow" w:eastAsia="Calibri" w:hAnsi="Arial Narrow"/>
                <w:sz w:val="20"/>
                <w:lang w:eastAsia="en-AU"/>
              </w:rPr>
            </w:pPr>
          </w:p>
        </w:tc>
        <w:tc>
          <w:tcPr>
            <w:tcW w:w="1422" w:type="dxa"/>
          </w:tcPr>
          <w:p w14:paraId="37EF4159"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Smooth</w:t>
            </w:r>
          </w:p>
        </w:tc>
        <w:tc>
          <w:tcPr>
            <w:tcW w:w="1147" w:type="dxa"/>
          </w:tcPr>
          <w:p w14:paraId="70AAB7BD" w14:textId="77777777" w:rsidR="006508A1" w:rsidRPr="009A12C5" w:rsidRDefault="006508A1" w:rsidP="00AB20A2">
            <w:pPr>
              <w:pStyle w:val="01TableHeading"/>
              <w:rPr>
                <w:rFonts w:ascii="Arial Narrow" w:eastAsia="Calibri" w:hAnsi="Arial Narrow"/>
                <w:sz w:val="20"/>
                <w:lang w:eastAsia="en-AU"/>
              </w:rPr>
            </w:pPr>
          </w:p>
        </w:tc>
        <w:tc>
          <w:tcPr>
            <w:tcW w:w="1159" w:type="dxa"/>
          </w:tcPr>
          <w:p w14:paraId="6057C7A4" w14:textId="77777777" w:rsidR="006508A1" w:rsidRPr="009A12C5" w:rsidRDefault="006508A1" w:rsidP="00AB20A2">
            <w:pPr>
              <w:pStyle w:val="01TableHeading"/>
              <w:rPr>
                <w:rFonts w:ascii="Arial Narrow" w:eastAsia="Calibri" w:hAnsi="Arial Narrow"/>
                <w:sz w:val="20"/>
                <w:lang w:eastAsia="en-AU"/>
              </w:rPr>
            </w:pPr>
          </w:p>
        </w:tc>
        <w:tc>
          <w:tcPr>
            <w:tcW w:w="1095" w:type="dxa"/>
          </w:tcPr>
          <w:p w14:paraId="2292D3B1" w14:textId="77777777" w:rsidR="006508A1" w:rsidRPr="009A12C5" w:rsidRDefault="006508A1" w:rsidP="00AB20A2">
            <w:pPr>
              <w:pStyle w:val="01TableHeading"/>
              <w:rPr>
                <w:rFonts w:ascii="Arial Narrow" w:eastAsia="Calibri" w:hAnsi="Arial Narrow"/>
                <w:sz w:val="20"/>
                <w:lang w:eastAsia="en-AU"/>
              </w:rPr>
            </w:pPr>
          </w:p>
        </w:tc>
      </w:tr>
      <w:tr w:rsidR="006508A1" w:rsidRPr="005610C9" w14:paraId="12E9B778" w14:textId="77777777" w:rsidTr="003D52DE">
        <w:trPr>
          <w:trHeight w:val="444"/>
        </w:trPr>
        <w:tc>
          <w:tcPr>
            <w:tcW w:w="1531" w:type="dxa"/>
          </w:tcPr>
          <w:p w14:paraId="4821E816"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 xml:space="preserve">Implant type </w:t>
            </w:r>
          </w:p>
        </w:tc>
        <w:tc>
          <w:tcPr>
            <w:tcW w:w="1143" w:type="dxa"/>
          </w:tcPr>
          <w:p w14:paraId="57D17792"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N patients/ breasts</w:t>
            </w:r>
          </w:p>
        </w:tc>
        <w:tc>
          <w:tcPr>
            <w:tcW w:w="0" w:type="auto"/>
          </w:tcPr>
          <w:p w14:paraId="19E5053E"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N contracture</w:t>
            </w:r>
          </w:p>
        </w:tc>
        <w:tc>
          <w:tcPr>
            <w:tcW w:w="0" w:type="auto"/>
          </w:tcPr>
          <w:p w14:paraId="0206CFE7"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CC Grade (III/IV)</w:t>
            </w:r>
          </w:p>
        </w:tc>
        <w:tc>
          <w:tcPr>
            <w:tcW w:w="1422" w:type="dxa"/>
          </w:tcPr>
          <w:p w14:paraId="5A62831E"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 xml:space="preserve">Implant type </w:t>
            </w:r>
          </w:p>
        </w:tc>
        <w:tc>
          <w:tcPr>
            <w:tcW w:w="1147" w:type="dxa"/>
          </w:tcPr>
          <w:p w14:paraId="104D0A91"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N patients/ breasts</w:t>
            </w:r>
          </w:p>
        </w:tc>
        <w:tc>
          <w:tcPr>
            <w:tcW w:w="1159" w:type="dxa"/>
          </w:tcPr>
          <w:p w14:paraId="769B2009"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N contracture</w:t>
            </w:r>
          </w:p>
        </w:tc>
        <w:tc>
          <w:tcPr>
            <w:tcW w:w="1095" w:type="dxa"/>
          </w:tcPr>
          <w:p w14:paraId="3828DE6C" w14:textId="77777777" w:rsidR="006508A1" w:rsidRPr="009A12C5" w:rsidRDefault="006508A1"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CC Grade (III/IV)</w:t>
            </w:r>
          </w:p>
        </w:tc>
      </w:tr>
      <w:tr w:rsidR="006508A1" w:rsidRPr="005610C9" w14:paraId="57ACF817" w14:textId="77777777" w:rsidTr="003D52DE">
        <w:trPr>
          <w:trHeight w:val="114"/>
        </w:trPr>
        <w:tc>
          <w:tcPr>
            <w:tcW w:w="1531" w:type="dxa"/>
          </w:tcPr>
          <w:p w14:paraId="2B302F17"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Mentor textured</w:t>
            </w:r>
          </w:p>
        </w:tc>
        <w:tc>
          <w:tcPr>
            <w:tcW w:w="1143" w:type="dxa"/>
          </w:tcPr>
          <w:p w14:paraId="728B5D8B"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66</w:t>
            </w:r>
          </w:p>
        </w:tc>
        <w:tc>
          <w:tcPr>
            <w:tcW w:w="0" w:type="auto"/>
          </w:tcPr>
          <w:p w14:paraId="679095AE"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5</w:t>
            </w:r>
          </w:p>
        </w:tc>
        <w:tc>
          <w:tcPr>
            <w:tcW w:w="0" w:type="auto"/>
          </w:tcPr>
          <w:p w14:paraId="30CB1B8A"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8</w:t>
            </w:r>
          </w:p>
        </w:tc>
        <w:tc>
          <w:tcPr>
            <w:tcW w:w="1422" w:type="dxa"/>
          </w:tcPr>
          <w:p w14:paraId="7AEC431D"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 xml:space="preserve">Other Smooth (Nagor) </w:t>
            </w:r>
          </w:p>
        </w:tc>
        <w:tc>
          <w:tcPr>
            <w:tcW w:w="1147" w:type="dxa"/>
          </w:tcPr>
          <w:p w14:paraId="54D7A266"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 xml:space="preserve">75 </w:t>
            </w:r>
          </w:p>
        </w:tc>
        <w:tc>
          <w:tcPr>
            <w:tcW w:w="1159" w:type="dxa"/>
          </w:tcPr>
          <w:p w14:paraId="6F7E0E6D"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10</w:t>
            </w:r>
          </w:p>
        </w:tc>
        <w:tc>
          <w:tcPr>
            <w:tcW w:w="1095" w:type="dxa"/>
          </w:tcPr>
          <w:p w14:paraId="51FC509A"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13</w:t>
            </w:r>
          </w:p>
        </w:tc>
      </w:tr>
      <w:tr w:rsidR="006508A1" w:rsidRPr="005610C9" w14:paraId="0E67E3B1" w14:textId="77777777" w:rsidTr="003D52DE">
        <w:trPr>
          <w:trHeight w:val="114"/>
        </w:trPr>
        <w:tc>
          <w:tcPr>
            <w:tcW w:w="1531" w:type="dxa"/>
          </w:tcPr>
          <w:p w14:paraId="21B66386"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Mentor textured Becker</w:t>
            </w:r>
          </w:p>
        </w:tc>
        <w:tc>
          <w:tcPr>
            <w:tcW w:w="1143" w:type="dxa"/>
          </w:tcPr>
          <w:p w14:paraId="6D14C4FF"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17</w:t>
            </w:r>
          </w:p>
        </w:tc>
        <w:tc>
          <w:tcPr>
            <w:tcW w:w="0" w:type="auto"/>
          </w:tcPr>
          <w:p w14:paraId="50D6691D"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2</w:t>
            </w:r>
          </w:p>
        </w:tc>
        <w:tc>
          <w:tcPr>
            <w:tcW w:w="0" w:type="auto"/>
          </w:tcPr>
          <w:p w14:paraId="4C8B6EC0"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12</w:t>
            </w:r>
          </w:p>
        </w:tc>
        <w:tc>
          <w:tcPr>
            <w:tcW w:w="1422" w:type="dxa"/>
          </w:tcPr>
          <w:p w14:paraId="1C24A733"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Dow Corning smooth</w:t>
            </w:r>
          </w:p>
        </w:tc>
        <w:tc>
          <w:tcPr>
            <w:tcW w:w="1147" w:type="dxa"/>
          </w:tcPr>
          <w:p w14:paraId="452F1523"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11</w:t>
            </w:r>
          </w:p>
        </w:tc>
        <w:tc>
          <w:tcPr>
            <w:tcW w:w="1159" w:type="dxa"/>
          </w:tcPr>
          <w:p w14:paraId="3A4AAFBD"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1</w:t>
            </w:r>
          </w:p>
        </w:tc>
        <w:tc>
          <w:tcPr>
            <w:tcW w:w="1095" w:type="dxa"/>
          </w:tcPr>
          <w:p w14:paraId="5E44BF33" w14:textId="77777777" w:rsidR="006508A1" w:rsidRPr="009A12C5" w:rsidRDefault="006508A1" w:rsidP="00AB20A2">
            <w:pPr>
              <w:pStyle w:val="05Tabletext22"/>
              <w:rPr>
                <w:rFonts w:ascii="Arial Narrow" w:hAnsi="Arial Narrow"/>
                <w:sz w:val="20"/>
              </w:rPr>
            </w:pPr>
            <w:r w:rsidRPr="009A12C5">
              <w:rPr>
                <w:rFonts w:ascii="Arial Narrow" w:hAnsi="Arial Narrow"/>
                <w:sz w:val="20"/>
              </w:rPr>
              <w:t>8</w:t>
            </w:r>
          </w:p>
        </w:tc>
      </w:tr>
      <w:tr w:rsidR="006508A1" w:rsidRPr="005610C9" w14:paraId="5FCEF276" w14:textId="77777777" w:rsidTr="003D52DE">
        <w:trPr>
          <w:trHeight w:val="114"/>
        </w:trPr>
        <w:tc>
          <w:tcPr>
            <w:tcW w:w="1531" w:type="dxa"/>
          </w:tcPr>
          <w:p w14:paraId="4296C0D0"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Total textured</w:t>
            </w:r>
          </w:p>
        </w:tc>
        <w:tc>
          <w:tcPr>
            <w:tcW w:w="1143" w:type="dxa"/>
          </w:tcPr>
          <w:p w14:paraId="2C6FB84A"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83</w:t>
            </w:r>
          </w:p>
        </w:tc>
        <w:tc>
          <w:tcPr>
            <w:tcW w:w="0" w:type="auto"/>
          </w:tcPr>
          <w:p w14:paraId="54FDC8B9"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7</w:t>
            </w:r>
          </w:p>
        </w:tc>
        <w:tc>
          <w:tcPr>
            <w:tcW w:w="0" w:type="auto"/>
          </w:tcPr>
          <w:p w14:paraId="270A32E1"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8.4%</w:t>
            </w:r>
            <w:r w:rsidRPr="009A12C5">
              <w:rPr>
                <w:rFonts w:ascii="Arial Narrow" w:hAnsi="Arial Narrow"/>
                <w:sz w:val="20"/>
              </w:rPr>
              <w:br/>
              <w:t>(3.9-16.7)</w:t>
            </w:r>
          </w:p>
        </w:tc>
        <w:tc>
          <w:tcPr>
            <w:tcW w:w="1422" w:type="dxa"/>
          </w:tcPr>
          <w:p w14:paraId="4D4EBB21"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Total smooth</w:t>
            </w:r>
          </w:p>
        </w:tc>
        <w:tc>
          <w:tcPr>
            <w:tcW w:w="1147" w:type="dxa"/>
          </w:tcPr>
          <w:p w14:paraId="606DAF36"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86</w:t>
            </w:r>
          </w:p>
        </w:tc>
        <w:tc>
          <w:tcPr>
            <w:tcW w:w="1159" w:type="dxa"/>
          </w:tcPr>
          <w:p w14:paraId="6AE79CBB"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11</w:t>
            </w:r>
          </w:p>
        </w:tc>
        <w:tc>
          <w:tcPr>
            <w:tcW w:w="1095" w:type="dxa"/>
          </w:tcPr>
          <w:p w14:paraId="5274A446" w14:textId="77777777" w:rsidR="006508A1" w:rsidRPr="009A12C5" w:rsidRDefault="006508A1" w:rsidP="00AB20A2">
            <w:pPr>
              <w:pStyle w:val="03Tablesubheading"/>
              <w:rPr>
                <w:rFonts w:ascii="Arial Narrow" w:hAnsi="Arial Narrow"/>
                <w:sz w:val="20"/>
              </w:rPr>
            </w:pPr>
            <w:r w:rsidRPr="009A12C5">
              <w:rPr>
                <w:rFonts w:ascii="Arial Narrow" w:hAnsi="Arial Narrow"/>
                <w:sz w:val="20"/>
              </w:rPr>
              <w:t xml:space="preserve">12.8% </w:t>
            </w:r>
            <w:r w:rsidRPr="009A12C5">
              <w:rPr>
                <w:rFonts w:ascii="Arial Narrow" w:hAnsi="Arial Narrow"/>
                <w:sz w:val="20"/>
              </w:rPr>
              <w:br/>
              <w:t>(7.1-21.6)</w:t>
            </w:r>
          </w:p>
        </w:tc>
      </w:tr>
    </w:tbl>
    <w:p w14:paraId="522892A4" w14:textId="40E29A3F" w:rsidR="006508A1" w:rsidRDefault="00753952" w:rsidP="009A12C5">
      <w:pPr>
        <w:pStyle w:val="08Tablefootnoteslast-nostick"/>
        <w:spacing w:after="0"/>
        <w:rPr>
          <w:rFonts w:ascii="Arial Narrow" w:hAnsi="Arial Narrow"/>
          <w:sz w:val="18"/>
        </w:rPr>
      </w:pPr>
      <w:r>
        <w:rPr>
          <w:rFonts w:ascii="Arial Narrow" w:hAnsi="Arial Narrow"/>
          <w:sz w:val="18"/>
        </w:rPr>
        <w:t>Source: Table 4, p13 of the c</w:t>
      </w:r>
      <w:r w:rsidR="006508A1">
        <w:rPr>
          <w:rFonts w:ascii="Arial Narrow" w:hAnsi="Arial Narrow"/>
          <w:sz w:val="18"/>
        </w:rPr>
        <w:t>ommentary</w:t>
      </w:r>
    </w:p>
    <w:p w14:paraId="21387B53" w14:textId="66EA88C4" w:rsidR="006508A1" w:rsidRDefault="006508A1" w:rsidP="00926657">
      <w:pPr>
        <w:pStyle w:val="08Tablefootnoteslast-nostick"/>
        <w:spacing w:after="240"/>
        <w:rPr>
          <w:rFonts w:ascii="Arial Narrow" w:hAnsi="Arial Narrow"/>
          <w:sz w:val="18"/>
        </w:rPr>
      </w:pPr>
      <w:r w:rsidRPr="009A12C5">
        <w:rPr>
          <w:rFonts w:ascii="Arial Narrow" w:hAnsi="Arial Narrow"/>
          <w:sz w:val="18"/>
        </w:rPr>
        <w:t>Abbreviations: CC, capsular contracture.</w:t>
      </w:r>
    </w:p>
    <w:p w14:paraId="5C395EE1" w14:textId="49B2B33F" w:rsidR="006334ED" w:rsidRPr="00B62091" w:rsidRDefault="006334ED" w:rsidP="006334ED">
      <w:pPr>
        <w:pStyle w:val="BodyText"/>
        <w:rPr>
          <w:iCs/>
          <w:lang w:val="en-US"/>
        </w:rPr>
      </w:pPr>
      <w:r>
        <w:rPr>
          <w:lang w:val="en-US"/>
        </w:rPr>
        <w:t xml:space="preserve">The </w:t>
      </w:r>
      <w:r w:rsidR="00C1197E">
        <w:rPr>
          <w:lang w:val="en-US"/>
        </w:rPr>
        <w:t>submission</w:t>
      </w:r>
      <w:r>
        <w:rPr>
          <w:lang w:val="en-US"/>
        </w:rPr>
        <w:t xml:space="preserve"> also included outcomes </w:t>
      </w:r>
      <w:r w:rsidRPr="00B62091">
        <w:rPr>
          <w:iCs/>
          <w:lang w:val="en-US"/>
        </w:rPr>
        <w:t xml:space="preserve">for textured </w:t>
      </w:r>
      <w:r w:rsidR="00C027A5">
        <w:rPr>
          <w:iCs/>
          <w:lang w:val="en-US"/>
        </w:rPr>
        <w:t xml:space="preserve">versus </w:t>
      </w:r>
      <w:r>
        <w:rPr>
          <w:iCs/>
          <w:lang w:val="en-US"/>
        </w:rPr>
        <w:t>smooth implants from</w:t>
      </w:r>
      <w:r>
        <w:rPr>
          <w:lang w:val="en-US"/>
        </w:rPr>
        <w:t xml:space="preserve"> </w:t>
      </w:r>
      <w:r>
        <w:rPr>
          <w:iCs/>
          <w:lang w:val="en-US"/>
        </w:rPr>
        <w:t>FDA requested studies:</w:t>
      </w:r>
    </w:p>
    <w:p w14:paraId="1FF9C91D" w14:textId="2545B128" w:rsidR="006334ED" w:rsidRPr="00B62091" w:rsidRDefault="006334ED" w:rsidP="00E80BD5">
      <w:pPr>
        <w:pStyle w:val="BodyText"/>
        <w:numPr>
          <w:ilvl w:val="0"/>
          <w:numId w:val="4"/>
        </w:numPr>
        <w:rPr>
          <w:iCs/>
          <w:lang w:val="en-US"/>
        </w:rPr>
      </w:pPr>
      <w:r w:rsidRPr="00B62091">
        <w:rPr>
          <w:iCs/>
          <w:lang w:val="en-US"/>
        </w:rPr>
        <w:t xml:space="preserve">Spear and Murphy (2014) included 98 reconstructions patients. No difference between textured and smooth implants in 10-year Kaplan-Meier rates of capsular contracture for Allergan Natrelle implants (23.7% [95% CI 13.9, 38.6] </w:t>
      </w:r>
      <w:r>
        <w:rPr>
          <w:iCs/>
          <w:lang w:val="en-US"/>
        </w:rPr>
        <w:t>versus</w:t>
      </w:r>
      <w:r w:rsidRPr="00B62091">
        <w:rPr>
          <w:iCs/>
          <w:lang w:val="en-US"/>
        </w:rPr>
        <w:t xml:space="preserve"> 25.8% [95% CI 12.9, 47.5])</w:t>
      </w:r>
      <w:r w:rsidRPr="00B62091">
        <w:rPr>
          <w:iCs/>
          <w:noProof/>
          <w:lang w:val="en-US"/>
        </w:rPr>
        <w:t>.</w:t>
      </w:r>
    </w:p>
    <w:p w14:paraId="4CA51C2D" w14:textId="77777777" w:rsidR="006334ED" w:rsidRPr="00B62091" w:rsidRDefault="006334ED" w:rsidP="00E80BD5">
      <w:pPr>
        <w:pStyle w:val="BodyText"/>
        <w:numPr>
          <w:ilvl w:val="0"/>
          <w:numId w:val="4"/>
        </w:numPr>
        <w:rPr>
          <w:iCs/>
          <w:lang w:val="en-US"/>
        </w:rPr>
      </w:pPr>
      <w:r w:rsidRPr="00B62091">
        <w:rPr>
          <w:iCs/>
          <w:lang w:val="en-US"/>
        </w:rPr>
        <w:t>Wixtrom et al. (2019) report</w:t>
      </w:r>
      <w:r>
        <w:rPr>
          <w:iCs/>
          <w:lang w:val="en-US"/>
        </w:rPr>
        <w:t>ed</w:t>
      </w:r>
      <w:r w:rsidRPr="00B62091">
        <w:rPr>
          <w:iCs/>
          <w:lang w:val="en-US"/>
        </w:rPr>
        <w:t xml:space="preserve"> on 552 primary augmentation and 251 primary reconstruction patients using the Mentor MemoryGel implants.</w:t>
      </w:r>
      <w:r>
        <w:rPr>
          <w:iCs/>
          <w:lang w:val="en-US"/>
        </w:rPr>
        <w:t xml:space="preserve"> </w:t>
      </w:r>
    </w:p>
    <w:p w14:paraId="7536BE7D" w14:textId="77777777" w:rsidR="006334ED" w:rsidRPr="00B62091" w:rsidRDefault="006334ED" w:rsidP="00E80BD5">
      <w:pPr>
        <w:pStyle w:val="BodyText"/>
        <w:numPr>
          <w:ilvl w:val="1"/>
          <w:numId w:val="4"/>
        </w:numPr>
        <w:rPr>
          <w:iCs/>
          <w:lang w:val="en-US"/>
        </w:rPr>
      </w:pPr>
      <w:r w:rsidRPr="00B62091">
        <w:rPr>
          <w:iCs/>
          <w:lang w:val="en-US"/>
        </w:rPr>
        <w:t>No difference between textured and smooth implants in 10-year Kaplan-Meier rates of capsular contracture for sub-muscular placement in augmentation patients</w:t>
      </w:r>
      <w:r>
        <w:rPr>
          <w:iCs/>
          <w:lang w:val="en-US"/>
        </w:rPr>
        <w:t>.</w:t>
      </w:r>
    </w:p>
    <w:p w14:paraId="38379880" w14:textId="03702A20" w:rsidR="006334ED" w:rsidRPr="009A12C5" w:rsidRDefault="006334ED" w:rsidP="00E80BD5">
      <w:pPr>
        <w:pStyle w:val="BodyText"/>
        <w:numPr>
          <w:ilvl w:val="1"/>
          <w:numId w:val="4"/>
        </w:numPr>
        <w:rPr>
          <w:iCs/>
          <w:lang w:val="en-US"/>
        </w:rPr>
      </w:pPr>
      <w:r w:rsidRPr="00B62091">
        <w:rPr>
          <w:iCs/>
          <w:lang w:val="en-US"/>
        </w:rPr>
        <w:t>Significant difference between textured and smooth implants in 10-year Kaplan-Meier rates of capsular contracture for sub-glandular placement in augmentation patients</w:t>
      </w:r>
      <w:r>
        <w:rPr>
          <w:iCs/>
          <w:lang w:val="en-US"/>
        </w:rPr>
        <w:t>.</w:t>
      </w:r>
    </w:p>
    <w:p w14:paraId="7E7150EF" w14:textId="1BC6E478" w:rsidR="00F47CC2" w:rsidRPr="002049DD" w:rsidRDefault="00F47CC2" w:rsidP="00F47CC2">
      <w:pPr>
        <w:pStyle w:val="Heading3"/>
      </w:pPr>
      <w:r>
        <w:t>Other safety outcomes</w:t>
      </w:r>
    </w:p>
    <w:p w14:paraId="3F1CB085" w14:textId="172F8598" w:rsidR="00FB1DDC" w:rsidRDefault="00FB1DDC" w:rsidP="0063471C">
      <w:pPr>
        <w:pStyle w:val="BodyText"/>
        <w:spacing w:after="240"/>
        <w:rPr>
          <w:iCs/>
          <w:lang w:val="en-US"/>
        </w:rPr>
      </w:pPr>
      <w:r w:rsidRPr="00FB1DDC">
        <w:rPr>
          <w:iCs/>
          <w:lang w:val="en-US"/>
        </w:rPr>
        <w:t xml:space="preserve">A single study which aimed to compare breast implant deflation for anterior and posterior valve placement was included in the </w:t>
      </w:r>
      <w:r w:rsidR="00C1197E">
        <w:rPr>
          <w:iCs/>
          <w:lang w:val="en-US"/>
        </w:rPr>
        <w:t>submission</w:t>
      </w:r>
      <w:r w:rsidRPr="00FB1DDC">
        <w:rPr>
          <w:iCs/>
          <w:lang w:val="en-US"/>
        </w:rPr>
        <w:t xml:space="preserve"> (Levi et al. 2008). In multivariate analysis, the risk of rupture using a smooth implant was 1.25 higher than with a textured (Siltex) implant, this did not reach statistical significance (p = 0.71). As they were saline filled this study is of lower applicability.</w:t>
      </w:r>
    </w:p>
    <w:p w14:paraId="72228BD6" w14:textId="2E0CCE35" w:rsidR="006334ED" w:rsidRPr="009A12C5" w:rsidRDefault="006334ED" w:rsidP="0063471C">
      <w:pPr>
        <w:pStyle w:val="BodyText"/>
        <w:spacing w:after="240"/>
        <w:rPr>
          <w:iCs/>
          <w:lang w:val="en-US"/>
        </w:rPr>
      </w:pPr>
      <w:r>
        <w:rPr>
          <w:iCs/>
          <w:lang w:val="en-US"/>
        </w:rPr>
        <w:t xml:space="preserve">Of the FDA requested studies included in the </w:t>
      </w:r>
      <w:r w:rsidR="00C1197E">
        <w:rPr>
          <w:iCs/>
          <w:lang w:val="en-US"/>
        </w:rPr>
        <w:t>submission</w:t>
      </w:r>
      <w:r>
        <w:rPr>
          <w:iCs/>
          <w:lang w:val="en-US"/>
        </w:rPr>
        <w:t xml:space="preserve">, </w:t>
      </w:r>
      <w:r w:rsidRPr="00B62091">
        <w:rPr>
          <w:iCs/>
          <w:lang w:val="en-US"/>
        </w:rPr>
        <w:t>Wixtrom et al. (2019) report</w:t>
      </w:r>
      <w:r>
        <w:rPr>
          <w:iCs/>
          <w:lang w:val="en-US"/>
        </w:rPr>
        <w:t>ed</w:t>
      </w:r>
      <w:r w:rsidRPr="00B62091">
        <w:rPr>
          <w:iCs/>
          <w:lang w:val="en-US"/>
        </w:rPr>
        <w:t xml:space="preserve"> </w:t>
      </w:r>
      <w:r>
        <w:rPr>
          <w:iCs/>
          <w:lang w:val="en-US"/>
        </w:rPr>
        <w:t xml:space="preserve">a </w:t>
      </w:r>
      <w:r>
        <w:rPr>
          <w:lang w:val="en-US"/>
        </w:rPr>
        <w:t xml:space="preserve">difference in reoperation over 10 years for asymmetry </w:t>
      </w:r>
      <w:r w:rsidRPr="00CF46D6">
        <w:rPr>
          <w:lang w:val="en-US"/>
        </w:rPr>
        <w:t>with textured (3.88%</w:t>
      </w:r>
      <w:r>
        <w:rPr>
          <w:lang w:val="en-US"/>
        </w:rPr>
        <w:t xml:space="preserve"> [</w:t>
      </w:r>
      <w:r w:rsidRPr="00CF46D6">
        <w:rPr>
          <w:lang w:val="en-US"/>
        </w:rPr>
        <w:t>95% CI</w:t>
      </w:r>
      <w:r>
        <w:rPr>
          <w:lang w:val="en-US"/>
        </w:rPr>
        <w:t xml:space="preserve"> </w:t>
      </w:r>
      <w:r w:rsidRPr="00CF46D6">
        <w:rPr>
          <w:lang w:val="en-US"/>
        </w:rPr>
        <w:t>1.63</w:t>
      </w:r>
      <w:r>
        <w:rPr>
          <w:lang w:val="en-US"/>
        </w:rPr>
        <w:t xml:space="preserve">, </w:t>
      </w:r>
      <w:r w:rsidRPr="00CF46D6">
        <w:rPr>
          <w:lang w:val="en-US"/>
        </w:rPr>
        <w:t>9.13</w:t>
      </w:r>
      <w:r>
        <w:rPr>
          <w:lang w:val="en-US"/>
        </w:rPr>
        <w:t>]</w:t>
      </w:r>
      <w:r w:rsidRPr="00CF46D6">
        <w:rPr>
          <w:lang w:val="en-US"/>
        </w:rPr>
        <w:t xml:space="preserve">) </w:t>
      </w:r>
      <w:r w:rsidR="009A12C5">
        <w:rPr>
          <w:lang w:val="en-US"/>
        </w:rPr>
        <w:t>versus</w:t>
      </w:r>
      <w:r>
        <w:rPr>
          <w:lang w:val="en-US"/>
        </w:rPr>
        <w:t xml:space="preserve"> </w:t>
      </w:r>
      <w:r w:rsidRPr="00CF46D6">
        <w:rPr>
          <w:lang w:val="en-US"/>
        </w:rPr>
        <w:t xml:space="preserve">smooth </w:t>
      </w:r>
      <w:r>
        <w:rPr>
          <w:lang w:val="en-US"/>
        </w:rPr>
        <w:t>implants</w:t>
      </w:r>
      <w:r w:rsidRPr="00CF46D6">
        <w:rPr>
          <w:lang w:val="en-US"/>
        </w:rPr>
        <w:t xml:space="preserve"> (11.10%</w:t>
      </w:r>
      <w:r>
        <w:rPr>
          <w:lang w:val="en-US"/>
        </w:rPr>
        <w:t xml:space="preserve"> [</w:t>
      </w:r>
      <w:r w:rsidRPr="00CF46D6">
        <w:rPr>
          <w:lang w:val="en-US"/>
        </w:rPr>
        <w:t>95% CI 6.29, 19.19</w:t>
      </w:r>
      <w:r>
        <w:rPr>
          <w:lang w:val="en-US"/>
        </w:rPr>
        <w:t>]; p=0.0169</w:t>
      </w:r>
      <w:r w:rsidRPr="00CF46D6">
        <w:rPr>
          <w:lang w:val="en-US"/>
        </w:rPr>
        <w:t>).</w:t>
      </w:r>
      <w:r>
        <w:rPr>
          <w:lang w:val="en-US"/>
        </w:rPr>
        <w:t xml:space="preserve"> The overall </w:t>
      </w:r>
      <w:r>
        <w:rPr>
          <w:lang w:val="en-US"/>
        </w:rPr>
        <w:lastRenderedPageBreak/>
        <w:t xml:space="preserve">reoperation rate is not reported, and whether this differs by texture, was also not reported </w:t>
      </w:r>
      <w:r w:rsidRPr="00B62091">
        <w:rPr>
          <w:iCs/>
          <w:lang w:val="en-US"/>
        </w:rPr>
        <w:t>p=0.0169).</w:t>
      </w:r>
    </w:p>
    <w:p w14:paraId="5C3AEA64" w14:textId="53ED1A60" w:rsidR="00F47CC2" w:rsidRDefault="00F47CC2" w:rsidP="0063471C">
      <w:pPr>
        <w:spacing w:after="240"/>
        <w:rPr>
          <w:szCs w:val="24"/>
        </w:rPr>
      </w:pPr>
      <w:r>
        <w:rPr>
          <w:szCs w:val="24"/>
        </w:rPr>
        <w:t xml:space="preserve">The </w:t>
      </w:r>
      <w:r w:rsidR="00C1197E">
        <w:rPr>
          <w:szCs w:val="24"/>
        </w:rPr>
        <w:t>submission</w:t>
      </w:r>
      <w:r w:rsidR="00926657">
        <w:rPr>
          <w:szCs w:val="24"/>
        </w:rPr>
        <w:t xml:space="preserve"> briefly discussed</w:t>
      </w:r>
      <w:r>
        <w:rPr>
          <w:szCs w:val="24"/>
        </w:rPr>
        <w:t xml:space="preserve"> comparative evidence related to safety outcomes for infection, reoperation rate, seroma and rupture. For these safety outcomes, the </w:t>
      </w:r>
      <w:r w:rsidR="00C1197E">
        <w:rPr>
          <w:szCs w:val="24"/>
        </w:rPr>
        <w:t>submission</w:t>
      </w:r>
      <w:r w:rsidR="00926657">
        <w:rPr>
          <w:szCs w:val="24"/>
        </w:rPr>
        <w:t xml:space="preserve"> suggested</w:t>
      </w:r>
      <w:r>
        <w:rPr>
          <w:szCs w:val="24"/>
        </w:rPr>
        <w:t xml:space="preserve"> that the Mentor textured breast implants are comparable to smooth breast implants.</w:t>
      </w:r>
    </w:p>
    <w:p w14:paraId="2F3A3A9C" w14:textId="0C337641" w:rsidR="006334ED" w:rsidRPr="006334ED" w:rsidRDefault="00F47CC2" w:rsidP="0063471C">
      <w:pPr>
        <w:spacing w:after="240"/>
        <w:rPr>
          <w:szCs w:val="24"/>
        </w:rPr>
      </w:pPr>
      <w:r>
        <w:rPr>
          <w:szCs w:val="24"/>
        </w:rPr>
        <w:t xml:space="preserve">In regards to BIA-ALCL, the </w:t>
      </w:r>
      <w:r w:rsidR="00C1197E">
        <w:rPr>
          <w:szCs w:val="24"/>
        </w:rPr>
        <w:t>submission</w:t>
      </w:r>
      <w:r>
        <w:rPr>
          <w:szCs w:val="24"/>
        </w:rPr>
        <w:t xml:space="preserve"> </w:t>
      </w:r>
      <w:r w:rsidR="00926657">
        <w:rPr>
          <w:szCs w:val="24"/>
        </w:rPr>
        <w:t>did</w:t>
      </w:r>
      <w:r>
        <w:rPr>
          <w:szCs w:val="24"/>
        </w:rPr>
        <w:t xml:space="preserve"> not compare the safety of the Mentor textured implants to smooth breast implants. However, the </w:t>
      </w:r>
      <w:r w:rsidR="00C1197E">
        <w:rPr>
          <w:szCs w:val="24"/>
        </w:rPr>
        <w:t>submission</w:t>
      </w:r>
      <w:r>
        <w:rPr>
          <w:szCs w:val="24"/>
        </w:rPr>
        <w:t xml:space="preserve"> suggest</w:t>
      </w:r>
      <w:r w:rsidR="00926657">
        <w:rPr>
          <w:szCs w:val="24"/>
        </w:rPr>
        <w:t>ed</w:t>
      </w:r>
      <w:r>
        <w:rPr>
          <w:szCs w:val="24"/>
        </w:rPr>
        <w:t xml:space="preserve"> that the </w:t>
      </w:r>
      <w:r w:rsidRPr="00000314">
        <w:rPr>
          <w:szCs w:val="24"/>
        </w:rPr>
        <w:t xml:space="preserve">clinical benefits of textured breast implants, a significant lowering of certain complications, and more importantly subsequent reoperations might provide significant risk reduction benefits to offset the </w:t>
      </w:r>
      <w:r>
        <w:rPr>
          <w:szCs w:val="24"/>
        </w:rPr>
        <w:t xml:space="preserve">rare </w:t>
      </w:r>
      <w:r w:rsidRPr="00000314">
        <w:rPr>
          <w:szCs w:val="24"/>
        </w:rPr>
        <w:t>risk of BIA-ALCL</w:t>
      </w:r>
      <w:r>
        <w:rPr>
          <w:szCs w:val="24"/>
        </w:rPr>
        <w:t xml:space="preserve"> associated with Mentor textured breast implants</w:t>
      </w:r>
      <w:r w:rsidRPr="00000314">
        <w:rPr>
          <w:szCs w:val="24"/>
        </w:rPr>
        <w:t>.</w:t>
      </w:r>
      <w:r>
        <w:rPr>
          <w:szCs w:val="24"/>
        </w:rPr>
        <w:t xml:space="preserve"> </w:t>
      </w:r>
    </w:p>
    <w:p w14:paraId="5374C640" w14:textId="682D82B6" w:rsidR="003A15A0" w:rsidRPr="00436235" w:rsidRDefault="00961B60" w:rsidP="009A12C5">
      <w:pPr>
        <w:pStyle w:val="Heading2"/>
        <w:rPr>
          <w:lang w:val="en-US"/>
        </w:rPr>
      </w:pPr>
      <w:r>
        <w:t>T</w:t>
      </w:r>
      <w:r w:rsidR="009A12C5">
        <w:t>extured versus</w:t>
      </w:r>
      <w:r>
        <w:t xml:space="preserve"> other textured implants</w:t>
      </w:r>
    </w:p>
    <w:p w14:paraId="5B7CEAC2" w14:textId="1F6B1364" w:rsidR="00961B60" w:rsidRDefault="00961B60" w:rsidP="009A12C5">
      <w:pPr>
        <w:pStyle w:val="Heading3"/>
      </w:pPr>
      <w:r>
        <w:t>Capsular contracture</w:t>
      </w:r>
    </w:p>
    <w:p w14:paraId="52B29F44" w14:textId="5B006065" w:rsidR="00FB4491" w:rsidRDefault="00961B60" w:rsidP="00926657">
      <w:pPr>
        <w:pStyle w:val="BodyText"/>
        <w:spacing w:after="240"/>
      </w:pPr>
      <w:r>
        <w:t xml:space="preserve">The </w:t>
      </w:r>
      <w:r w:rsidR="00C1197E">
        <w:t>submission</w:t>
      </w:r>
      <w:r>
        <w:t xml:space="preserve"> also provided supportive evidence of </w:t>
      </w:r>
      <w:r w:rsidRPr="00961B60">
        <w:t xml:space="preserve">Mentor textured </w:t>
      </w:r>
      <w:r w:rsidR="009A12C5">
        <w:t>versus</w:t>
      </w:r>
      <w:r w:rsidRPr="00961B60">
        <w:t xml:space="preserve"> ot</w:t>
      </w:r>
      <w:r>
        <w:t>her brands of textured implants. The commentary noted</w:t>
      </w:r>
      <w:r w:rsidRPr="00961B60">
        <w:t xml:space="preserve"> this comparison </w:t>
      </w:r>
      <w:r>
        <w:t>was not specified in the agreed</w:t>
      </w:r>
      <w:r w:rsidRPr="00961B60">
        <w:t xml:space="preserve"> PICO, </w:t>
      </w:r>
      <w:r>
        <w:t xml:space="preserve">but included results of this comparison from </w:t>
      </w:r>
      <w:r w:rsidRPr="00961B60">
        <w:t xml:space="preserve">two studies </w:t>
      </w:r>
      <w:r>
        <w:t>(Table 4)</w:t>
      </w:r>
      <w:r w:rsidR="00FB4491">
        <w:t>.</w:t>
      </w:r>
    </w:p>
    <w:p w14:paraId="7DC02A44" w14:textId="54A1F751" w:rsidR="00961B60" w:rsidRPr="00114D7C" w:rsidRDefault="00961B60" w:rsidP="00114D7C">
      <w:pPr>
        <w:rPr>
          <w:rFonts w:ascii="Arial Narrow" w:hAnsi="Arial Narrow"/>
          <w:b/>
          <w:sz w:val="20"/>
        </w:rPr>
      </w:pPr>
      <w:bookmarkStart w:id="3" w:name="_Ref23887193"/>
      <w:r w:rsidRPr="00114D7C">
        <w:rPr>
          <w:rFonts w:ascii="Arial Narrow" w:hAnsi="Arial Narrow"/>
          <w:b/>
          <w:sz w:val="20"/>
        </w:rPr>
        <w:t xml:space="preserve">Table </w:t>
      </w:r>
      <w:bookmarkEnd w:id="3"/>
      <w:r w:rsidR="00FB4491" w:rsidRPr="00114D7C">
        <w:rPr>
          <w:rFonts w:ascii="Arial Narrow" w:hAnsi="Arial Narrow"/>
          <w:b/>
          <w:sz w:val="20"/>
        </w:rPr>
        <w:t>4</w:t>
      </w:r>
      <w:r w:rsidRPr="00114D7C">
        <w:rPr>
          <w:rFonts w:ascii="Arial Narrow" w:hAnsi="Arial Narrow"/>
          <w:b/>
          <w:sz w:val="20"/>
        </w:rPr>
        <w:tab/>
        <w:t>Capsular contracture rates</w:t>
      </w:r>
      <w:r w:rsidR="00753952" w:rsidRPr="00114D7C">
        <w:rPr>
          <w:rFonts w:ascii="Arial Narrow" w:hAnsi="Arial Narrow"/>
          <w:b/>
          <w:sz w:val="20"/>
        </w:rPr>
        <w:t xml:space="preserve"> for Mentor textured implants versus</w:t>
      </w:r>
      <w:r w:rsidRPr="00114D7C">
        <w:rPr>
          <w:rFonts w:ascii="Arial Narrow" w:hAnsi="Arial Narrow"/>
          <w:b/>
          <w:sz w:val="20"/>
        </w:rPr>
        <w:t xml:space="preserve"> other textured implants</w:t>
      </w:r>
    </w:p>
    <w:tbl>
      <w:tblPr>
        <w:tblStyle w:val="TableGrid1"/>
        <w:tblW w:w="5000" w:type="pct"/>
        <w:tblLook w:val="0000" w:firstRow="0" w:lastRow="0" w:firstColumn="0" w:lastColumn="0" w:noHBand="0" w:noVBand="0"/>
        <w:tblDescription w:val="Capsular contracture rates for Mentor textured implants versus other textured implants"/>
      </w:tblPr>
      <w:tblGrid>
        <w:gridCol w:w="1990"/>
        <w:gridCol w:w="2387"/>
        <w:gridCol w:w="1724"/>
        <w:gridCol w:w="1325"/>
        <w:gridCol w:w="1590"/>
      </w:tblGrid>
      <w:tr w:rsidR="00961B60" w:rsidRPr="005610C9" w14:paraId="0F14A804" w14:textId="77777777" w:rsidTr="003D52DE">
        <w:trPr>
          <w:trHeight w:val="156"/>
          <w:tblHeader/>
        </w:trPr>
        <w:tc>
          <w:tcPr>
            <w:tcW w:w="1103" w:type="pct"/>
          </w:tcPr>
          <w:p w14:paraId="50225D1A" w14:textId="77777777" w:rsidR="00961B60" w:rsidRPr="009A12C5" w:rsidRDefault="00961B60" w:rsidP="00AB20A2">
            <w:pPr>
              <w:pStyle w:val="01TableHeading"/>
              <w:rPr>
                <w:rFonts w:ascii="Arial Narrow" w:eastAsia="Calibri" w:hAnsi="Arial Narrow"/>
                <w:sz w:val="20"/>
                <w:lang w:eastAsia="en-AU"/>
              </w:rPr>
            </w:pPr>
            <w:bookmarkStart w:id="4" w:name="_Hlk23339304"/>
            <w:r w:rsidRPr="009A12C5">
              <w:rPr>
                <w:rFonts w:ascii="Arial Narrow" w:eastAsia="Calibri" w:hAnsi="Arial Narrow"/>
                <w:sz w:val="20"/>
                <w:lang w:eastAsia="en-AU"/>
              </w:rPr>
              <w:t xml:space="preserve">Paper </w:t>
            </w:r>
          </w:p>
        </w:tc>
        <w:tc>
          <w:tcPr>
            <w:tcW w:w="1323" w:type="pct"/>
          </w:tcPr>
          <w:p w14:paraId="515A8596" w14:textId="77777777" w:rsidR="00961B60" w:rsidRPr="009A12C5" w:rsidRDefault="00961B60"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 xml:space="preserve">Implant type </w:t>
            </w:r>
          </w:p>
        </w:tc>
        <w:tc>
          <w:tcPr>
            <w:tcW w:w="956" w:type="pct"/>
          </w:tcPr>
          <w:p w14:paraId="18C3AEDA" w14:textId="77777777" w:rsidR="00961B60" w:rsidRPr="009A12C5" w:rsidRDefault="00961B60"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N patients/breasts</w:t>
            </w:r>
          </w:p>
        </w:tc>
        <w:tc>
          <w:tcPr>
            <w:tcW w:w="735" w:type="pct"/>
          </w:tcPr>
          <w:p w14:paraId="26178F21" w14:textId="77777777" w:rsidR="00961B60" w:rsidRPr="009A12C5" w:rsidRDefault="00961B60"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N contracture</w:t>
            </w:r>
          </w:p>
        </w:tc>
        <w:tc>
          <w:tcPr>
            <w:tcW w:w="882" w:type="pct"/>
          </w:tcPr>
          <w:p w14:paraId="70DAA5B9" w14:textId="77777777" w:rsidR="00961B60" w:rsidRPr="009A12C5" w:rsidRDefault="00961B60" w:rsidP="00AB20A2">
            <w:pPr>
              <w:pStyle w:val="01TableHeading"/>
              <w:rPr>
                <w:rFonts w:ascii="Arial Narrow" w:eastAsia="Calibri" w:hAnsi="Arial Narrow"/>
                <w:sz w:val="20"/>
                <w:lang w:eastAsia="en-AU"/>
              </w:rPr>
            </w:pPr>
            <w:r w:rsidRPr="009A12C5">
              <w:rPr>
                <w:rFonts w:ascii="Arial Narrow" w:eastAsia="Calibri" w:hAnsi="Arial Narrow"/>
                <w:sz w:val="20"/>
                <w:lang w:eastAsia="en-AU"/>
              </w:rPr>
              <w:t>CC Grade (III/IV)</w:t>
            </w:r>
          </w:p>
        </w:tc>
      </w:tr>
      <w:tr w:rsidR="00961B60" w:rsidRPr="005610C9" w14:paraId="09A83A78" w14:textId="77777777" w:rsidTr="003D52DE">
        <w:trPr>
          <w:trHeight w:val="114"/>
        </w:trPr>
        <w:tc>
          <w:tcPr>
            <w:tcW w:w="1103" w:type="pct"/>
          </w:tcPr>
          <w:p w14:paraId="267E5408" w14:textId="77777777" w:rsidR="00961B60" w:rsidRPr="009A12C5" w:rsidRDefault="00961B60" w:rsidP="00AB20A2">
            <w:pPr>
              <w:pStyle w:val="05Tabletext22"/>
              <w:rPr>
                <w:rFonts w:ascii="Arial Narrow" w:hAnsi="Arial Narrow"/>
                <w:sz w:val="20"/>
              </w:rPr>
            </w:pPr>
            <w:r w:rsidRPr="009A12C5">
              <w:rPr>
                <w:rFonts w:ascii="Arial Narrow" w:hAnsi="Arial Narrow"/>
                <w:noProof/>
                <w:sz w:val="20"/>
                <w:szCs w:val="18"/>
              </w:rPr>
              <w:t>Doren et al. (2015)</w:t>
            </w:r>
          </w:p>
        </w:tc>
        <w:tc>
          <w:tcPr>
            <w:tcW w:w="1323" w:type="pct"/>
          </w:tcPr>
          <w:p w14:paraId="576A81AF" w14:textId="77777777" w:rsidR="00961B60" w:rsidRPr="009A12C5" w:rsidRDefault="00961B60" w:rsidP="00AB20A2">
            <w:pPr>
              <w:pStyle w:val="05Tabletext22"/>
              <w:rPr>
                <w:rFonts w:ascii="Arial Narrow" w:hAnsi="Arial Narrow"/>
                <w:sz w:val="20"/>
              </w:rPr>
            </w:pPr>
            <w:r w:rsidRPr="009A12C5">
              <w:rPr>
                <w:rFonts w:ascii="Arial Narrow" w:hAnsi="Arial Narrow"/>
                <w:sz w:val="20"/>
                <w:szCs w:val="18"/>
              </w:rPr>
              <w:t>Mentor Microtextured</w:t>
            </w:r>
          </w:p>
        </w:tc>
        <w:tc>
          <w:tcPr>
            <w:tcW w:w="956" w:type="pct"/>
          </w:tcPr>
          <w:p w14:paraId="2BFDFB0E"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38</w:t>
            </w:r>
          </w:p>
        </w:tc>
        <w:tc>
          <w:tcPr>
            <w:tcW w:w="735" w:type="pct"/>
          </w:tcPr>
          <w:p w14:paraId="499511D1"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4</w:t>
            </w:r>
          </w:p>
        </w:tc>
        <w:tc>
          <w:tcPr>
            <w:tcW w:w="882" w:type="pct"/>
          </w:tcPr>
          <w:p w14:paraId="76D94E92" w14:textId="77777777" w:rsidR="00961B60" w:rsidRPr="009A12C5" w:rsidRDefault="00961B60" w:rsidP="00AB20A2">
            <w:pPr>
              <w:pStyle w:val="05Tabletext22"/>
              <w:rPr>
                <w:rFonts w:ascii="Arial Narrow" w:hAnsi="Arial Narrow"/>
                <w:sz w:val="20"/>
              </w:rPr>
            </w:pPr>
            <w:r w:rsidRPr="009A12C5">
              <w:rPr>
                <w:rFonts w:ascii="Arial Narrow" w:hAnsi="Arial Narrow"/>
                <w:sz w:val="20"/>
                <w:szCs w:val="18"/>
              </w:rPr>
              <w:t>10.5% (2.9, 24.8)</w:t>
            </w:r>
          </w:p>
        </w:tc>
      </w:tr>
      <w:tr w:rsidR="00961B60" w:rsidRPr="005610C9" w14:paraId="22A199C2" w14:textId="77777777" w:rsidTr="003D52DE">
        <w:trPr>
          <w:trHeight w:val="114"/>
        </w:trPr>
        <w:tc>
          <w:tcPr>
            <w:tcW w:w="1103" w:type="pct"/>
          </w:tcPr>
          <w:p w14:paraId="15D7B1C9" w14:textId="77777777" w:rsidR="00961B60" w:rsidRPr="009A12C5" w:rsidRDefault="00961B60" w:rsidP="00AB20A2">
            <w:pPr>
              <w:pStyle w:val="05Tabletext22"/>
              <w:rPr>
                <w:rFonts w:ascii="Arial Narrow" w:hAnsi="Arial Narrow"/>
                <w:sz w:val="20"/>
              </w:rPr>
            </w:pPr>
          </w:p>
        </w:tc>
        <w:tc>
          <w:tcPr>
            <w:tcW w:w="1323" w:type="pct"/>
          </w:tcPr>
          <w:p w14:paraId="0ECC3B99"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Other textured (Allergan)</w:t>
            </w:r>
          </w:p>
        </w:tc>
        <w:tc>
          <w:tcPr>
            <w:tcW w:w="956" w:type="pct"/>
          </w:tcPr>
          <w:p w14:paraId="4C170C50"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60</w:t>
            </w:r>
          </w:p>
        </w:tc>
        <w:tc>
          <w:tcPr>
            <w:tcW w:w="735" w:type="pct"/>
          </w:tcPr>
          <w:p w14:paraId="2B402797"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6</w:t>
            </w:r>
          </w:p>
        </w:tc>
        <w:tc>
          <w:tcPr>
            <w:tcW w:w="882" w:type="pct"/>
          </w:tcPr>
          <w:p w14:paraId="573B8D1E"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10.0% (3.8, 20.5)</w:t>
            </w:r>
          </w:p>
        </w:tc>
      </w:tr>
      <w:tr w:rsidR="00961B60" w:rsidRPr="005610C9" w14:paraId="18E1244F" w14:textId="77777777" w:rsidTr="003D52DE">
        <w:trPr>
          <w:trHeight w:val="114"/>
        </w:trPr>
        <w:tc>
          <w:tcPr>
            <w:tcW w:w="1103" w:type="pct"/>
          </w:tcPr>
          <w:p w14:paraId="2C94637F" w14:textId="77777777" w:rsidR="00961B60" w:rsidRPr="009A12C5" w:rsidRDefault="00961B60" w:rsidP="00AB20A2">
            <w:pPr>
              <w:pStyle w:val="05Tabletext22"/>
              <w:rPr>
                <w:rFonts w:ascii="Arial Narrow" w:hAnsi="Arial Narrow"/>
                <w:sz w:val="20"/>
              </w:rPr>
            </w:pPr>
          </w:p>
        </w:tc>
        <w:tc>
          <w:tcPr>
            <w:tcW w:w="1323" w:type="pct"/>
          </w:tcPr>
          <w:p w14:paraId="53B9C592"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Other textured (Sientra)</w:t>
            </w:r>
          </w:p>
        </w:tc>
        <w:tc>
          <w:tcPr>
            <w:tcW w:w="956" w:type="pct"/>
          </w:tcPr>
          <w:p w14:paraId="18DD41FE"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15</w:t>
            </w:r>
          </w:p>
        </w:tc>
        <w:tc>
          <w:tcPr>
            <w:tcW w:w="735" w:type="pct"/>
          </w:tcPr>
          <w:p w14:paraId="7B39597A"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2</w:t>
            </w:r>
          </w:p>
        </w:tc>
        <w:tc>
          <w:tcPr>
            <w:tcW w:w="882" w:type="pct"/>
          </w:tcPr>
          <w:p w14:paraId="622AA3F7"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13.3% (1.7, 40.5)</w:t>
            </w:r>
          </w:p>
        </w:tc>
      </w:tr>
      <w:bookmarkEnd w:id="4"/>
      <w:tr w:rsidR="00961B60" w:rsidRPr="005610C9" w14:paraId="79644AF0" w14:textId="77777777" w:rsidTr="003D52DE">
        <w:trPr>
          <w:trHeight w:val="114"/>
        </w:trPr>
        <w:tc>
          <w:tcPr>
            <w:tcW w:w="1103" w:type="pct"/>
          </w:tcPr>
          <w:p w14:paraId="103A9B8E" w14:textId="77777777" w:rsidR="00961B60" w:rsidRPr="009A12C5" w:rsidRDefault="00961B60" w:rsidP="00AB20A2">
            <w:pPr>
              <w:pStyle w:val="05Tabletext22"/>
              <w:rPr>
                <w:rFonts w:ascii="Arial Narrow" w:hAnsi="Arial Narrow"/>
                <w:sz w:val="20"/>
              </w:rPr>
            </w:pPr>
            <w:r w:rsidRPr="009A12C5">
              <w:rPr>
                <w:rFonts w:ascii="Arial Narrow" w:hAnsi="Arial Narrow"/>
                <w:noProof/>
                <w:sz w:val="20"/>
              </w:rPr>
              <w:t>Benediktsson and Perbeck (2006)</w:t>
            </w:r>
          </w:p>
        </w:tc>
        <w:tc>
          <w:tcPr>
            <w:tcW w:w="1323" w:type="pct"/>
          </w:tcPr>
          <w:p w14:paraId="336E5A8C"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Mentor Microtextured</w:t>
            </w:r>
          </w:p>
        </w:tc>
        <w:tc>
          <w:tcPr>
            <w:tcW w:w="956" w:type="pct"/>
          </w:tcPr>
          <w:p w14:paraId="2B947D09"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62</w:t>
            </w:r>
          </w:p>
        </w:tc>
        <w:tc>
          <w:tcPr>
            <w:tcW w:w="735" w:type="pct"/>
          </w:tcPr>
          <w:p w14:paraId="7A8D8361"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8</w:t>
            </w:r>
          </w:p>
        </w:tc>
        <w:tc>
          <w:tcPr>
            <w:tcW w:w="882" w:type="pct"/>
          </w:tcPr>
          <w:p w14:paraId="21F61A86"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12.9% (5.7, 23.9)</w:t>
            </w:r>
          </w:p>
        </w:tc>
      </w:tr>
      <w:tr w:rsidR="00961B60" w:rsidRPr="005610C9" w14:paraId="4C0F077D" w14:textId="77777777" w:rsidTr="003D52DE">
        <w:trPr>
          <w:trHeight w:val="114"/>
        </w:trPr>
        <w:tc>
          <w:tcPr>
            <w:tcW w:w="1103" w:type="pct"/>
          </w:tcPr>
          <w:p w14:paraId="179BC53D" w14:textId="77777777" w:rsidR="00961B60" w:rsidRPr="009A12C5" w:rsidRDefault="00961B60" w:rsidP="00AB20A2">
            <w:pPr>
              <w:pStyle w:val="05Tabletext22"/>
              <w:rPr>
                <w:rFonts w:ascii="Arial Narrow" w:hAnsi="Arial Narrow"/>
                <w:sz w:val="20"/>
              </w:rPr>
            </w:pPr>
          </w:p>
        </w:tc>
        <w:tc>
          <w:tcPr>
            <w:tcW w:w="1323" w:type="pct"/>
          </w:tcPr>
          <w:p w14:paraId="4DEA65F0"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Other textured (Microcell)</w:t>
            </w:r>
          </w:p>
        </w:tc>
        <w:tc>
          <w:tcPr>
            <w:tcW w:w="956" w:type="pct"/>
          </w:tcPr>
          <w:p w14:paraId="34558B8B"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45</w:t>
            </w:r>
          </w:p>
        </w:tc>
        <w:tc>
          <w:tcPr>
            <w:tcW w:w="735" w:type="pct"/>
          </w:tcPr>
          <w:p w14:paraId="50D727CA"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14</w:t>
            </w:r>
          </w:p>
        </w:tc>
        <w:tc>
          <w:tcPr>
            <w:tcW w:w="882" w:type="pct"/>
          </w:tcPr>
          <w:p w14:paraId="691E577B" w14:textId="77777777" w:rsidR="00961B60" w:rsidRPr="009A12C5" w:rsidRDefault="00961B60" w:rsidP="00AB20A2">
            <w:pPr>
              <w:pStyle w:val="05Tabletext22"/>
              <w:rPr>
                <w:rFonts w:ascii="Arial Narrow" w:hAnsi="Arial Narrow"/>
                <w:sz w:val="20"/>
              </w:rPr>
            </w:pPr>
            <w:r w:rsidRPr="009A12C5">
              <w:rPr>
                <w:rFonts w:ascii="Arial Narrow" w:hAnsi="Arial Narrow"/>
                <w:sz w:val="20"/>
              </w:rPr>
              <w:t>31.1% (18.1, 46.7)</w:t>
            </w:r>
          </w:p>
        </w:tc>
      </w:tr>
    </w:tbl>
    <w:p w14:paraId="6B8E4657" w14:textId="29333F42" w:rsidR="00FB4491" w:rsidRPr="006334ED" w:rsidRDefault="00FB4491" w:rsidP="009A12C5">
      <w:pPr>
        <w:pStyle w:val="08Tablefootnoteslast-nostick"/>
        <w:spacing w:after="0"/>
        <w:rPr>
          <w:rFonts w:ascii="Arial Narrow" w:hAnsi="Arial Narrow"/>
          <w:sz w:val="18"/>
        </w:rPr>
      </w:pPr>
      <w:r>
        <w:rPr>
          <w:rFonts w:ascii="Arial Narrow" w:hAnsi="Arial Narrow"/>
          <w:sz w:val="18"/>
        </w:rPr>
        <w:t xml:space="preserve">Source: </w:t>
      </w:r>
      <w:r w:rsidR="00753952">
        <w:rPr>
          <w:rFonts w:ascii="Arial Narrow" w:hAnsi="Arial Narrow"/>
          <w:sz w:val="18"/>
        </w:rPr>
        <w:t>Table 5</w:t>
      </w:r>
      <w:r w:rsidR="00154A5E">
        <w:rPr>
          <w:rFonts w:ascii="Arial Narrow" w:hAnsi="Arial Narrow"/>
          <w:sz w:val="18"/>
        </w:rPr>
        <w:t>, p</w:t>
      </w:r>
      <w:r w:rsidR="00753952">
        <w:rPr>
          <w:rFonts w:ascii="Arial Narrow" w:hAnsi="Arial Narrow"/>
          <w:sz w:val="18"/>
        </w:rPr>
        <w:t>14 of the commentary</w:t>
      </w:r>
    </w:p>
    <w:p w14:paraId="39C10DAD" w14:textId="7C51E69A" w:rsidR="00961B60" w:rsidRDefault="00753952" w:rsidP="00926657">
      <w:pPr>
        <w:pStyle w:val="08Tablefootnoteslast-nostick"/>
        <w:spacing w:after="240"/>
        <w:rPr>
          <w:rFonts w:ascii="Arial Narrow" w:hAnsi="Arial Narrow"/>
          <w:sz w:val="18"/>
        </w:rPr>
      </w:pPr>
      <w:r>
        <w:rPr>
          <w:rFonts w:ascii="Arial Narrow" w:hAnsi="Arial Narrow"/>
          <w:sz w:val="18"/>
        </w:rPr>
        <w:t>Abbreviations: CC=</w:t>
      </w:r>
      <w:r w:rsidR="00961B60" w:rsidRPr="009A12C5">
        <w:rPr>
          <w:rFonts w:ascii="Arial Narrow" w:hAnsi="Arial Narrow"/>
          <w:sz w:val="18"/>
        </w:rPr>
        <w:t>capsular contracture.</w:t>
      </w:r>
    </w:p>
    <w:p w14:paraId="1F3BE9AB" w14:textId="47B15458" w:rsidR="00FB4491" w:rsidRDefault="00FB4491" w:rsidP="00FB4491">
      <w:pPr>
        <w:pStyle w:val="Heading3"/>
      </w:pPr>
      <w:r>
        <w:t xml:space="preserve">Other </w:t>
      </w:r>
      <w:r w:rsidR="00F47CC2">
        <w:t>safety outcomes</w:t>
      </w:r>
    </w:p>
    <w:p w14:paraId="4F1862C2" w14:textId="05AE7A2E" w:rsidR="00FB4491" w:rsidRPr="009A12C5" w:rsidRDefault="00FB4491" w:rsidP="00926657">
      <w:pPr>
        <w:pStyle w:val="BodyText"/>
        <w:spacing w:after="240"/>
        <w:rPr>
          <w:lang w:val="en-US" w:eastAsia="ja-JP"/>
        </w:rPr>
      </w:pPr>
      <w:r>
        <w:rPr>
          <w:lang w:val="en-US" w:eastAsia="ja-JP"/>
        </w:rPr>
        <w:t>The commentary included data for other complications</w:t>
      </w:r>
      <w:r w:rsidR="00FB1DDC">
        <w:rPr>
          <w:lang w:val="en-US" w:eastAsia="ja-JP"/>
        </w:rPr>
        <w:t xml:space="preserve"> in the comparison of different types of textured imp</w:t>
      </w:r>
      <w:r w:rsidR="009A12C5">
        <w:rPr>
          <w:lang w:val="en-US" w:eastAsia="ja-JP"/>
        </w:rPr>
        <w:t>l</w:t>
      </w:r>
      <w:r w:rsidR="00FB1DDC">
        <w:rPr>
          <w:lang w:val="en-US" w:eastAsia="ja-JP"/>
        </w:rPr>
        <w:t>ants</w:t>
      </w:r>
      <w:r>
        <w:rPr>
          <w:lang w:val="en-US" w:eastAsia="ja-JP"/>
        </w:rPr>
        <w:t xml:space="preserve"> (Table 5).</w:t>
      </w:r>
    </w:p>
    <w:p w14:paraId="6ED7E1D2" w14:textId="42CD9E4C" w:rsidR="00FB4491" w:rsidRPr="00114D7C" w:rsidRDefault="00FB4491" w:rsidP="00114D7C">
      <w:pPr>
        <w:rPr>
          <w:rFonts w:ascii="Arial Narrow" w:hAnsi="Arial Narrow"/>
          <w:b/>
          <w:sz w:val="20"/>
        </w:rPr>
      </w:pPr>
      <w:bookmarkStart w:id="5" w:name="_Ref23887663"/>
      <w:r w:rsidRPr="00114D7C">
        <w:rPr>
          <w:rFonts w:ascii="Arial Narrow" w:hAnsi="Arial Narrow"/>
          <w:b/>
          <w:sz w:val="20"/>
        </w:rPr>
        <w:t xml:space="preserve">Table </w:t>
      </w:r>
      <w:bookmarkEnd w:id="5"/>
      <w:r w:rsidRPr="00114D7C">
        <w:rPr>
          <w:rFonts w:ascii="Arial Narrow" w:hAnsi="Arial Narrow"/>
          <w:b/>
          <w:sz w:val="20"/>
        </w:rPr>
        <w:t>5</w:t>
      </w:r>
      <w:r w:rsidRPr="00114D7C">
        <w:rPr>
          <w:rFonts w:ascii="Arial Narrow" w:hAnsi="Arial Narrow"/>
          <w:b/>
          <w:sz w:val="20"/>
        </w:rPr>
        <w:tab/>
        <w:t>Complication rates</w:t>
      </w:r>
      <w:r w:rsidR="00753952" w:rsidRPr="00114D7C">
        <w:rPr>
          <w:rFonts w:ascii="Arial Narrow" w:hAnsi="Arial Narrow"/>
          <w:b/>
          <w:sz w:val="20"/>
        </w:rPr>
        <w:t xml:space="preserve"> of Mentor textured implants versus</w:t>
      </w:r>
      <w:r w:rsidRPr="00114D7C">
        <w:rPr>
          <w:rFonts w:ascii="Arial Narrow" w:hAnsi="Arial Narrow"/>
          <w:b/>
          <w:sz w:val="20"/>
        </w:rPr>
        <w:t xml:space="preserve"> other textured implants (Doren et al. 2015)</w:t>
      </w:r>
    </w:p>
    <w:tbl>
      <w:tblPr>
        <w:tblStyle w:val="TableGrid"/>
        <w:tblW w:w="5000" w:type="pct"/>
        <w:tblLook w:val="04A0" w:firstRow="1" w:lastRow="0" w:firstColumn="1" w:lastColumn="0" w:noHBand="0" w:noVBand="1"/>
        <w:tblDescription w:val="Complication rates of Mentor textured implants versus other textured implants (Doren et al. 2015"/>
      </w:tblPr>
      <w:tblGrid>
        <w:gridCol w:w="2387"/>
        <w:gridCol w:w="2211"/>
        <w:gridCol w:w="2209"/>
        <w:gridCol w:w="2209"/>
      </w:tblGrid>
      <w:tr w:rsidR="00FB4491" w:rsidRPr="00FB4491" w14:paraId="7B25CC96" w14:textId="77777777" w:rsidTr="00114D7C">
        <w:trPr>
          <w:tblHeader/>
        </w:trPr>
        <w:tc>
          <w:tcPr>
            <w:tcW w:w="1324" w:type="pct"/>
          </w:tcPr>
          <w:p w14:paraId="6AFF1F6C" w14:textId="77777777" w:rsidR="00FB4491" w:rsidRPr="009A12C5" w:rsidRDefault="00FB4491" w:rsidP="00AB20A2">
            <w:pPr>
              <w:pStyle w:val="01TableHeading"/>
              <w:rPr>
                <w:rFonts w:ascii="Arial Narrow" w:hAnsi="Arial Narrow"/>
                <w:sz w:val="20"/>
              </w:rPr>
            </w:pPr>
            <w:r w:rsidRPr="009A12C5">
              <w:rPr>
                <w:rFonts w:ascii="Arial Narrow" w:hAnsi="Arial Narrow"/>
                <w:sz w:val="20"/>
              </w:rPr>
              <w:t>Complication</w:t>
            </w:r>
          </w:p>
        </w:tc>
        <w:tc>
          <w:tcPr>
            <w:tcW w:w="1226" w:type="pct"/>
          </w:tcPr>
          <w:p w14:paraId="58656AA5" w14:textId="77777777" w:rsidR="00FB4491" w:rsidRPr="009A12C5" w:rsidRDefault="00FB4491" w:rsidP="00AB20A2">
            <w:pPr>
              <w:pStyle w:val="01TableHeading"/>
              <w:rPr>
                <w:rFonts w:ascii="Arial Narrow" w:hAnsi="Arial Narrow"/>
                <w:sz w:val="20"/>
              </w:rPr>
            </w:pPr>
            <w:r w:rsidRPr="009A12C5">
              <w:rPr>
                <w:rFonts w:ascii="Arial Narrow" w:hAnsi="Arial Narrow"/>
                <w:sz w:val="20"/>
              </w:rPr>
              <w:t>Mentor Microtextured</w:t>
            </w:r>
          </w:p>
        </w:tc>
        <w:tc>
          <w:tcPr>
            <w:tcW w:w="1225" w:type="pct"/>
          </w:tcPr>
          <w:p w14:paraId="45B911E2" w14:textId="77777777" w:rsidR="00FB4491" w:rsidRPr="009A12C5" w:rsidRDefault="00FB4491" w:rsidP="00AB20A2">
            <w:pPr>
              <w:pStyle w:val="01TableHeading"/>
              <w:rPr>
                <w:rFonts w:ascii="Arial Narrow" w:hAnsi="Arial Narrow"/>
                <w:sz w:val="20"/>
              </w:rPr>
            </w:pPr>
            <w:r w:rsidRPr="009A12C5">
              <w:rPr>
                <w:rFonts w:ascii="Arial Narrow" w:hAnsi="Arial Narrow"/>
                <w:sz w:val="20"/>
              </w:rPr>
              <w:t>Other textured (Allergan)</w:t>
            </w:r>
          </w:p>
        </w:tc>
        <w:tc>
          <w:tcPr>
            <w:tcW w:w="1225" w:type="pct"/>
          </w:tcPr>
          <w:p w14:paraId="67EFF20D" w14:textId="77777777" w:rsidR="00FB4491" w:rsidRPr="009A12C5" w:rsidRDefault="00FB4491" w:rsidP="00AB20A2">
            <w:pPr>
              <w:pStyle w:val="01TableHeading"/>
              <w:rPr>
                <w:rFonts w:ascii="Arial Narrow" w:hAnsi="Arial Narrow"/>
                <w:sz w:val="20"/>
              </w:rPr>
            </w:pPr>
            <w:r w:rsidRPr="009A12C5">
              <w:rPr>
                <w:rFonts w:ascii="Arial Narrow" w:hAnsi="Arial Narrow"/>
                <w:sz w:val="20"/>
              </w:rPr>
              <w:t>Other textured (Sientra)</w:t>
            </w:r>
          </w:p>
        </w:tc>
      </w:tr>
      <w:tr w:rsidR="00FB4491" w:rsidRPr="00FB4491" w14:paraId="4AEEF8B3" w14:textId="77777777" w:rsidTr="00FB4491">
        <w:tc>
          <w:tcPr>
            <w:tcW w:w="1324" w:type="pct"/>
          </w:tcPr>
          <w:p w14:paraId="74269DF6" w14:textId="77777777" w:rsidR="00FB4491" w:rsidRPr="009A12C5" w:rsidRDefault="00FB4491" w:rsidP="00AB20A2">
            <w:pPr>
              <w:pStyle w:val="03Tablesubheading"/>
              <w:keepNext w:val="0"/>
              <w:rPr>
                <w:rFonts w:ascii="Arial Narrow" w:hAnsi="Arial Narrow"/>
                <w:b w:val="0"/>
                <w:bCs/>
                <w:sz w:val="20"/>
              </w:rPr>
            </w:pPr>
            <w:r w:rsidRPr="009A12C5">
              <w:rPr>
                <w:rFonts w:ascii="Arial Narrow" w:eastAsia="Calibri" w:hAnsi="Arial Narrow"/>
                <w:b w:val="0"/>
                <w:bCs/>
                <w:sz w:val="20"/>
                <w:lang w:eastAsia="en-AU"/>
              </w:rPr>
              <w:t>Patients/ breasts, N</w:t>
            </w:r>
          </w:p>
        </w:tc>
        <w:tc>
          <w:tcPr>
            <w:tcW w:w="1226" w:type="pct"/>
          </w:tcPr>
          <w:p w14:paraId="0886CFCC"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38</w:t>
            </w:r>
          </w:p>
        </w:tc>
        <w:tc>
          <w:tcPr>
            <w:tcW w:w="1225" w:type="pct"/>
          </w:tcPr>
          <w:p w14:paraId="36DE681A"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60</w:t>
            </w:r>
          </w:p>
        </w:tc>
        <w:tc>
          <w:tcPr>
            <w:tcW w:w="1225" w:type="pct"/>
          </w:tcPr>
          <w:p w14:paraId="0D4C809E"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15</w:t>
            </w:r>
          </w:p>
        </w:tc>
      </w:tr>
      <w:tr w:rsidR="00FB4491" w:rsidRPr="00FB4491" w14:paraId="50EDC0A1" w14:textId="77777777" w:rsidTr="00FB4491">
        <w:tc>
          <w:tcPr>
            <w:tcW w:w="1324" w:type="pct"/>
          </w:tcPr>
          <w:p w14:paraId="4CC7D9EC" w14:textId="77777777" w:rsidR="00FB4491" w:rsidRPr="009A12C5" w:rsidRDefault="00FB4491" w:rsidP="00AB20A2">
            <w:pPr>
              <w:pStyle w:val="03Tablesubheading"/>
              <w:keepNext w:val="0"/>
              <w:rPr>
                <w:rFonts w:ascii="Arial Narrow" w:hAnsi="Arial Narrow"/>
                <w:b w:val="0"/>
                <w:bCs/>
                <w:sz w:val="20"/>
              </w:rPr>
            </w:pPr>
            <w:r w:rsidRPr="009A12C5">
              <w:rPr>
                <w:rFonts w:ascii="Arial Narrow" w:hAnsi="Arial Narrow"/>
                <w:b w:val="0"/>
                <w:bCs/>
                <w:sz w:val="20"/>
              </w:rPr>
              <w:t>Reoperation, N (%)</w:t>
            </w:r>
          </w:p>
        </w:tc>
        <w:tc>
          <w:tcPr>
            <w:tcW w:w="1226" w:type="pct"/>
          </w:tcPr>
          <w:p w14:paraId="2A0005FB"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17 (44.7)</w:t>
            </w:r>
          </w:p>
        </w:tc>
        <w:tc>
          <w:tcPr>
            <w:tcW w:w="1225" w:type="pct"/>
          </w:tcPr>
          <w:p w14:paraId="5DF24074"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36 (61.0)</w:t>
            </w:r>
          </w:p>
        </w:tc>
        <w:tc>
          <w:tcPr>
            <w:tcW w:w="1225" w:type="pct"/>
          </w:tcPr>
          <w:p w14:paraId="319F8CEA"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8 (53.3)</w:t>
            </w:r>
          </w:p>
        </w:tc>
      </w:tr>
      <w:tr w:rsidR="00FB4491" w:rsidRPr="00FB4491" w14:paraId="2EDAB6AA" w14:textId="77777777" w:rsidTr="00FB4491">
        <w:tc>
          <w:tcPr>
            <w:tcW w:w="1324" w:type="pct"/>
          </w:tcPr>
          <w:p w14:paraId="4C03AF3D" w14:textId="77777777" w:rsidR="00FB4491" w:rsidRPr="009A12C5" w:rsidRDefault="00FB4491" w:rsidP="00AB20A2">
            <w:pPr>
              <w:pStyle w:val="03Tablesubheading"/>
              <w:keepNext w:val="0"/>
              <w:rPr>
                <w:rFonts w:ascii="Arial Narrow" w:hAnsi="Arial Narrow"/>
                <w:b w:val="0"/>
                <w:bCs/>
                <w:sz w:val="20"/>
              </w:rPr>
            </w:pPr>
            <w:r w:rsidRPr="009A12C5">
              <w:rPr>
                <w:rFonts w:ascii="Arial Narrow" w:hAnsi="Arial Narrow"/>
                <w:b w:val="0"/>
                <w:bCs/>
                <w:sz w:val="20"/>
              </w:rPr>
              <w:t>Explantation, N (%)</w:t>
            </w:r>
          </w:p>
        </w:tc>
        <w:tc>
          <w:tcPr>
            <w:tcW w:w="1226" w:type="pct"/>
          </w:tcPr>
          <w:p w14:paraId="44668D54"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1 (2.6)</w:t>
            </w:r>
          </w:p>
        </w:tc>
        <w:tc>
          <w:tcPr>
            <w:tcW w:w="1225" w:type="pct"/>
          </w:tcPr>
          <w:p w14:paraId="2D48A503"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7 (11.7)</w:t>
            </w:r>
          </w:p>
        </w:tc>
        <w:tc>
          <w:tcPr>
            <w:tcW w:w="1225" w:type="pct"/>
          </w:tcPr>
          <w:p w14:paraId="56EF213B"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3 (20.0)</w:t>
            </w:r>
          </w:p>
        </w:tc>
      </w:tr>
      <w:tr w:rsidR="00FB4491" w:rsidRPr="00FB4491" w14:paraId="3C1BF968" w14:textId="77777777" w:rsidTr="00FB4491">
        <w:tc>
          <w:tcPr>
            <w:tcW w:w="1324" w:type="pct"/>
          </w:tcPr>
          <w:p w14:paraId="179E769F" w14:textId="77777777" w:rsidR="00FB4491" w:rsidRPr="009A12C5" w:rsidRDefault="00FB4491" w:rsidP="00AB20A2">
            <w:pPr>
              <w:pStyle w:val="03Tablesubheading"/>
              <w:keepNext w:val="0"/>
              <w:rPr>
                <w:rFonts w:ascii="Arial Narrow" w:hAnsi="Arial Narrow"/>
                <w:b w:val="0"/>
                <w:bCs/>
                <w:sz w:val="20"/>
              </w:rPr>
            </w:pPr>
            <w:r w:rsidRPr="009A12C5">
              <w:rPr>
                <w:rFonts w:ascii="Arial Narrow" w:hAnsi="Arial Narrow"/>
                <w:b w:val="0"/>
                <w:bCs/>
                <w:sz w:val="20"/>
              </w:rPr>
              <w:t>Hematoma, N (%)</w:t>
            </w:r>
          </w:p>
        </w:tc>
        <w:tc>
          <w:tcPr>
            <w:tcW w:w="1226" w:type="pct"/>
          </w:tcPr>
          <w:p w14:paraId="35396397"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0 (0.0)</w:t>
            </w:r>
          </w:p>
        </w:tc>
        <w:tc>
          <w:tcPr>
            <w:tcW w:w="1225" w:type="pct"/>
          </w:tcPr>
          <w:p w14:paraId="75AE69AD"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1 (1.7)</w:t>
            </w:r>
          </w:p>
        </w:tc>
        <w:tc>
          <w:tcPr>
            <w:tcW w:w="1225" w:type="pct"/>
          </w:tcPr>
          <w:p w14:paraId="3F18F92D"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0 (0.0)</w:t>
            </w:r>
          </w:p>
        </w:tc>
      </w:tr>
      <w:tr w:rsidR="00FB4491" w:rsidRPr="00FB4491" w14:paraId="1A2E6B25" w14:textId="77777777" w:rsidTr="00FB4491">
        <w:tc>
          <w:tcPr>
            <w:tcW w:w="1324" w:type="pct"/>
          </w:tcPr>
          <w:p w14:paraId="183BDE41" w14:textId="77777777" w:rsidR="00FB4491" w:rsidRPr="009A12C5" w:rsidRDefault="00FB4491" w:rsidP="00AB20A2">
            <w:pPr>
              <w:pStyle w:val="03Tablesubheading"/>
              <w:keepNext w:val="0"/>
              <w:rPr>
                <w:rFonts w:ascii="Arial Narrow" w:hAnsi="Arial Narrow"/>
                <w:b w:val="0"/>
                <w:bCs/>
                <w:sz w:val="20"/>
              </w:rPr>
            </w:pPr>
            <w:r w:rsidRPr="009A12C5">
              <w:rPr>
                <w:rFonts w:ascii="Arial Narrow" w:hAnsi="Arial Narrow"/>
                <w:b w:val="0"/>
                <w:bCs/>
                <w:sz w:val="20"/>
              </w:rPr>
              <w:t>Rupture, N (%)</w:t>
            </w:r>
          </w:p>
        </w:tc>
        <w:tc>
          <w:tcPr>
            <w:tcW w:w="1226" w:type="pct"/>
          </w:tcPr>
          <w:p w14:paraId="4BCA246D"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0 (0.0)</w:t>
            </w:r>
          </w:p>
        </w:tc>
        <w:tc>
          <w:tcPr>
            <w:tcW w:w="1225" w:type="pct"/>
          </w:tcPr>
          <w:p w14:paraId="24E44802"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0 (0.0)</w:t>
            </w:r>
          </w:p>
        </w:tc>
        <w:tc>
          <w:tcPr>
            <w:tcW w:w="1225" w:type="pct"/>
          </w:tcPr>
          <w:p w14:paraId="64AB4978"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0 (0.0)</w:t>
            </w:r>
          </w:p>
        </w:tc>
      </w:tr>
      <w:tr w:rsidR="00FB4491" w:rsidRPr="00FB4491" w14:paraId="5FA7F233" w14:textId="77777777" w:rsidTr="00FB4491">
        <w:tc>
          <w:tcPr>
            <w:tcW w:w="1324" w:type="pct"/>
          </w:tcPr>
          <w:p w14:paraId="01D12929" w14:textId="77777777" w:rsidR="00FB4491" w:rsidRPr="009A12C5" w:rsidRDefault="00FB4491" w:rsidP="00AB20A2">
            <w:pPr>
              <w:pStyle w:val="03Tablesubheading"/>
              <w:keepNext w:val="0"/>
              <w:rPr>
                <w:rFonts w:ascii="Arial Narrow" w:hAnsi="Arial Narrow"/>
                <w:b w:val="0"/>
                <w:bCs/>
                <w:sz w:val="20"/>
              </w:rPr>
            </w:pPr>
            <w:r w:rsidRPr="009A12C5">
              <w:rPr>
                <w:rFonts w:ascii="Arial Narrow" w:hAnsi="Arial Narrow"/>
                <w:b w:val="0"/>
                <w:bCs/>
                <w:sz w:val="20"/>
              </w:rPr>
              <w:t>Asymmetry, N (%)</w:t>
            </w:r>
          </w:p>
        </w:tc>
        <w:tc>
          <w:tcPr>
            <w:tcW w:w="1226" w:type="pct"/>
          </w:tcPr>
          <w:p w14:paraId="5024BEA5"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5 (13.2)</w:t>
            </w:r>
          </w:p>
        </w:tc>
        <w:tc>
          <w:tcPr>
            <w:tcW w:w="1225" w:type="pct"/>
          </w:tcPr>
          <w:p w14:paraId="2CB294FD"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14 (23.3)</w:t>
            </w:r>
          </w:p>
        </w:tc>
        <w:tc>
          <w:tcPr>
            <w:tcW w:w="1225" w:type="pct"/>
          </w:tcPr>
          <w:p w14:paraId="5A0A7E9B" w14:textId="77777777" w:rsidR="00FB4491" w:rsidRPr="009A12C5" w:rsidRDefault="00FB4491" w:rsidP="00AB20A2">
            <w:pPr>
              <w:pStyle w:val="05Tabletext22"/>
              <w:rPr>
                <w:rFonts w:ascii="Arial Narrow" w:hAnsi="Arial Narrow"/>
                <w:sz w:val="20"/>
              </w:rPr>
            </w:pPr>
            <w:r w:rsidRPr="009A12C5">
              <w:rPr>
                <w:rFonts w:ascii="Arial Narrow" w:hAnsi="Arial Narrow"/>
                <w:sz w:val="20"/>
              </w:rPr>
              <w:t>5 (35.7)</w:t>
            </w:r>
          </w:p>
        </w:tc>
      </w:tr>
    </w:tbl>
    <w:p w14:paraId="7AF9CF5C" w14:textId="5F97BCF5" w:rsidR="00FB4491" w:rsidRPr="00460E29" w:rsidRDefault="00FB4491" w:rsidP="00FB4491">
      <w:pPr>
        <w:pStyle w:val="08Tablefootnoteslast-nostick"/>
        <w:spacing w:after="0"/>
        <w:rPr>
          <w:rFonts w:ascii="Arial Narrow" w:hAnsi="Arial Narrow"/>
          <w:sz w:val="18"/>
        </w:rPr>
      </w:pPr>
      <w:r>
        <w:rPr>
          <w:rFonts w:ascii="Arial Narrow" w:hAnsi="Arial Narrow"/>
          <w:sz w:val="18"/>
        </w:rPr>
        <w:t xml:space="preserve">Source: </w:t>
      </w:r>
      <w:r w:rsidR="00154A5E">
        <w:rPr>
          <w:rFonts w:ascii="Arial Narrow" w:hAnsi="Arial Narrow"/>
          <w:sz w:val="18"/>
        </w:rPr>
        <w:t>Table 6, p</w:t>
      </w:r>
      <w:r w:rsidR="00753952">
        <w:rPr>
          <w:rFonts w:ascii="Arial Narrow" w:hAnsi="Arial Narrow"/>
          <w:sz w:val="18"/>
        </w:rPr>
        <w:t>14 of the commentary</w:t>
      </w:r>
    </w:p>
    <w:p w14:paraId="499007F7" w14:textId="17A8B0C0" w:rsidR="00FB4491" w:rsidRDefault="00FB4491" w:rsidP="00114D7C">
      <w:pPr>
        <w:pStyle w:val="Heading2"/>
        <w:spacing w:before="240"/>
      </w:pPr>
      <w:r>
        <w:t>Single-arm evidence</w:t>
      </w:r>
    </w:p>
    <w:p w14:paraId="7F25D02C" w14:textId="4B3DA28C" w:rsidR="007A706E" w:rsidRDefault="007A706E" w:rsidP="00926657">
      <w:pPr>
        <w:pStyle w:val="BodyText"/>
        <w:spacing w:after="240"/>
        <w:rPr>
          <w:lang w:val="en-US"/>
        </w:rPr>
      </w:pPr>
      <w:r>
        <w:rPr>
          <w:lang w:val="en-US"/>
        </w:rPr>
        <w:t xml:space="preserve">The </w:t>
      </w:r>
      <w:r w:rsidR="00C1197E">
        <w:rPr>
          <w:lang w:val="en-US"/>
        </w:rPr>
        <w:t>submission</w:t>
      </w:r>
      <w:r w:rsidR="006508A1">
        <w:rPr>
          <w:lang w:val="en-US"/>
        </w:rPr>
        <w:t xml:space="preserve"> also </w:t>
      </w:r>
      <w:r>
        <w:rPr>
          <w:lang w:val="en-US"/>
        </w:rPr>
        <w:t>presented a number of case series studies</w:t>
      </w:r>
      <w:r w:rsidR="00F47CC2">
        <w:rPr>
          <w:lang w:val="en-US"/>
        </w:rPr>
        <w:t xml:space="preserve"> (Table 6). The commentary included one additional study (Salzberg et al. 2016; highlighted in below table); however, noted the e</w:t>
      </w:r>
      <w:r>
        <w:rPr>
          <w:lang w:val="en-US"/>
        </w:rPr>
        <w:t xml:space="preserve">vidence derived from these studies is low level and unsuitable for consideration given the inability to compare across studies due to the many other differences likely to affect rates of capsular contracture and other complications such as follow-up, surgical technique, </w:t>
      </w:r>
      <w:r>
        <w:rPr>
          <w:lang w:val="en-US"/>
        </w:rPr>
        <w:lastRenderedPageBreak/>
        <w:t>device characteristics (fill, shape), treatment (radiotherapy, chemotherapy), patient characteristics etc.</w:t>
      </w:r>
    </w:p>
    <w:p w14:paraId="4C9CFB4B" w14:textId="10338BE7" w:rsidR="00F47CC2" w:rsidRPr="00114D7C" w:rsidRDefault="00F47CC2" w:rsidP="00114D7C">
      <w:pPr>
        <w:rPr>
          <w:rFonts w:ascii="Arial Narrow" w:hAnsi="Arial Narrow"/>
          <w:b/>
          <w:sz w:val="20"/>
        </w:rPr>
      </w:pPr>
      <w:bookmarkStart w:id="6" w:name="_Ref23888524"/>
      <w:r w:rsidRPr="00114D7C">
        <w:rPr>
          <w:rFonts w:ascii="Arial Narrow" w:hAnsi="Arial Narrow"/>
          <w:b/>
          <w:sz w:val="20"/>
        </w:rPr>
        <w:t xml:space="preserve">Table </w:t>
      </w:r>
      <w:bookmarkEnd w:id="6"/>
      <w:r w:rsidR="00AB20A2" w:rsidRPr="00114D7C">
        <w:rPr>
          <w:rFonts w:ascii="Arial Narrow" w:hAnsi="Arial Narrow"/>
          <w:b/>
          <w:sz w:val="20"/>
        </w:rPr>
        <w:t>6</w:t>
      </w:r>
      <w:r w:rsidRPr="00114D7C">
        <w:rPr>
          <w:rFonts w:ascii="Arial Narrow" w:hAnsi="Arial Narrow"/>
          <w:b/>
          <w:sz w:val="20"/>
        </w:rPr>
        <w:tab/>
        <w:t>Summary of capsular contracture from single-arm studies of textured and smooth implants in</w:t>
      </w:r>
      <w:r w:rsidR="00753952" w:rsidRPr="00114D7C">
        <w:rPr>
          <w:rFonts w:ascii="Arial Narrow" w:hAnsi="Arial Narrow"/>
          <w:b/>
          <w:sz w:val="20"/>
        </w:rPr>
        <w:t xml:space="preserve"> </w:t>
      </w:r>
      <w:r w:rsidRPr="00114D7C">
        <w:rPr>
          <w:rFonts w:ascii="Arial Narrow" w:hAnsi="Arial Narrow"/>
          <w:b/>
          <w:sz w:val="20"/>
        </w:rPr>
        <w:t>reconstructio</w:t>
      </w:r>
      <w:r w:rsidR="00753952" w:rsidRPr="00114D7C">
        <w:rPr>
          <w:rFonts w:ascii="Arial Narrow" w:hAnsi="Arial Narrow"/>
          <w:b/>
          <w:sz w:val="20"/>
        </w:rPr>
        <w:t xml:space="preserve">n patients </w:t>
      </w:r>
    </w:p>
    <w:tbl>
      <w:tblPr>
        <w:tblW w:w="9217" w:type="dxa"/>
        <w:tblInd w:w="-108" w:type="dxa"/>
        <w:tblBorders>
          <w:top w:val="nil"/>
          <w:left w:val="nil"/>
          <w:bottom w:val="nil"/>
          <w:right w:val="nil"/>
        </w:tblBorders>
        <w:tblLayout w:type="fixed"/>
        <w:tblLook w:val="0000" w:firstRow="0" w:lastRow="0" w:firstColumn="0" w:lastColumn="0" w:noHBand="0" w:noVBand="0"/>
        <w:tblDescription w:val="Summary of capsular contracture from single-arm studies of textured and smooth implants in reconstruction patients "/>
      </w:tblPr>
      <w:tblGrid>
        <w:gridCol w:w="1526"/>
        <w:gridCol w:w="1276"/>
        <w:gridCol w:w="1559"/>
        <w:gridCol w:w="1079"/>
        <w:gridCol w:w="1258"/>
        <w:gridCol w:w="1491"/>
        <w:gridCol w:w="1028"/>
      </w:tblGrid>
      <w:tr w:rsidR="00F47CC2" w:rsidRPr="004F6ACB" w14:paraId="0457B1AE" w14:textId="77777777" w:rsidTr="00AB20A2">
        <w:trPr>
          <w:trHeight w:val="445"/>
          <w:tblHeader/>
        </w:trPr>
        <w:tc>
          <w:tcPr>
            <w:tcW w:w="1526" w:type="dxa"/>
            <w:tcBorders>
              <w:top w:val="single" w:sz="4" w:space="0" w:color="auto"/>
              <w:bottom w:val="single" w:sz="4" w:space="0" w:color="auto"/>
            </w:tcBorders>
            <w:shd w:val="clear" w:color="auto" w:fill="D9D9D9" w:themeFill="background1" w:themeFillShade="D9"/>
          </w:tcPr>
          <w:p w14:paraId="3D614E67"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First author</w:t>
            </w:r>
          </w:p>
        </w:tc>
        <w:tc>
          <w:tcPr>
            <w:tcW w:w="1276" w:type="dxa"/>
            <w:tcBorders>
              <w:top w:val="single" w:sz="4" w:space="0" w:color="auto"/>
              <w:bottom w:val="single" w:sz="4" w:space="0" w:color="auto"/>
            </w:tcBorders>
            <w:shd w:val="clear" w:color="auto" w:fill="D9D9D9" w:themeFill="background1" w:themeFillShade="D9"/>
          </w:tcPr>
          <w:p w14:paraId="59099D4F"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Follow up (mean years)</w:t>
            </w:r>
          </w:p>
        </w:tc>
        <w:tc>
          <w:tcPr>
            <w:tcW w:w="1559" w:type="dxa"/>
            <w:tcBorders>
              <w:top w:val="single" w:sz="4" w:space="0" w:color="auto"/>
              <w:bottom w:val="single" w:sz="4" w:space="0" w:color="auto"/>
            </w:tcBorders>
            <w:shd w:val="clear" w:color="auto" w:fill="D9D9D9" w:themeFill="background1" w:themeFillShade="D9"/>
          </w:tcPr>
          <w:p w14:paraId="60E4BC02"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 xml:space="preserve">Population </w:t>
            </w:r>
          </w:p>
        </w:tc>
        <w:tc>
          <w:tcPr>
            <w:tcW w:w="1079" w:type="dxa"/>
            <w:tcBorders>
              <w:top w:val="single" w:sz="4" w:space="0" w:color="auto"/>
              <w:bottom w:val="single" w:sz="4" w:space="0" w:color="auto"/>
            </w:tcBorders>
            <w:shd w:val="clear" w:color="auto" w:fill="D9D9D9" w:themeFill="background1" w:themeFillShade="D9"/>
          </w:tcPr>
          <w:p w14:paraId="420D9089"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N patients/ breasts</w:t>
            </w:r>
          </w:p>
        </w:tc>
        <w:tc>
          <w:tcPr>
            <w:tcW w:w="1258" w:type="dxa"/>
            <w:tcBorders>
              <w:top w:val="single" w:sz="4" w:space="0" w:color="auto"/>
              <w:bottom w:val="single" w:sz="4" w:space="0" w:color="auto"/>
            </w:tcBorders>
            <w:shd w:val="clear" w:color="auto" w:fill="D9D9D9" w:themeFill="background1" w:themeFillShade="D9"/>
          </w:tcPr>
          <w:p w14:paraId="1D6EC29F"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N contracture</w:t>
            </w:r>
          </w:p>
        </w:tc>
        <w:tc>
          <w:tcPr>
            <w:tcW w:w="1491" w:type="dxa"/>
            <w:tcBorders>
              <w:top w:val="single" w:sz="4" w:space="0" w:color="auto"/>
              <w:bottom w:val="single" w:sz="4" w:space="0" w:color="auto"/>
            </w:tcBorders>
            <w:shd w:val="clear" w:color="auto" w:fill="D9D9D9" w:themeFill="background1" w:themeFillShade="D9"/>
          </w:tcPr>
          <w:p w14:paraId="3D2D01FD"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 xml:space="preserve">Implant type </w:t>
            </w:r>
          </w:p>
        </w:tc>
        <w:tc>
          <w:tcPr>
            <w:tcW w:w="1028" w:type="dxa"/>
            <w:tcBorders>
              <w:top w:val="single" w:sz="4" w:space="0" w:color="auto"/>
              <w:bottom w:val="single" w:sz="4" w:space="0" w:color="auto"/>
            </w:tcBorders>
            <w:shd w:val="clear" w:color="auto" w:fill="D9D9D9" w:themeFill="background1" w:themeFillShade="D9"/>
          </w:tcPr>
          <w:p w14:paraId="02B2118B" w14:textId="77777777" w:rsidR="00F47CC2" w:rsidRPr="004F6ACB" w:rsidRDefault="00F47CC2" w:rsidP="00AB20A2">
            <w:pPr>
              <w:pStyle w:val="01TableHeading"/>
              <w:rPr>
                <w:rFonts w:ascii="Arial Narrow" w:eastAsia="Calibri" w:hAnsi="Arial Narrow"/>
                <w:sz w:val="20"/>
                <w:szCs w:val="20"/>
                <w:lang w:eastAsia="en-AU"/>
              </w:rPr>
            </w:pPr>
            <w:r w:rsidRPr="004F6ACB">
              <w:rPr>
                <w:rFonts w:ascii="Arial Narrow" w:eastAsia="Calibri" w:hAnsi="Arial Narrow"/>
                <w:sz w:val="20"/>
                <w:szCs w:val="20"/>
                <w:lang w:eastAsia="en-AU"/>
              </w:rPr>
              <w:t>CC Grade (III/IV)</w:t>
            </w:r>
          </w:p>
        </w:tc>
      </w:tr>
      <w:tr w:rsidR="00F47CC2" w:rsidRPr="004F6ACB" w14:paraId="025C395E" w14:textId="77777777" w:rsidTr="00AB20A2">
        <w:trPr>
          <w:trHeight w:val="70"/>
        </w:trPr>
        <w:tc>
          <w:tcPr>
            <w:tcW w:w="1526" w:type="dxa"/>
            <w:tcBorders>
              <w:top w:val="single" w:sz="4" w:space="0" w:color="auto"/>
              <w:bottom w:val="single" w:sz="4" w:space="0" w:color="auto"/>
            </w:tcBorders>
            <w:shd w:val="clear" w:color="auto" w:fill="000000" w:themeFill="text1"/>
          </w:tcPr>
          <w:p w14:paraId="33480BD3"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r w:rsidRPr="004F6ACB">
              <w:rPr>
                <w:rFonts w:ascii="Arial Narrow" w:eastAsia="Calibri" w:hAnsi="Arial Narrow"/>
                <w:color w:val="FFFFFF" w:themeColor="background1"/>
                <w:sz w:val="20"/>
                <w:szCs w:val="20"/>
                <w:lang w:eastAsia="en-AU"/>
              </w:rPr>
              <w:t>Textured</w:t>
            </w:r>
          </w:p>
        </w:tc>
        <w:tc>
          <w:tcPr>
            <w:tcW w:w="1276" w:type="dxa"/>
            <w:tcBorders>
              <w:top w:val="single" w:sz="4" w:space="0" w:color="auto"/>
              <w:bottom w:val="single" w:sz="4" w:space="0" w:color="auto"/>
            </w:tcBorders>
            <w:shd w:val="clear" w:color="auto" w:fill="000000" w:themeFill="text1"/>
          </w:tcPr>
          <w:p w14:paraId="6DFA5D2E"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559" w:type="dxa"/>
            <w:tcBorders>
              <w:top w:val="single" w:sz="4" w:space="0" w:color="auto"/>
              <w:bottom w:val="single" w:sz="4" w:space="0" w:color="auto"/>
            </w:tcBorders>
            <w:shd w:val="clear" w:color="auto" w:fill="000000" w:themeFill="text1"/>
          </w:tcPr>
          <w:p w14:paraId="38D59FDD"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079" w:type="dxa"/>
            <w:tcBorders>
              <w:top w:val="single" w:sz="4" w:space="0" w:color="auto"/>
              <w:bottom w:val="single" w:sz="4" w:space="0" w:color="auto"/>
            </w:tcBorders>
            <w:shd w:val="clear" w:color="auto" w:fill="000000" w:themeFill="text1"/>
          </w:tcPr>
          <w:p w14:paraId="7662C3F6"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258" w:type="dxa"/>
            <w:tcBorders>
              <w:top w:val="single" w:sz="4" w:space="0" w:color="auto"/>
              <w:bottom w:val="single" w:sz="4" w:space="0" w:color="auto"/>
            </w:tcBorders>
            <w:shd w:val="clear" w:color="auto" w:fill="000000" w:themeFill="text1"/>
          </w:tcPr>
          <w:p w14:paraId="4604BD09"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491" w:type="dxa"/>
            <w:tcBorders>
              <w:top w:val="single" w:sz="4" w:space="0" w:color="auto"/>
              <w:bottom w:val="single" w:sz="4" w:space="0" w:color="auto"/>
            </w:tcBorders>
            <w:shd w:val="clear" w:color="auto" w:fill="000000" w:themeFill="text1"/>
          </w:tcPr>
          <w:p w14:paraId="3ED4E819"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028" w:type="dxa"/>
            <w:tcBorders>
              <w:top w:val="single" w:sz="4" w:space="0" w:color="auto"/>
              <w:bottom w:val="single" w:sz="4" w:space="0" w:color="auto"/>
            </w:tcBorders>
            <w:shd w:val="clear" w:color="auto" w:fill="000000" w:themeFill="text1"/>
          </w:tcPr>
          <w:p w14:paraId="08D8DB28"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r>
      <w:tr w:rsidR="00F47CC2" w:rsidRPr="004F6ACB" w14:paraId="363A0395" w14:textId="77777777" w:rsidTr="00AB20A2">
        <w:trPr>
          <w:trHeight w:val="114"/>
        </w:trPr>
        <w:tc>
          <w:tcPr>
            <w:tcW w:w="1526" w:type="dxa"/>
            <w:tcBorders>
              <w:top w:val="single" w:sz="4" w:space="0" w:color="auto"/>
              <w:bottom w:val="single" w:sz="4" w:space="0" w:color="auto"/>
            </w:tcBorders>
          </w:tcPr>
          <w:p w14:paraId="27118897"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noProof/>
                <w:sz w:val="20"/>
                <w:szCs w:val="20"/>
                <w:lang w:eastAsia="en-AU"/>
              </w:rPr>
              <w:t>Hammond et al. (2017)</w:t>
            </w:r>
          </w:p>
        </w:tc>
        <w:tc>
          <w:tcPr>
            <w:tcW w:w="1276" w:type="dxa"/>
            <w:tcBorders>
              <w:top w:val="single" w:sz="4" w:space="0" w:color="auto"/>
              <w:bottom w:val="single" w:sz="4" w:space="0" w:color="auto"/>
            </w:tcBorders>
          </w:tcPr>
          <w:p w14:paraId="66B1E099"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10*</w:t>
            </w:r>
          </w:p>
        </w:tc>
        <w:tc>
          <w:tcPr>
            <w:tcW w:w="1559" w:type="dxa"/>
            <w:tcBorders>
              <w:top w:val="single" w:sz="4" w:space="0" w:color="auto"/>
              <w:bottom w:val="single" w:sz="4" w:space="0" w:color="auto"/>
            </w:tcBorders>
          </w:tcPr>
          <w:p w14:paraId="510232F6"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Primary Recon </w:t>
            </w:r>
          </w:p>
        </w:tc>
        <w:tc>
          <w:tcPr>
            <w:tcW w:w="1079" w:type="dxa"/>
            <w:tcBorders>
              <w:top w:val="single" w:sz="4" w:space="0" w:color="auto"/>
              <w:bottom w:val="single" w:sz="4" w:space="0" w:color="auto"/>
            </w:tcBorders>
          </w:tcPr>
          <w:p w14:paraId="5C69D7FD"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190 </w:t>
            </w:r>
          </w:p>
        </w:tc>
        <w:tc>
          <w:tcPr>
            <w:tcW w:w="1258" w:type="dxa"/>
            <w:tcBorders>
              <w:top w:val="single" w:sz="4" w:space="0" w:color="auto"/>
              <w:bottom w:val="single" w:sz="4" w:space="0" w:color="auto"/>
            </w:tcBorders>
          </w:tcPr>
          <w:p w14:paraId="638FEFD5"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NR</w:t>
            </w:r>
          </w:p>
        </w:tc>
        <w:tc>
          <w:tcPr>
            <w:tcW w:w="1491" w:type="dxa"/>
            <w:tcBorders>
              <w:top w:val="single" w:sz="4" w:space="0" w:color="auto"/>
              <w:bottom w:val="single" w:sz="4" w:space="0" w:color="auto"/>
            </w:tcBorders>
          </w:tcPr>
          <w:p w14:paraId="23F09FF0"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Mentor Microtextured </w:t>
            </w:r>
          </w:p>
        </w:tc>
        <w:tc>
          <w:tcPr>
            <w:tcW w:w="1028" w:type="dxa"/>
            <w:tcBorders>
              <w:top w:val="single" w:sz="4" w:space="0" w:color="auto"/>
              <w:bottom w:val="single" w:sz="4" w:space="0" w:color="auto"/>
            </w:tcBorders>
          </w:tcPr>
          <w:p w14:paraId="613480B1"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14.3% </w:t>
            </w:r>
            <w:r w:rsidRPr="004F6ACB">
              <w:rPr>
                <w:rFonts w:ascii="Arial Narrow" w:eastAsia="Calibri" w:hAnsi="Arial Narrow"/>
                <w:sz w:val="20"/>
                <w:szCs w:val="20"/>
                <w:vertAlign w:val="superscript"/>
                <w:lang w:eastAsia="en-AU"/>
              </w:rPr>
              <w:t>a</w:t>
            </w:r>
          </w:p>
        </w:tc>
      </w:tr>
      <w:tr w:rsidR="00F47CC2" w:rsidRPr="004F6ACB" w14:paraId="29B7B171" w14:textId="77777777" w:rsidTr="00AB20A2">
        <w:trPr>
          <w:trHeight w:val="114"/>
        </w:trPr>
        <w:tc>
          <w:tcPr>
            <w:tcW w:w="1526" w:type="dxa"/>
            <w:tcBorders>
              <w:top w:val="single" w:sz="4" w:space="0" w:color="auto"/>
              <w:bottom w:val="single" w:sz="4" w:space="0" w:color="auto"/>
            </w:tcBorders>
          </w:tcPr>
          <w:p w14:paraId="6AA83994"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noProof/>
                <w:sz w:val="20"/>
                <w:szCs w:val="20"/>
                <w:lang w:eastAsia="en-AU"/>
              </w:rPr>
              <w:t>Pukancsik et al. (2017)</w:t>
            </w:r>
          </w:p>
        </w:tc>
        <w:tc>
          <w:tcPr>
            <w:tcW w:w="1276" w:type="dxa"/>
            <w:tcBorders>
              <w:top w:val="single" w:sz="4" w:space="0" w:color="auto"/>
              <w:bottom w:val="single" w:sz="4" w:space="0" w:color="auto"/>
            </w:tcBorders>
          </w:tcPr>
          <w:p w14:paraId="52B5C36C"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1.95 </w:t>
            </w:r>
          </w:p>
        </w:tc>
        <w:tc>
          <w:tcPr>
            <w:tcW w:w="1559" w:type="dxa"/>
            <w:tcBorders>
              <w:top w:val="single" w:sz="4" w:space="0" w:color="auto"/>
              <w:bottom w:val="single" w:sz="4" w:space="0" w:color="auto"/>
            </w:tcBorders>
          </w:tcPr>
          <w:p w14:paraId="2216EC37"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Primary Recon (single step)</w:t>
            </w:r>
          </w:p>
        </w:tc>
        <w:tc>
          <w:tcPr>
            <w:tcW w:w="1079" w:type="dxa"/>
            <w:tcBorders>
              <w:top w:val="single" w:sz="4" w:space="0" w:color="auto"/>
              <w:bottom w:val="single" w:sz="4" w:space="0" w:color="auto"/>
            </w:tcBorders>
          </w:tcPr>
          <w:p w14:paraId="6470B59F"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102 </w:t>
            </w:r>
          </w:p>
        </w:tc>
        <w:tc>
          <w:tcPr>
            <w:tcW w:w="1258" w:type="dxa"/>
            <w:tcBorders>
              <w:top w:val="single" w:sz="4" w:space="0" w:color="auto"/>
              <w:bottom w:val="single" w:sz="4" w:space="0" w:color="auto"/>
            </w:tcBorders>
          </w:tcPr>
          <w:p w14:paraId="52F48514"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2</w:t>
            </w:r>
          </w:p>
        </w:tc>
        <w:tc>
          <w:tcPr>
            <w:tcW w:w="1491" w:type="dxa"/>
            <w:tcBorders>
              <w:top w:val="single" w:sz="4" w:space="0" w:color="auto"/>
              <w:bottom w:val="single" w:sz="4" w:space="0" w:color="auto"/>
            </w:tcBorders>
          </w:tcPr>
          <w:p w14:paraId="09A234D3"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Mentor Microtextured </w:t>
            </w:r>
          </w:p>
        </w:tc>
        <w:tc>
          <w:tcPr>
            <w:tcW w:w="1028" w:type="dxa"/>
            <w:tcBorders>
              <w:top w:val="single" w:sz="4" w:space="0" w:color="auto"/>
              <w:bottom w:val="single" w:sz="4" w:space="0" w:color="auto"/>
            </w:tcBorders>
          </w:tcPr>
          <w:p w14:paraId="2ED12CFD"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1.2%</w:t>
            </w:r>
          </w:p>
        </w:tc>
      </w:tr>
      <w:tr w:rsidR="00F47CC2" w:rsidRPr="004F6ACB" w14:paraId="70DAA887" w14:textId="77777777" w:rsidTr="00AB20A2">
        <w:trPr>
          <w:trHeight w:val="114"/>
        </w:trPr>
        <w:tc>
          <w:tcPr>
            <w:tcW w:w="1526" w:type="dxa"/>
            <w:tcBorders>
              <w:top w:val="single" w:sz="4" w:space="0" w:color="auto"/>
              <w:bottom w:val="single" w:sz="4" w:space="0" w:color="auto"/>
            </w:tcBorders>
          </w:tcPr>
          <w:p w14:paraId="071EF320"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noProof/>
                <w:sz w:val="20"/>
                <w:szCs w:val="20"/>
                <w:lang w:eastAsia="en-AU"/>
              </w:rPr>
              <w:t>Hammond et al. (2017)</w:t>
            </w:r>
          </w:p>
        </w:tc>
        <w:tc>
          <w:tcPr>
            <w:tcW w:w="1276" w:type="dxa"/>
            <w:tcBorders>
              <w:top w:val="single" w:sz="4" w:space="0" w:color="auto"/>
              <w:bottom w:val="single" w:sz="4" w:space="0" w:color="auto"/>
            </w:tcBorders>
          </w:tcPr>
          <w:p w14:paraId="4961D982"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10*</w:t>
            </w:r>
          </w:p>
        </w:tc>
        <w:tc>
          <w:tcPr>
            <w:tcW w:w="1559" w:type="dxa"/>
            <w:tcBorders>
              <w:top w:val="single" w:sz="4" w:space="0" w:color="auto"/>
              <w:bottom w:val="single" w:sz="4" w:space="0" w:color="auto"/>
            </w:tcBorders>
          </w:tcPr>
          <w:p w14:paraId="49E2239F"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Revision Recon </w:t>
            </w:r>
          </w:p>
        </w:tc>
        <w:tc>
          <w:tcPr>
            <w:tcW w:w="1079" w:type="dxa"/>
            <w:tcBorders>
              <w:top w:val="single" w:sz="4" w:space="0" w:color="auto"/>
              <w:bottom w:val="single" w:sz="4" w:space="0" w:color="auto"/>
            </w:tcBorders>
          </w:tcPr>
          <w:p w14:paraId="037D6AF9"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69 </w:t>
            </w:r>
          </w:p>
        </w:tc>
        <w:tc>
          <w:tcPr>
            <w:tcW w:w="1258" w:type="dxa"/>
            <w:tcBorders>
              <w:top w:val="single" w:sz="4" w:space="0" w:color="auto"/>
              <w:bottom w:val="single" w:sz="4" w:space="0" w:color="auto"/>
            </w:tcBorders>
          </w:tcPr>
          <w:p w14:paraId="7D7D8E9F"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NR</w:t>
            </w:r>
          </w:p>
        </w:tc>
        <w:tc>
          <w:tcPr>
            <w:tcW w:w="1491" w:type="dxa"/>
            <w:tcBorders>
              <w:top w:val="single" w:sz="4" w:space="0" w:color="auto"/>
              <w:bottom w:val="single" w:sz="4" w:space="0" w:color="auto"/>
            </w:tcBorders>
          </w:tcPr>
          <w:p w14:paraId="54D5647E"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Mentor Microtextured </w:t>
            </w:r>
          </w:p>
        </w:tc>
        <w:tc>
          <w:tcPr>
            <w:tcW w:w="1028" w:type="dxa"/>
            <w:tcBorders>
              <w:top w:val="single" w:sz="4" w:space="0" w:color="auto"/>
              <w:bottom w:val="single" w:sz="4" w:space="0" w:color="auto"/>
            </w:tcBorders>
          </w:tcPr>
          <w:p w14:paraId="197D23FF"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16.4% </w:t>
            </w:r>
            <w:r w:rsidRPr="004F6ACB">
              <w:rPr>
                <w:rFonts w:ascii="Arial Narrow" w:eastAsia="Calibri" w:hAnsi="Arial Narrow"/>
                <w:sz w:val="20"/>
                <w:szCs w:val="20"/>
                <w:vertAlign w:val="superscript"/>
                <w:lang w:eastAsia="en-AU"/>
              </w:rPr>
              <w:t>a</w:t>
            </w:r>
          </w:p>
        </w:tc>
      </w:tr>
      <w:tr w:rsidR="00F47CC2" w:rsidRPr="004F6ACB" w14:paraId="4C912DCD" w14:textId="77777777" w:rsidTr="00AB20A2">
        <w:trPr>
          <w:trHeight w:val="70"/>
        </w:trPr>
        <w:tc>
          <w:tcPr>
            <w:tcW w:w="1526" w:type="dxa"/>
            <w:tcBorders>
              <w:top w:val="single" w:sz="4" w:space="0" w:color="auto"/>
              <w:bottom w:val="single" w:sz="4" w:space="0" w:color="auto"/>
            </w:tcBorders>
            <w:shd w:val="clear" w:color="auto" w:fill="000000" w:themeFill="text1"/>
          </w:tcPr>
          <w:p w14:paraId="0F803A68"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r w:rsidRPr="004F6ACB">
              <w:rPr>
                <w:rFonts w:ascii="Arial Narrow" w:eastAsia="Calibri" w:hAnsi="Arial Narrow"/>
                <w:color w:val="FFFFFF" w:themeColor="background1"/>
                <w:sz w:val="20"/>
                <w:szCs w:val="20"/>
                <w:lang w:eastAsia="en-AU"/>
              </w:rPr>
              <w:t>Smooth</w:t>
            </w:r>
          </w:p>
        </w:tc>
        <w:tc>
          <w:tcPr>
            <w:tcW w:w="1276" w:type="dxa"/>
            <w:tcBorders>
              <w:top w:val="single" w:sz="4" w:space="0" w:color="auto"/>
              <w:bottom w:val="single" w:sz="4" w:space="0" w:color="auto"/>
            </w:tcBorders>
            <w:shd w:val="clear" w:color="auto" w:fill="000000" w:themeFill="text1"/>
          </w:tcPr>
          <w:p w14:paraId="454D68E5"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559" w:type="dxa"/>
            <w:tcBorders>
              <w:top w:val="single" w:sz="4" w:space="0" w:color="auto"/>
              <w:bottom w:val="single" w:sz="4" w:space="0" w:color="auto"/>
            </w:tcBorders>
            <w:shd w:val="clear" w:color="auto" w:fill="000000" w:themeFill="text1"/>
          </w:tcPr>
          <w:p w14:paraId="45BDED1C"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079" w:type="dxa"/>
            <w:tcBorders>
              <w:top w:val="single" w:sz="4" w:space="0" w:color="auto"/>
              <w:bottom w:val="single" w:sz="4" w:space="0" w:color="auto"/>
            </w:tcBorders>
            <w:shd w:val="clear" w:color="auto" w:fill="000000" w:themeFill="text1"/>
          </w:tcPr>
          <w:p w14:paraId="223E35CC"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258" w:type="dxa"/>
            <w:tcBorders>
              <w:top w:val="single" w:sz="4" w:space="0" w:color="auto"/>
              <w:bottom w:val="single" w:sz="4" w:space="0" w:color="auto"/>
            </w:tcBorders>
            <w:shd w:val="clear" w:color="auto" w:fill="000000" w:themeFill="text1"/>
          </w:tcPr>
          <w:p w14:paraId="47A298CB"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491" w:type="dxa"/>
            <w:tcBorders>
              <w:top w:val="single" w:sz="4" w:space="0" w:color="auto"/>
              <w:bottom w:val="single" w:sz="4" w:space="0" w:color="auto"/>
            </w:tcBorders>
            <w:shd w:val="clear" w:color="auto" w:fill="000000" w:themeFill="text1"/>
          </w:tcPr>
          <w:p w14:paraId="43CC7ABD"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c>
          <w:tcPr>
            <w:tcW w:w="1028" w:type="dxa"/>
            <w:tcBorders>
              <w:top w:val="single" w:sz="4" w:space="0" w:color="auto"/>
              <w:bottom w:val="single" w:sz="4" w:space="0" w:color="auto"/>
            </w:tcBorders>
            <w:shd w:val="clear" w:color="auto" w:fill="000000" w:themeFill="text1"/>
          </w:tcPr>
          <w:p w14:paraId="168D7A15" w14:textId="77777777" w:rsidR="00F47CC2" w:rsidRPr="004F6ACB" w:rsidRDefault="00F47CC2" w:rsidP="00AB20A2">
            <w:pPr>
              <w:pStyle w:val="03Tablesubheading"/>
              <w:rPr>
                <w:rFonts w:ascii="Arial Narrow" w:eastAsia="Calibri" w:hAnsi="Arial Narrow"/>
                <w:color w:val="FFFFFF" w:themeColor="background1"/>
                <w:sz w:val="20"/>
                <w:szCs w:val="20"/>
                <w:lang w:eastAsia="en-AU"/>
              </w:rPr>
            </w:pPr>
          </w:p>
        </w:tc>
      </w:tr>
      <w:tr w:rsidR="00F47CC2" w:rsidRPr="004F6ACB" w14:paraId="4D315916" w14:textId="77777777" w:rsidTr="00AB20A2">
        <w:trPr>
          <w:trHeight w:val="114"/>
        </w:trPr>
        <w:tc>
          <w:tcPr>
            <w:tcW w:w="1526" w:type="dxa"/>
            <w:tcBorders>
              <w:top w:val="single" w:sz="4" w:space="0" w:color="auto"/>
              <w:left w:val="nil"/>
              <w:bottom w:val="single" w:sz="4" w:space="0" w:color="auto"/>
            </w:tcBorders>
          </w:tcPr>
          <w:p w14:paraId="7896F7D2"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noProof/>
                <w:color w:val="A6A6A6" w:themeColor="background1" w:themeShade="A6"/>
                <w:sz w:val="20"/>
                <w:szCs w:val="20"/>
                <w:lang w:eastAsia="en-AU"/>
              </w:rPr>
              <w:t>Azzi, Zammit, and Lessard (2018)</w:t>
            </w:r>
          </w:p>
        </w:tc>
        <w:tc>
          <w:tcPr>
            <w:tcW w:w="1276" w:type="dxa"/>
            <w:tcBorders>
              <w:top w:val="single" w:sz="4" w:space="0" w:color="auto"/>
              <w:bottom w:val="single" w:sz="4" w:space="0" w:color="auto"/>
            </w:tcBorders>
          </w:tcPr>
          <w:p w14:paraId="52AE3823"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6.8</w:t>
            </w:r>
          </w:p>
        </w:tc>
        <w:tc>
          <w:tcPr>
            <w:tcW w:w="1559" w:type="dxa"/>
            <w:tcBorders>
              <w:top w:val="single" w:sz="4" w:space="0" w:color="auto"/>
              <w:bottom w:val="single" w:sz="4" w:space="0" w:color="auto"/>
            </w:tcBorders>
          </w:tcPr>
          <w:p w14:paraId="00AC7282"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Primary Recon (single step)</w:t>
            </w:r>
          </w:p>
        </w:tc>
        <w:tc>
          <w:tcPr>
            <w:tcW w:w="1079" w:type="dxa"/>
            <w:tcBorders>
              <w:top w:val="single" w:sz="4" w:space="0" w:color="auto"/>
              <w:bottom w:val="single" w:sz="4" w:space="0" w:color="auto"/>
            </w:tcBorders>
          </w:tcPr>
          <w:p w14:paraId="72B185E4"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105 </w:t>
            </w:r>
          </w:p>
        </w:tc>
        <w:tc>
          <w:tcPr>
            <w:tcW w:w="1258" w:type="dxa"/>
            <w:tcBorders>
              <w:top w:val="single" w:sz="4" w:space="0" w:color="auto"/>
              <w:bottom w:val="single" w:sz="4" w:space="0" w:color="auto"/>
            </w:tcBorders>
          </w:tcPr>
          <w:p w14:paraId="1F6A8387"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5</w:t>
            </w:r>
            <w:r w:rsidRPr="004F6ACB">
              <w:rPr>
                <w:rFonts w:ascii="Arial Narrow" w:eastAsia="Calibri" w:hAnsi="Arial Narrow"/>
                <w:color w:val="A6A6A6" w:themeColor="background1" w:themeShade="A6"/>
                <w:sz w:val="20"/>
                <w:szCs w:val="20"/>
                <w:vertAlign w:val="superscript"/>
                <w:lang w:eastAsia="en-AU"/>
              </w:rPr>
              <w:t>b</w:t>
            </w:r>
          </w:p>
        </w:tc>
        <w:tc>
          <w:tcPr>
            <w:tcW w:w="1491" w:type="dxa"/>
            <w:tcBorders>
              <w:top w:val="single" w:sz="4" w:space="0" w:color="auto"/>
              <w:bottom w:val="single" w:sz="4" w:space="0" w:color="auto"/>
            </w:tcBorders>
          </w:tcPr>
          <w:p w14:paraId="54448F42"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Mentor Smooth </w:t>
            </w:r>
          </w:p>
        </w:tc>
        <w:tc>
          <w:tcPr>
            <w:tcW w:w="1028" w:type="dxa"/>
            <w:tcBorders>
              <w:top w:val="single" w:sz="4" w:space="0" w:color="auto"/>
              <w:bottom w:val="single" w:sz="4" w:space="0" w:color="auto"/>
              <w:right w:val="nil"/>
            </w:tcBorders>
          </w:tcPr>
          <w:p w14:paraId="6538C02D"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4.8%</w:t>
            </w:r>
          </w:p>
        </w:tc>
      </w:tr>
      <w:tr w:rsidR="00F47CC2" w:rsidRPr="004F6ACB" w14:paraId="70332CFB" w14:textId="77777777" w:rsidTr="00AB20A2">
        <w:trPr>
          <w:trHeight w:val="114"/>
        </w:trPr>
        <w:tc>
          <w:tcPr>
            <w:tcW w:w="1526" w:type="dxa"/>
            <w:tcBorders>
              <w:top w:val="single" w:sz="4" w:space="0" w:color="auto"/>
              <w:left w:val="nil"/>
              <w:bottom w:val="single" w:sz="4" w:space="0" w:color="auto"/>
            </w:tcBorders>
          </w:tcPr>
          <w:p w14:paraId="7933798E"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noProof/>
                <w:color w:val="A6A6A6" w:themeColor="background1" w:themeShade="A6"/>
                <w:sz w:val="20"/>
                <w:szCs w:val="20"/>
                <w:lang w:eastAsia="en-AU"/>
              </w:rPr>
              <w:t>Becker, Lind, and Hopkins (2015)</w:t>
            </w:r>
          </w:p>
        </w:tc>
        <w:tc>
          <w:tcPr>
            <w:tcW w:w="1276" w:type="dxa"/>
            <w:tcBorders>
              <w:top w:val="single" w:sz="4" w:space="0" w:color="auto"/>
              <w:bottom w:val="single" w:sz="4" w:space="0" w:color="auto"/>
            </w:tcBorders>
          </w:tcPr>
          <w:p w14:paraId="46CB3140"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2 </w:t>
            </w:r>
          </w:p>
        </w:tc>
        <w:tc>
          <w:tcPr>
            <w:tcW w:w="1559" w:type="dxa"/>
            <w:tcBorders>
              <w:top w:val="single" w:sz="4" w:space="0" w:color="auto"/>
              <w:bottom w:val="single" w:sz="4" w:space="0" w:color="auto"/>
            </w:tcBorders>
          </w:tcPr>
          <w:p w14:paraId="7C2D370B"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Primary Recon </w:t>
            </w:r>
          </w:p>
        </w:tc>
        <w:tc>
          <w:tcPr>
            <w:tcW w:w="1079" w:type="dxa"/>
            <w:tcBorders>
              <w:top w:val="single" w:sz="4" w:space="0" w:color="auto"/>
              <w:bottom w:val="single" w:sz="4" w:space="0" w:color="auto"/>
            </w:tcBorders>
          </w:tcPr>
          <w:p w14:paraId="6DA5962E"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31 </w:t>
            </w:r>
          </w:p>
        </w:tc>
        <w:tc>
          <w:tcPr>
            <w:tcW w:w="1258" w:type="dxa"/>
            <w:tcBorders>
              <w:top w:val="single" w:sz="4" w:space="0" w:color="auto"/>
              <w:bottom w:val="single" w:sz="4" w:space="0" w:color="auto"/>
            </w:tcBorders>
          </w:tcPr>
          <w:p w14:paraId="047F6637"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2</w:t>
            </w:r>
            <w:r w:rsidRPr="004F6ACB">
              <w:rPr>
                <w:rFonts w:ascii="Arial Narrow" w:eastAsia="Calibri" w:hAnsi="Arial Narrow"/>
                <w:color w:val="A6A6A6" w:themeColor="background1" w:themeShade="A6"/>
                <w:sz w:val="20"/>
                <w:szCs w:val="20"/>
                <w:vertAlign w:val="superscript"/>
                <w:lang w:eastAsia="en-AU"/>
              </w:rPr>
              <w:t>c</w:t>
            </w:r>
          </w:p>
        </w:tc>
        <w:tc>
          <w:tcPr>
            <w:tcW w:w="1491" w:type="dxa"/>
            <w:tcBorders>
              <w:top w:val="single" w:sz="4" w:space="0" w:color="auto"/>
              <w:bottom w:val="single" w:sz="4" w:space="0" w:color="auto"/>
            </w:tcBorders>
          </w:tcPr>
          <w:p w14:paraId="2680F711"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Mentor Smooth </w:t>
            </w:r>
          </w:p>
        </w:tc>
        <w:tc>
          <w:tcPr>
            <w:tcW w:w="1028" w:type="dxa"/>
            <w:tcBorders>
              <w:top w:val="single" w:sz="4" w:space="0" w:color="auto"/>
              <w:bottom w:val="single" w:sz="4" w:space="0" w:color="auto"/>
              <w:right w:val="nil"/>
            </w:tcBorders>
          </w:tcPr>
          <w:p w14:paraId="3C930BA9"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6.5%</w:t>
            </w:r>
          </w:p>
        </w:tc>
      </w:tr>
      <w:tr w:rsidR="00F47CC2" w:rsidRPr="004F6ACB" w14:paraId="0C6F730C" w14:textId="77777777" w:rsidTr="00AB20A2">
        <w:trPr>
          <w:trHeight w:val="114"/>
        </w:trPr>
        <w:tc>
          <w:tcPr>
            <w:tcW w:w="1526" w:type="dxa"/>
            <w:tcBorders>
              <w:top w:val="single" w:sz="4" w:space="0" w:color="auto"/>
              <w:left w:val="nil"/>
              <w:bottom w:val="single" w:sz="4" w:space="0" w:color="auto"/>
            </w:tcBorders>
          </w:tcPr>
          <w:p w14:paraId="76518A2C"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noProof/>
                <w:color w:val="A6A6A6" w:themeColor="background1" w:themeShade="A6"/>
                <w:sz w:val="20"/>
                <w:szCs w:val="20"/>
                <w:lang w:eastAsia="en-AU"/>
              </w:rPr>
              <w:t>Eberlin, Gfrerer, and Liao (2014)</w:t>
            </w:r>
          </w:p>
        </w:tc>
        <w:tc>
          <w:tcPr>
            <w:tcW w:w="1276" w:type="dxa"/>
            <w:tcBorders>
              <w:top w:val="single" w:sz="4" w:space="0" w:color="auto"/>
              <w:bottom w:val="single" w:sz="4" w:space="0" w:color="auto"/>
            </w:tcBorders>
          </w:tcPr>
          <w:p w14:paraId="312EB6E4"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1.5 </w:t>
            </w:r>
          </w:p>
        </w:tc>
        <w:tc>
          <w:tcPr>
            <w:tcW w:w="1559" w:type="dxa"/>
            <w:tcBorders>
              <w:top w:val="single" w:sz="4" w:space="0" w:color="auto"/>
              <w:bottom w:val="single" w:sz="4" w:space="0" w:color="auto"/>
            </w:tcBorders>
          </w:tcPr>
          <w:p w14:paraId="682B1ADF"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Primary Recon </w:t>
            </w:r>
          </w:p>
        </w:tc>
        <w:tc>
          <w:tcPr>
            <w:tcW w:w="1079" w:type="dxa"/>
            <w:tcBorders>
              <w:top w:val="single" w:sz="4" w:space="0" w:color="auto"/>
              <w:bottom w:val="single" w:sz="4" w:space="0" w:color="auto"/>
            </w:tcBorders>
          </w:tcPr>
          <w:p w14:paraId="58B2D93E"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16 </w:t>
            </w:r>
          </w:p>
        </w:tc>
        <w:tc>
          <w:tcPr>
            <w:tcW w:w="1258" w:type="dxa"/>
            <w:tcBorders>
              <w:top w:val="single" w:sz="4" w:space="0" w:color="auto"/>
              <w:bottom w:val="single" w:sz="4" w:space="0" w:color="auto"/>
            </w:tcBorders>
          </w:tcPr>
          <w:p w14:paraId="6044FF81"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NR</w:t>
            </w:r>
          </w:p>
        </w:tc>
        <w:tc>
          <w:tcPr>
            <w:tcW w:w="1491" w:type="dxa"/>
            <w:tcBorders>
              <w:top w:val="single" w:sz="4" w:space="0" w:color="auto"/>
              <w:bottom w:val="single" w:sz="4" w:space="0" w:color="auto"/>
            </w:tcBorders>
          </w:tcPr>
          <w:p w14:paraId="520AEBDA"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Mentor Smooth </w:t>
            </w:r>
          </w:p>
        </w:tc>
        <w:tc>
          <w:tcPr>
            <w:tcW w:w="1028" w:type="dxa"/>
            <w:tcBorders>
              <w:top w:val="single" w:sz="4" w:space="0" w:color="auto"/>
              <w:bottom w:val="single" w:sz="4" w:space="0" w:color="auto"/>
              <w:right w:val="nil"/>
            </w:tcBorders>
          </w:tcPr>
          <w:p w14:paraId="0806EAEE"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0%</w:t>
            </w:r>
          </w:p>
        </w:tc>
      </w:tr>
      <w:tr w:rsidR="00F47CC2" w:rsidRPr="004F6ACB" w14:paraId="6EA5380C" w14:textId="77777777" w:rsidTr="00AB20A2">
        <w:trPr>
          <w:trHeight w:val="114"/>
        </w:trPr>
        <w:tc>
          <w:tcPr>
            <w:tcW w:w="1526" w:type="dxa"/>
            <w:tcBorders>
              <w:top w:val="single" w:sz="4" w:space="0" w:color="auto"/>
              <w:left w:val="nil"/>
              <w:bottom w:val="single" w:sz="4" w:space="0" w:color="auto"/>
            </w:tcBorders>
          </w:tcPr>
          <w:p w14:paraId="2A9D4AE2"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Lessard (2009)</w:t>
            </w:r>
          </w:p>
        </w:tc>
        <w:tc>
          <w:tcPr>
            <w:tcW w:w="1276" w:type="dxa"/>
            <w:tcBorders>
              <w:top w:val="single" w:sz="4" w:space="0" w:color="auto"/>
              <w:bottom w:val="single" w:sz="4" w:space="0" w:color="auto"/>
            </w:tcBorders>
          </w:tcPr>
          <w:p w14:paraId="6F4E8A6E"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NR</w:t>
            </w:r>
          </w:p>
        </w:tc>
        <w:tc>
          <w:tcPr>
            <w:tcW w:w="1559" w:type="dxa"/>
            <w:tcBorders>
              <w:top w:val="single" w:sz="4" w:space="0" w:color="auto"/>
              <w:bottom w:val="single" w:sz="4" w:space="0" w:color="auto"/>
            </w:tcBorders>
          </w:tcPr>
          <w:p w14:paraId="33217EFF"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Primary Recon </w:t>
            </w:r>
          </w:p>
        </w:tc>
        <w:tc>
          <w:tcPr>
            <w:tcW w:w="1079" w:type="dxa"/>
            <w:tcBorders>
              <w:top w:val="single" w:sz="4" w:space="0" w:color="auto"/>
              <w:bottom w:val="single" w:sz="4" w:space="0" w:color="auto"/>
            </w:tcBorders>
          </w:tcPr>
          <w:p w14:paraId="2711B8CE"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44 </w:t>
            </w:r>
          </w:p>
        </w:tc>
        <w:tc>
          <w:tcPr>
            <w:tcW w:w="1258" w:type="dxa"/>
            <w:tcBorders>
              <w:top w:val="single" w:sz="4" w:space="0" w:color="auto"/>
              <w:bottom w:val="single" w:sz="4" w:space="0" w:color="auto"/>
            </w:tcBorders>
          </w:tcPr>
          <w:p w14:paraId="6DEB8B34"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NR</w:t>
            </w:r>
          </w:p>
        </w:tc>
        <w:tc>
          <w:tcPr>
            <w:tcW w:w="1491" w:type="dxa"/>
            <w:tcBorders>
              <w:top w:val="single" w:sz="4" w:space="0" w:color="auto"/>
              <w:bottom w:val="single" w:sz="4" w:space="0" w:color="auto"/>
            </w:tcBorders>
          </w:tcPr>
          <w:p w14:paraId="004837F7"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 xml:space="preserve">Mentor Smooth </w:t>
            </w:r>
          </w:p>
        </w:tc>
        <w:tc>
          <w:tcPr>
            <w:tcW w:w="1028" w:type="dxa"/>
            <w:tcBorders>
              <w:top w:val="single" w:sz="4" w:space="0" w:color="auto"/>
              <w:bottom w:val="single" w:sz="4" w:space="0" w:color="auto"/>
              <w:right w:val="nil"/>
            </w:tcBorders>
          </w:tcPr>
          <w:p w14:paraId="6D97ABC3" w14:textId="77777777" w:rsidR="00F47CC2" w:rsidRPr="004F6ACB" w:rsidRDefault="00F47CC2" w:rsidP="00AB20A2">
            <w:pPr>
              <w:pStyle w:val="05Tabletext22"/>
              <w:rPr>
                <w:rFonts w:ascii="Arial Narrow" w:eastAsia="Calibri" w:hAnsi="Arial Narrow"/>
                <w:color w:val="A6A6A6" w:themeColor="background1" w:themeShade="A6"/>
                <w:sz w:val="20"/>
                <w:szCs w:val="20"/>
                <w:lang w:eastAsia="en-AU"/>
              </w:rPr>
            </w:pPr>
            <w:r w:rsidRPr="004F6ACB">
              <w:rPr>
                <w:rFonts w:ascii="Arial Narrow" w:eastAsia="Calibri" w:hAnsi="Arial Narrow"/>
                <w:color w:val="A6A6A6" w:themeColor="background1" w:themeShade="A6"/>
                <w:sz w:val="20"/>
                <w:szCs w:val="20"/>
                <w:lang w:eastAsia="en-AU"/>
              </w:rPr>
              <w:t>0.15%</w:t>
            </w:r>
          </w:p>
        </w:tc>
      </w:tr>
      <w:tr w:rsidR="00F47CC2" w:rsidRPr="004F6ACB" w14:paraId="1E52E144" w14:textId="77777777" w:rsidTr="00AB20A2">
        <w:trPr>
          <w:trHeight w:val="114"/>
        </w:trPr>
        <w:tc>
          <w:tcPr>
            <w:tcW w:w="1526" w:type="dxa"/>
            <w:tcBorders>
              <w:top w:val="single" w:sz="4" w:space="0" w:color="auto"/>
              <w:left w:val="nil"/>
              <w:bottom w:val="single" w:sz="4" w:space="0" w:color="auto"/>
            </w:tcBorders>
          </w:tcPr>
          <w:p w14:paraId="53641547"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noProof/>
                <w:sz w:val="20"/>
                <w:szCs w:val="20"/>
                <w:lang w:eastAsia="en-AU"/>
              </w:rPr>
              <w:t>Zienowicz and Karacaoglu (2007)</w:t>
            </w:r>
          </w:p>
        </w:tc>
        <w:tc>
          <w:tcPr>
            <w:tcW w:w="1276" w:type="dxa"/>
            <w:tcBorders>
              <w:top w:val="single" w:sz="4" w:space="0" w:color="auto"/>
              <w:bottom w:val="single" w:sz="4" w:space="0" w:color="auto"/>
            </w:tcBorders>
          </w:tcPr>
          <w:p w14:paraId="41911471"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1.5 </w:t>
            </w:r>
          </w:p>
        </w:tc>
        <w:tc>
          <w:tcPr>
            <w:tcW w:w="1559" w:type="dxa"/>
            <w:tcBorders>
              <w:top w:val="single" w:sz="4" w:space="0" w:color="auto"/>
              <w:bottom w:val="single" w:sz="4" w:space="0" w:color="auto"/>
            </w:tcBorders>
          </w:tcPr>
          <w:p w14:paraId="75CA101C"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Primary Recon </w:t>
            </w:r>
          </w:p>
        </w:tc>
        <w:tc>
          <w:tcPr>
            <w:tcW w:w="1079" w:type="dxa"/>
            <w:tcBorders>
              <w:top w:val="single" w:sz="4" w:space="0" w:color="auto"/>
              <w:bottom w:val="single" w:sz="4" w:space="0" w:color="auto"/>
            </w:tcBorders>
          </w:tcPr>
          <w:p w14:paraId="63D8F2F0"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24 </w:t>
            </w:r>
          </w:p>
        </w:tc>
        <w:tc>
          <w:tcPr>
            <w:tcW w:w="1258" w:type="dxa"/>
            <w:tcBorders>
              <w:top w:val="single" w:sz="4" w:space="0" w:color="auto"/>
              <w:bottom w:val="single" w:sz="4" w:space="0" w:color="auto"/>
            </w:tcBorders>
          </w:tcPr>
          <w:p w14:paraId="14ECC944" w14:textId="77777777" w:rsidR="00F47CC2" w:rsidRPr="004F6ACB" w:rsidRDefault="00F47CC2" w:rsidP="00AB20A2">
            <w:pPr>
              <w:pStyle w:val="05Tabletext22"/>
              <w:rPr>
                <w:rFonts w:ascii="Arial Narrow" w:eastAsia="Calibri" w:hAnsi="Arial Narrow"/>
                <w:sz w:val="20"/>
                <w:szCs w:val="20"/>
                <w:lang w:eastAsia="en-AU"/>
              </w:rPr>
            </w:pPr>
          </w:p>
        </w:tc>
        <w:tc>
          <w:tcPr>
            <w:tcW w:w="1491" w:type="dxa"/>
            <w:tcBorders>
              <w:top w:val="single" w:sz="4" w:space="0" w:color="auto"/>
              <w:bottom w:val="single" w:sz="4" w:space="0" w:color="auto"/>
            </w:tcBorders>
          </w:tcPr>
          <w:p w14:paraId="5AF1F4A4"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 xml:space="preserve">Mentor Smooth </w:t>
            </w:r>
          </w:p>
        </w:tc>
        <w:tc>
          <w:tcPr>
            <w:tcW w:w="1028" w:type="dxa"/>
            <w:tcBorders>
              <w:top w:val="single" w:sz="4" w:space="0" w:color="auto"/>
              <w:bottom w:val="single" w:sz="4" w:space="0" w:color="auto"/>
              <w:right w:val="nil"/>
            </w:tcBorders>
          </w:tcPr>
          <w:p w14:paraId="0F432799"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0%</w:t>
            </w:r>
          </w:p>
        </w:tc>
      </w:tr>
      <w:tr w:rsidR="00F47CC2" w:rsidRPr="004F6ACB" w14:paraId="73E13ABE" w14:textId="77777777" w:rsidTr="00AB20A2">
        <w:trPr>
          <w:trHeight w:val="114"/>
        </w:trPr>
        <w:tc>
          <w:tcPr>
            <w:tcW w:w="1526" w:type="dxa"/>
            <w:tcBorders>
              <w:top w:val="single" w:sz="4" w:space="0" w:color="auto"/>
              <w:bottom w:val="single" w:sz="4" w:space="0" w:color="auto"/>
            </w:tcBorders>
            <w:shd w:val="clear" w:color="auto" w:fill="E2EFD9" w:themeFill="accent6" w:themeFillTint="33"/>
          </w:tcPr>
          <w:p w14:paraId="6C98A885"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noProof/>
                <w:sz w:val="20"/>
                <w:szCs w:val="20"/>
                <w:lang w:eastAsia="en-AU"/>
              </w:rPr>
              <w:t>Salzberg et al. (2016)</w:t>
            </w:r>
          </w:p>
        </w:tc>
        <w:tc>
          <w:tcPr>
            <w:tcW w:w="1276" w:type="dxa"/>
            <w:tcBorders>
              <w:top w:val="single" w:sz="4" w:space="0" w:color="auto"/>
              <w:bottom w:val="single" w:sz="4" w:space="0" w:color="auto"/>
            </w:tcBorders>
            <w:shd w:val="clear" w:color="auto" w:fill="E2EFD9" w:themeFill="accent6" w:themeFillTint="33"/>
          </w:tcPr>
          <w:p w14:paraId="3785E6B6"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4.7</w:t>
            </w:r>
          </w:p>
        </w:tc>
        <w:tc>
          <w:tcPr>
            <w:tcW w:w="1559" w:type="dxa"/>
            <w:tcBorders>
              <w:top w:val="single" w:sz="4" w:space="0" w:color="auto"/>
              <w:bottom w:val="single" w:sz="4" w:space="0" w:color="auto"/>
            </w:tcBorders>
            <w:shd w:val="clear" w:color="auto" w:fill="E2EFD9" w:themeFill="accent6" w:themeFillTint="33"/>
          </w:tcPr>
          <w:p w14:paraId="26F09947"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Primary Recon</w:t>
            </w:r>
          </w:p>
        </w:tc>
        <w:tc>
          <w:tcPr>
            <w:tcW w:w="1079" w:type="dxa"/>
            <w:tcBorders>
              <w:top w:val="single" w:sz="4" w:space="0" w:color="auto"/>
              <w:bottom w:val="single" w:sz="4" w:space="0" w:color="auto"/>
            </w:tcBorders>
            <w:shd w:val="clear" w:color="auto" w:fill="E2EFD9" w:themeFill="accent6" w:themeFillTint="33"/>
          </w:tcPr>
          <w:p w14:paraId="7735055E"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863/1584</w:t>
            </w:r>
          </w:p>
        </w:tc>
        <w:tc>
          <w:tcPr>
            <w:tcW w:w="1258" w:type="dxa"/>
            <w:tcBorders>
              <w:top w:val="single" w:sz="4" w:space="0" w:color="auto"/>
              <w:bottom w:val="single" w:sz="4" w:space="0" w:color="auto"/>
            </w:tcBorders>
            <w:shd w:val="clear" w:color="auto" w:fill="E2EFD9" w:themeFill="accent6" w:themeFillTint="33"/>
          </w:tcPr>
          <w:p w14:paraId="481BD96A"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9/12</w:t>
            </w:r>
          </w:p>
        </w:tc>
        <w:tc>
          <w:tcPr>
            <w:tcW w:w="1491" w:type="dxa"/>
            <w:tcBorders>
              <w:top w:val="single" w:sz="4" w:space="0" w:color="auto"/>
              <w:bottom w:val="single" w:sz="4" w:space="0" w:color="auto"/>
            </w:tcBorders>
            <w:shd w:val="clear" w:color="auto" w:fill="E2EFD9" w:themeFill="accent6" w:themeFillTint="33"/>
          </w:tcPr>
          <w:p w14:paraId="6F70917E"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Smooth (1529 implants)</w:t>
            </w:r>
          </w:p>
          <w:p w14:paraId="4C8A94BF"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Textured (55 implants)</w:t>
            </w:r>
          </w:p>
        </w:tc>
        <w:tc>
          <w:tcPr>
            <w:tcW w:w="1028" w:type="dxa"/>
            <w:tcBorders>
              <w:top w:val="single" w:sz="4" w:space="0" w:color="auto"/>
              <w:bottom w:val="single" w:sz="4" w:space="0" w:color="auto"/>
            </w:tcBorders>
            <w:shd w:val="clear" w:color="auto" w:fill="E2EFD9" w:themeFill="accent6" w:themeFillTint="33"/>
          </w:tcPr>
          <w:p w14:paraId="7B793488" w14:textId="77777777" w:rsidR="00F47CC2" w:rsidRPr="004F6ACB" w:rsidRDefault="00F47CC2" w:rsidP="00AB20A2">
            <w:pPr>
              <w:pStyle w:val="05Tabletext22"/>
              <w:rPr>
                <w:rFonts w:ascii="Arial Narrow" w:eastAsia="Calibri" w:hAnsi="Arial Narrow"/>
                <w:sz w:val="20"/>
                <w:szCs w:val="20"/>
                <w:lang w:eastAsia="en-AU"/>
              </w:rPr>
            </w:pPr>
            <w:r w:rsidRPr="004F6ACB">
              <w:rPr>
                <w:rFonts w:ascii="Arial Narrow" w:eastAsia="Calibri" w:hAnsi="Arial Narrow"/>
                <w:sz w:val="20"/>
                <w:szCs w:val="20"/>
                <w:lang w:eastAsia="en-AU"/>
              </w:rPr>
              <w:t>1.0%</w:t>
            </w:r>
          </w:p>
        </w:tc>
      </w:tr>
    </w:tbl>
    <w:p w14:paraId="322043C5" w14:textId="4F5D0CF7" w:rsidR="00F47CC2" w:rsidRPr="004F6ACB" w:rsidRDefault="00F47CC2" w:rsidP="009A12C5">
      <w:pPr>
        <w:pStyle w:val="08Tablefootnoteslast-nostick"/>
        <w:spacing w:after="0"/>
        <w:rPr>
          <w:rFonts w:ascii="Arial Narrow" w:hAnsi="Arial Narrow"/>
          <w:sz w:val="18"/>
        </w:rPr>
      </w:pPr>
      <w:r w:rsidRPr="004F6ACB">
        <w:rPr>
          <w:rFonts w:ascii="Arial Narrow" w:hAnsi="Arial Narrow"/>
          <w:sz w:val="18"/>
        </w:rPr>
        <w:t xml:space="preserve">Source: </w:t>
      </w:r>
      <w:r w:rsidR="00154A5E" w:rsidRPr="004F6ACB">
        <w:rPr>
          <w:rFonts w:ascii="Arial Narrow" w:hAnsi="Arial Narrow"/>
          <w:sz w:val="18"/>
        </w:rPr>
        <w:t>Table 7, p</w:t>
      </w:r>
      <w:r w:rsidR="00753952" w:rsidRPr="004F6ACB">
        <w:rPr>
          <w:rFonts w:ascii="Arial Narrow" w:hAnsi="Arial Narrow"/>
          <w:sz w:val="18"/>
        </w:rPr>
        <w:t>15 of the commentary</w:t>
      </w:r>
    </w:p>
    <w:p w14:paraId="2297763F" w14:textId="739EE767" w:rsidR="00F47CC2" w:rsidRPr="004F6ACB" w:rsidRDefault="00F47CC2" w:rsidP="00F47CC2">
      <w:pPr>
        <w:pStyle w:val="10Tablefootnotes"/>
        <w:rPr>
          <w:rFonts w:ascii="Arial Narrow" w:hAnsi="Arial Narrow"/>
          <w:sz w:val="18"/>
        </w:rPr>
      </w:pPr>
      <w:r w:rsidRPr="004F6ACB">
        <w:rPr>
          <w:rFonts w:ascii="Arial Narrow" w:hAnsi="Arial Narrow"/>
          <w:sz w:val="18"/>
        </w:rPr>
        <w:t>Abbreviations: CC, capsular contracture; NR, not reported; Recon, reconstruction.</w:t>
      </w:r>
    </w:p>
    <w:p w14:paraId="27A02608" w14:textId="77777777" w:rsidR="00F47CC2" w:rsidRPr="004F6ACB" w:rsidRDefault="00F47CC2" w:rsidP="00F47CC2">
      <w:pPr>
        <w:pStyle w:val="10Tablefootnotes"/>
        <w:rPr>
          <w:rFonts w:ascii="Arial Narrow" w:hAnsi="Arial Narrow"/>
          <w:sz w:val="18"/>
        </w:rPr>
      </w:pPr>
      <w:r w:rsidRPr="004F6ACB">
        <w:rPr>
          <w:rFonts w:ascii="Arial Narrow" w:hAnsi="Arial Narrow"/>
          <w:sz w:val="18"/>
        </w:rPr>
        <w:t>Notes: study shaded green was not included in the submission but identified during preparation of the commentary</w:t>
      </w:r>
    </w:p>
    <w:p w14:paraId="45DFBDE6" w14:textId="77777777" w:rsidR="00F47CC2" w:rsidRPr="004F6ACB" w:rsidRDefault="00F47CC2" w:rsidP="00F47CC2">
      <w:pPr>
        <w:pStyle w:val="10Tablefootnotes"/>
        <w:rPr>
          <w:rFonts w:ascii="Arial Narrow" w:hAnsi="Arial Narrow"/>
          <w:sz w:val="18"/>
        </w:rPr>
      </w:pPr>
      <w:r w:rsidRPr="004F6ACB">
        <w:rPr>
          <w:rFonts w:ascii="Arial Narrow" w:hAnsi="Arial Narrow"/>
          <w:sz w:val="18"/>
        </w:rPr>
        <w:t>* maximum follow-up</w:t>
      </w:r>
    </w:p>
    <w:p w14:paraId="3384F4DA" w14:textId="77777777" w:rsidR="00F47CC2" w:rsidRPr="004F6ACB" w:rsidRDefault="00F47CC2" w:rsidP="00F47CC2">
      <w:pPr>
        <w:pStyle w:val="10Tablefootnotes"/>
        <w:rPr>
          <w:rFonts w:ascii="Arial Narrow" w:hAnsi="Arial Narrow"/>
          <w:sz w:val="18"/>
        </w:rPr>
      </w:pPr>
      <w:r w:rsidRPr="004F6ACB">
        <w:rPr>
          <w:rFonts w:ascii="Arial Narrow" w:hAnsi="Arial Narrow"/>
          <w:b/>
          <w:bCs/>
          <w:sz w:val="18"/>
        </w:rPr>
        <w:t>a</w:t>
      </w:r>
      <w:r w:rsidRPr="004F6ACB">
        <w:rPr>
          <w:rFonts w:ascii="Arial Narrow" w:hAnsi="Arial Narrow"/>
          <w:sz w:val="18"/>
        </w:rPr>
        <w:t xml:space="preserve"> Kaplan-Meier estimated cumulative incidence rates </w:t>
      </w:r>
    </w:p>
    <w:p w14:paraId="0EB20FF0" w14:textId="77777777" w:rsidR="00F47CC2" w:rsidRPr="004F6ACB" w:rsidRDefault="00F47CC2" w:rsidP="00F47CC2">
      <w:pPr>
        <w:pStyle w:val="10Tablefootnotes"/>
        <w:rPr>
          <w:rFonts w:ascii="Arial Narrow" w:hAnsi="Arial Narrow"/>
          <w:sz w:val="18"/>
        </w:rPr>
      </w:pPr>
      <w:r w:rsidRPr="004F6ACB">
        <w:rPr>
          <w:rFonts w:ascii="Arial Narrow" w:hAnsi="Arial Narrow"/>
          <w:b/>
          <w:bCs/>
          <w:sz w:val="18"/>
        </w:rPr>
        <w:t>b</w:t>
      </w:r>
      <w:r w:rsidRPr="004F6ACB">
        <w:rPr>
          <w:rFonts w:ascii="Arial Narrow" w:hAnsi="Arial Narrow"/>
          <w:sz w:val="18"/>
        </w:rPr>
        <w:t xml:space="preserve"> Capsular contracture requiring reoperation, not according to Baker grade (i.e. likely more severe cases, and therefore an underestimate) </w:t>
      </w:r>
    </w:p>
    <w:p w14:paraId="68B014DA" w14:textId="631DD8B9" w:rsidR="0025213B" w:rsidRPr="004F6ACB" w:rsidRDefault="00F47CC2" w:rsidP="00926657">
      <w:pPr>
        <w:pStyle w:val="08Tablefootnoteslast-nostick"/>
        <w:spacing w:after="240"/>
        <w:rPr>
          <w:rFonts w:ascii="Arial Narrow" w:hAnsi="Arial Narrow"/>
          <w:sz w:val="18"/>
        </w:rPr>
      </w:pPr>
      <w:r w:rsidRPr="004F6ACB">
        <w:rPr>
          <w:rFonts w:ascii="Arial Narrow" w:hAnsi="Arial Narrow"/>
          <w:b/>
          <w:bCs/>
          <w:sz w:val="18"/>
        </w:rPr>
        <w:t>c</w:t>
      </w:r>
      <w:r w:rsidRPr="004F6ACB">
        <w:rPr>
          <w:rFonts w:ascii="Arial Narrow" w:hAnsi="Arial Narrow"/>
          <w:sz w:val="18"/>
        </w:rPr>
        <w:t xml:space="preserve"> Grade of capsular contracture not defined</w:t>
      </w:r>
    </w:p>
    <w:p w14:paraId="461CEC8D" w14:textId="5B4C3B2F" w:rsidR="006F395E" w:rsidRDefault="006F395E" w:rsidP="009A12C5">
      <w:pPr>
        <w:pStyle w:val="Heading2"/>
      </w:pPr>
      <w:bookmarkStart w:id="7" w:name="_Ref23957433"/>
      <w:r>
        <w:t>Observational data</w:t>
      </w:r>
    </w:p>
    <w:bookmarkEnd w:id="7"/>
    <w:p w14:paraId="77754631" w14:textId="3D0061E1" w:rsidR="007A706E" w:rsidRDefault="007A706E" w:rsidP="0063471C">
      <w:pPr>
        <w:pStyle w:val="BodyText"/>
        <w:rPr>
          <w:lang w:val="en-US"/>
        </w:rPr>
      </w:pPr>
      <w:r>
        <w:rPr>
          <w:lang w:val="en-US"/>
        </w:rPr>
        <w:t xml:space="preserve">The </w:t>
      </w:r>
      <w:r w:rsidR="00C1197E">
        <w:rPr>
          <w:lang w:val="en-US"/>
        </w:rPr>
        <w:t>submission</w:t>
      </w:r>
      <w:r w:rsidR="006334ED">
        <w:rPr>
          <w:lang w:val="en-US"/>
        </w:rPr>
        <w:t xml:space="preserve"> </w:t>
      </w:r>
      <w:r w:rsidR="008F0061">
        <w:rPr>
          <w:lang w:val="en-US"/>
        </w:rPr>
        <w:t xml:space="preserve">also </w:t>
      </w:r>
      <w:r>
        <w:rPr>
          <w:lang w:val="en-US"/>
        </w:rPr>
        <w:t xml:space="preserve">reported revision rates and issues identified at revision from the </w:t>
      </w:r>
      <w:r w:rsidR="008F0061">
        <w:rPr>
          <w:lang w:val="en-US"/>
        </w:rPr>
        <w:t xml:space="preserve">ABDR. </w:t>
      </w:r>
      <w:r w:rsidR="00F5469B">
        <w:rPr>
          <w:lang w:val="en-US"/>
        </w:rPr>
        <w:t>The</w:t>
      </w:r>
      <w:r w:rsidR="005307F0">
        <w:rPr>
          <w:lang w:val="en-US"/>
        </w:rPr>
        <w:t xml:space="preserve"> commentary noted the following</w:t>
      </w:r>
      <w:r w:rsidR="00F5469B">
        <w:rPr>
          <w:lang w:val="en-US"/>
        </w:rPr>
        <w:t xml:space="preserve"> </w:t>
      </w:r>
      <w:r w:rsidR="008F0061">
        <w:rPr>
          <w:lang w:val="en-US"/>
        </w:rPr>
        <w:t>ABDR d</w:t>
      </w:r>
      <w:r w:rsidR="008F0061" w:rsidRPr="008F0061">
        <w:rPr>
          <w:lang w:val="en-US"/>
        </w:rPr>
        <w:t xml:space="preserve">ata </w:t>
      </w:r>
      <w:r w:rsidR="005307F0">
        <w:rPr>
          <w:lang w:val="en-US"/>
        </w:rPr>
        <w:t xml:space="preserve">as relevant </w:t>
      </w:r>
      <w:r w:rsidR="008F0061" w:rsidRPr="008F0061">
        <w:rPr>
          <w:lang w:val="en-US"/>
        </w:rPr>
        <w:t xml:space="preserve">to the current </w:t>
      </w:r>
      <w:r w:rsidR="006B7085">
        <w:rPr>
          <w:lang w:val="en-US"/>
        </w:rPr>
        <w:t>submission</w:t>
      </w:r>
      <w:r w:rsidR="008F0061" w:rsidRPr="008F0061">
        <w:rPr>
          <w:lang w:val="en-US"/>
        </w:rPr>
        <w:t>:</w:t>
      </w:r>
    </w:p>
    <w:p w14:paraId="6912CC98" w14:textId="77777777" w:rsidR="007A706E" w:rsidRDefault="007A706E" w:rsidP="0063471C">
      <w:pPr>
        <w:pStyle w:val="BodyText"/>
        <w:numPr>
          <w:ilvl w:val="0"/>
          <w:numId w:val="5"/>
        </w:numPr>
        <w:rPr>
          <w:lang w:val="en-US"/>
        </w:rPr>
      </w:pPr>
      <w:r>
        <w:rPr>
          <w:lang w:val="en-US"/>
        </w:rPr>
        <w:t>Use of smooth round silicone implants for reconstructions appears to be increasing from 20.8% in 2012-2017 (2,427 implants) to 30.3% in 2018 (1,132 implants)</w:t>
      </w:r>
      <w:r w:rsidR="00B7038D">
        <w:rPr>
          <w:lang w:val="en-US"/>
        </w:rPr>
        <w:t>.</w:t>
      </w:r>
    </w:p>
    <w:p w14:paraId="113FDABC" w14:textId="77777777" w:rsidR="007A706E" w:rsidRDefault="007A706E" w:rsidP="0063471C">
      <w:pPr>
        <w:pStyle w:val="BodyText"/>
        <w:numPr>
          <w:ilvl w:val="0"/>
          <w:numId w:val="5"/>
        </w:numPr>
        <w:rPr>
          <w:lang w:val="en-US"/>
        </w:rPr>
      </w:pPr>
      <w:r>
        <w:rPr>
          <w:lang w:val="en-US"/>
        </w:rPr>
        <w:t xml:space="preserve">Increasing use of acellular dermal/synthetic matrices, used in 51% of direct-to-implant insertions for post cancer reconstruction and 58% of risk-reducing reconstructions. </w:t>
      </w:r>
      <w:r w:rsidR="00B7038D">
        <w:rPr>
          <w:lang w:val="en-US"/>
        </w:rPr>
        <w:t>T</w:t>
      </w:r>
      <w:r>
        <w:rPr>
          <w:lang w:val="en-US"/>
        </w:rPr>
        <w:t xml:space="preserve">hese are associated with very low rates of capsular contracture </w:t>
      </w:r>
      <w:r>
        <w:rPr>
          <w:noProof/>
          <w:lang w:val="en-US"/>
        </w:rPr>
        <w:t>(for example, Unger and Keller 2019)</w:t>
      </w:r>
      <w:r w:rsidR="00B7038D">
        <w:rPr>
          <w:noProof/>
          <w:lang w:val="en-US"/>
        </w:rPr>
        <w:t>.</w:t>
      </w:r>
    </w:p>
    <w:p w14:paraId="59B706E8" w14:textId="77777777" w:rsidR="007A706E" w:rsidRDefault="007A706E" w:rsidP="0063471C">
      <w:pPr>
        <w:pStyle w:val="BodyText"/>
        <w:numPr>
          <w:ilvl w:val="0"/>
          <w:numId w:val="5"/>
        </w:numPr>
        <w:spacing w:after="0"/>
        <w:rPr>
          <w:lang w:val="en-US"/>
        </w:rPr>
      </w:pPr>
      <w:r>
        <w:rPr>
          <w:lang w:val="en-US"/>
        </w:rPr>
        <w:t>Top three issues identified at revision of reconstructive breast implants (2018):</w:t>
      </w:r>
    </w:p>
    <w:p w14:paraId="5D90DD5A" w14:textId="77777777" w:rsidR="007A706E" w:rsidRDefault="007A706E" w:rsidP="0063471C">
      <w:pPr>
        <w:pStyle w:val="BodyText"/>
        <w:numPr>
          <w:ilvl w:val="1"/>
          <w:numId w:val="5"/>
        </w:numPr>
        <w:spacing w:after="0"/>
        <w:rPr>
          <w:lang w:val="en-US"/>
        </w:rPr>
      </w:pPr>
      <w:r>
        <w:rPr>
          <w:lang w:val="en-US"/>
        </w:rPr>
        <w:t>capsular contracture (n=498, 39.1%)</w:t>
      </w:r>
    </w:p>
    <w:p w14:paraId="1988B531" w14:textId="77777777" w:rsidR="007A706E" w:rsidRDefault="007A706E" w:rsidP="0063471C">
      <w:pPr>
        <w:pStyle w:val="BodyText"/>
        <w:numPr>
          <w:ilvl w:val="1"/>
          <w:numId w:val="5"/>
        </w:numPr>
        <w:spacing w:after="0"/>
        <w:rPr>
          <w:lang w:val="en-US"/>
        </w:rPr>
      </w:pPr>
      <w:r>
        <w:rPr>
          <w:lang w:val="en-US"/>
        </w:rPr>
        <w:t>device malposition (n=424, 33.3.%)</w:t>
      </w:r>
    </w:p>
    <w:p w14:paraId="2C9BD711" w14:textId="77777777" w:rsidR="007A706E" w:rsidRDefault="007A706E" w:rsidP="0063471C">
      <w:pPr>
        <w:pStyle w:val="BodyText"/>
        <w:numPr>
          <w:ilvl w:val="1"/>
          <w:numId w:val="5"/>
        </w:numPr>
        <w:rPr>
          <w:lang w:val="en-US"/>
        </w:rPr>
      </w:pPr>
      <w:r>
        <w:rPr>
          <w:lang w:val="en-US"/>
        </w:rPr>
        <w:t>device rupture (n=215, 16.9%).</w:t>
      </w:r>
    </w:p>
    <w:p w14:paraId="68F95734" w14:textId="564D78E0" w:rsidR="006906FB" w:rsidRPr="0063471C" w:rsidRDefault="000B4572" w:rsidP="009A12C5">
      <w:pPr>
        <w:rPr>
          <w:szCs w:val="24"/>
        </w:rPr>
      </w:pPr>
      <w:r>
        <w:rPr>
          <w:iCs/>
          <w:lang w:val="en-US"/>
        </w:rPr>
        <w:lastRenderedPageBreak/>
        <w:t>The c</w:t>
      </w:r>
      <w:r w:rsidR="006F395E">
        <w:rPr>
          <w:iCs/>
          <w:lang w:val="en-US"/>
        </w:rPr>
        <w:t xml:space="preserve">ommentary acknowledged </w:t>
      </w:r>
      <w:r w:rsidR="00FB1DDC">
        <w:rPr>
          <w:iCs/>
          <w:lang w:val="en-US"/>
        </w:rPr>
        <w:t>d</w:t>
      </w:r>
      <w:r w:rsidR="006F395E" w:rsidRPr="001A7EE3">
        <w:rPr>
          <w:iCs/>
          <w:lang w:val="en-US"/>
        </w:rPr>
        <w:t xml:space="preserve">ata from the ABDR may be useful to identify potential differences in revision rates, or reasons for revision, for textured </w:t>
      </w:r>
      <w:r w:rsidR="009A12C5">
        <w:rPr>
          <w:iCs/>
          <w:lang w:val="en-US"/>
        </w:rPr>
        <w:t>versus</w:t>
      </w:r>
      <w:r w:rsidR="006F395E" w:rsidRPr="001A7EE3">
        <w:rPr>
          <w:iCs/>
          <w:lang w:val="en-US"/>
        </w:rPr>
        <w:t xml:space="preserve"> smooth implants in reconstruction. Between 2012-2018, 5,834 reconstruction revision procedures have been recorded.</w:t>
      </w:r>
      <w:r w:rsidR="00651AA1">
        <w:rPr>
          <w:iCs/>
          <w:lang w:val="en-US"/>
        </w:rPr>
        <w:t xml:space="preserve"> </w:t>
      </w:r>
      <w:r w:rsidR="006F395E">
        <w:rPr>
          <w:iCs/>
          <w:lang w:val="en-US"/>
        </w:rPr>
        <w:t>However,</w:t>
      </w:r>
      <w:r w:rsidR="006F395E" w:rsidRPr="006F395E">
        <w:t xml:space="preserve"> </w:t>
      </w:r>
      <w:r w:rsidR="006F395E">
        <w:t>the</w:t>
      </w:r>
      <w:r w:rsidR="00AB20A2">
        <w:t xml:space="preserve"> commentary stated the</w:t>
      </w:r>
      <w:r w:rsidR="006F395E">
        <w:t xml:space="preserve"> </w:t>
      </w:r>
      <w:r w:rsidR="006F395E" w:rsidRPr="006F395E">
        <w:rPr>
          <w:iCs/>
          <w:lang w:val="en-US"/>
        </w:rPr>
        <w:t xml:space="preserve">observational breast reconstruction data </w:t>
      </w:r>
      <w:r w:rsidR="006F395E">
        <w:rPr>
          <w:iCs/>
          <w:lang w:val="en-US"/>
        </w:rPr>
        <w:t>showed</w:t>
      </w:r>
      <w:r w:rsidR="006F395E" w:rsidRPr="006F395E">
        <w:rPr>
          <w:iCs/>
          <w:lang w:val="en-US"/>
        </w:rPr>
        <w:t xml:space="preserve"> no convincing difference between textured and smooth implants for any outcome</w:t>
      </w:r>
      <w:r w:rsidR="006F395E">
        <w:rPr>
          <w:iCs/>
          <w:lang w:val="en-US"/>
        </w:rPr>
        <w:t xml:space="preserve">. </w:t>
      </w:r>
    </w:p>
    <w:p w14:paraId="697FFFF5" w14:textId="77777777" w:rsidR="00B63E25" w:rsidRPr="00F715D1" w:rsidRDefault="00B63E25" w:rsidP="00B63E25">
      <w:pPr>
        <w:pStyle w:val="Heading1"/>
      </w:pPr>
      <w:r w:rsidRPr="00F715D1">
        <w:t>Comparative effectiveness</w:t>
      </w:r>
    </w:p>
    <w:p w14:paraId="6E8B36C3" w14:textId="131239F5" w:rsidR="00900296" w:rsidRDefault="00900296" w:rsidP="00B769B6">
      <w:pPr>
        <w:tabs>
          <w:tab w:val="left" w:pos="720"/>
          <w:tab w:val="left" w:pos="1140"/>
        </w:tabs>
        <w:spacing w:after="240"/>
        <w:rPr>
          <w:szCs w:val="24"/>
        </w:rPr>
      </w:pPr>
      <w:r>
        <w:t xml:space="preserve">The </w:t>
      </w:r>
      <w:r w:rsidR="006B7085">
        <w:t>submission</w:t>
      </w:r>
      <w:r>
        <w:t xml:space="preserve">’s comparative effectiveness </w:t>
      </w:r>
      <w:r w:rsidR="00926657">
        <w:t>was</w:t>
      </w:r>
      <w:r>
        <w:t xml:space="preserve"> considered in terms of safety via reduced complications</w:t>
      </w:r>
      <w:r w:rsidRPr="005A4362" w:rsidDel="00900296">
        <w:rPr>
          <w:i/>
          <w:szCs w:val="24"/>
        </w:rPr>
        <w:t xml:space="preserve"> </w:t>
      </w:r>
      <w:r w:rsidR="008C6D96">
        <w:rPr>
          <w:szCs w:val="24"/>
        </w:rPr>
        <w:t>(discussed</w:t>
      </w:r>
      <w:r w:rsidR="00D30745">
        <w:rPr>
          <w:szCs w:val="24"/>
        </w:rPr>
        <w:t xml:space="preserve"> above </w:t>
      </w:r>
      <w:r w:rsidR="008C6D96">
        <w:rPr>
          <w:szCs w:val="24"/>
        </w:rPr>
        <w:t>in section 10).</w:t>
      </w:r>
    </w:p>
    <w:p w14:paraId="6DC0D218" w14:textId="445175A8" w:rsidR="00F642E1" w:rsidRDefault="00F642E1" w:rsidP="00B769B6">
      <w:pPr>
        <w:tabs>
          <w:tab w:val="left" w:pos="720"/>
          <w:tab w:val="left" w:pos="1140"/>
        </w:tabs>
        <w:spacing w:after="240"/>
        <w:rPr>
          <w:szCs w:val="24"/>
        </w:rPr>
      </w:pPr>
      <w:r>
        <w:rPr>
          <w:szCs w:val="24"/>
        </w:rPr>
        <w:t xml:space="preserve">The </w:t>
      </w:r>
      <w:r w:rsidR="000B4572">
        <w:rPr>
          <w:szCs w:val="24"/>
        </w:rPr>
        <w:t>c</w:t>
      </w:r>
      <w:r>
        <w:rPr>
          <w:szCs w:val="24"/>
        </w:rPr>
        <w:t xml:space="preserve">ommentary questioned whether </w:t>
      </w:r>
      <w:r w:rsidRPr="00F642E1">
        <w:rPr>
          <w:szCs w:val="24"/>
        </w:rPr>
        <w:t xml:space="preserve">capsular contracture and other complications from breast implants and breast </w:t>
      </w:r>
      <w:r w:rsidR="00B73FD9">
        <w:rPr>
          <w:szCs w:val="24"/>
        </w:rPr>
        <w:t xml:space="preserve">tissue </w:t>
      </w:r>
      <w:r w:rsidRPr="00F642E1">
        <w:rPr>
          <w:szCs w:val="24"/>
        </w:rPr>
        <w:t xml:space="preserve">expanders </w:t>
      </w:r>
      <w:r w:rsidR="00FC2E2F">
        <w:rPr>
          <w:szCs w:val="24"/>
        </w:rPr>
        <w:t>are</w:t>
      </w:r>
      <w:r w:rsidR="00FC2E2F" w:rsidRPr="00F642E1">
        <w:rPr>
          <w:szCs w:val="24"/>
        </w:rPr>
        <w:t xml:space="preserve"> </w:t>
      </w:r>
      <w:r w:rsidRPr="00F642E1">
        <w:rPr>
          <w:szCs w:val="24"/>
        </w:rPr>
        <w:t>sufficient to assess clinical effectiveness, given that patient-relevant outcomes include breast appearance, nipple sensation changes, breast sensation changes, and health-related quality of life (patient satisfaction, body image, self-esteem, return to work/family caring). Very little comparative information is available in regard to these patient-relevant outcomes as they are not widely collected and are poorly reported in the literature. Unsatisfactory breast appearance and asymmetry are common reasons for reoperation, but reoperation rates also capture other complications and biopsy for breast masses.</w:t>
      </w:r>
    </w:p>
    <w:p w14:paraId="1B1116AD" w14:textId="0B537BED" w:rsidR="00B769B6" w:rsidRPr="0025574C" w:rsidRDefault="006B7085" w:rsidP="0025574C">
      <w:pPr>
        <w:pStyle w:val="Heading2"/>
        <w:rPr>
          <w:b/>
          <w:i w:val="0"/>
        </w:rPr>
      </w:pPr>
      <w:r w:rsidRPr="0025574C">
        <w:rPr>
          <w:b/>
          <w:i w:val="0"/>
        </w:rPr>
        <w:t>Clinical c</w:t>
      </w:r>
      <w:r w:rsidR="00B769B6" w:rsidRPr="0025574C">
        <w:rPr>
          <w:b/>
          <w:i w:val="0"/>
        </w:rPr>
        <w:t>laim</w:t>
      </w:r>
    </w:p>
    <w:p w14:paraId="799FA331" w14:textId="2E18AC48" w:rsidR="00B769B6" w:rsidRPr="009A08B5" w:rsidRDefault="00B769B6" w:rsidP="0063471C">
      <w:pPr>
        <w:tabs>
          <w:tab w:val="left" w:pos="720"/>
          <w:tab w:val="left" w:pos="1140"/>
        </w:tabs>
        <w:spacing w:after="120"/>
        <w:rPr>
          <w:szCs w:val="24"/>
        </w:rPr>
      </w:pPr>
      <w:r w:rsidRPr="009A08B5">
        <w:rPr>
          <w:szCs w:val="24"/>
        </w:rPr>
        <w:t xml:space="preserve">The clinical claim </w:t>
      </w:r>
      <w:r>
        <w:rPr>
          <w:szCs w:val="24"/>
        </w:rPr>
        <w:t xml:space="preserve">in the </w:t>
      </w:r>
      <w:r w:rsidR="006B7085">
        <w:rPr>
          <w:szCs w:val="24"/>
        </w:rPr>
        <w:t>submission</w:t>
      </w:r>
      <w:r>
        <w:rPr>
          <w:szCs w:val="24"/>
        </w:rPr>
        <w:t xml:space="preserve"> </w:t>
      </w:r>
      <w:r w:rsidR="00926657">
        <w:rPr>
          <w:szCs w:val="24"/>
        </w:rPr>
        <w:t>wa</w:t>
      </w:r>
      <w:r w:rsidRPr="009A08B5">
        <w:rPr>
          <w:szCs w:val="24"/>
        </w:rPr>
        <w:t xml:space="preserve">s: </w:t>
      </w:r>
    </w:p>
    <w:p w14:paraId="7C447F6A" w14:textId="77777777" w:rsidR="00B769B6" w:rsidRPr="009A08B5" w:rsidRDefault="00B769B6" w:rsidP="00120505">
      <w:pPr>
        <w:pStyle w:val="ListParagraph"/>
        <w:numPr>
          <w:ilvl w:val="0"/>
          <w:numId w:val="2"/>
        </w:numPr>
        <w:tabs>
          <w:tab w:val="left" w:pos="720"/>
          <w:tab w:val="left" w:pos="1140"/>
        </w:tabs>
        <w:spacing w:after="240"/>
        <w:rPr>
          <w:szCs w:val="24"/>
        </w:rPr>
      </w:pPr>
      <w:r w:rsidRPr="009A08B5">
        <w:rPr>
          <w:szCs w:val="24"/>
        </w:rPr>
        <w:t>Mentor textured breast implants are superior to smooth breast implants in terms of reducing capsular contracture.</w:t>
      </w:r>
    </w:p>
    <w:p w14:paraId="6AD90602" w14:textId="2AFC7A1E" w:rsidR="00B769B6" w:rsidRPr="009A08B5" w:rsidRDefault="00B769B6" w:rsidP="00B769B6">
      <w:pPr>
        <w:tabs>
          <w:tab w:val="left" w:pos="720"/>
          <w:tab w:val="left" w:pos="1140"/>
        </w:tabs>
        <w:spacing w:after="240"/>
        <w:rPr>
          <w:szCs w:val="24"/>
        </w:rPr>
      </w:pPr>
      <w:r w:rsidRPr="009A08B5">
        <w:rPr>
          <w:szCs w:val="24"/>
        </w:rPr>
        <w:t xml:space="preserve">The </w:t>
      </w:r>
      <w:r w:rsidR="006B7085">
        <w:rPr>
          <w:szCs w:val="24"/>
        </w:rPr>
        <w:t>submission</w:t>
      </w:r>
      <w:r w:rsidRPr="009A08B5">
        <w:rPr>
          <w:szCs w:val="24"/>
        </w:rPr>
        <w:t xml:space="preserve"> </w:t>
      </w:r>
      <w:r w:rsidR="00926657">
        <w:rPr>
          <w:szCs w:val="24"/>
        </w:rPr>
        <w:t>made</w:t>
      </w:r>
      <w:r w:rsidRPr="009A08B5">
        <w:rPr>
          <w:szCs w:val="24"/>
        </w:rPr>
        <w:t xml:space="preserve"> no other clinical claims. The higher relative benefit on the PL for textured implants therefore relies on the availability of evidence to demonstrate that rates of capsular contracture are lower for textured breast implants compared with smooth breast implants.</w:t>
      </w:r>
    </w:p>
    <w:p w14:paraId="787B7EC2" w14:textId="7993E82D" w:rsidR="00C81F2F" w:rsidRDefault="003647F8" w:rsidP="009A12C5">
      <w:pPr>
        <w:pStyle w:val="Heading1"/>
      </w:pPr>
      <w:r w:rsidRPr="00F715D1">
        <w:t>Economic evaluation</w:t>
      </w:r>
    </w:p>
    <w:p w14:paraId="2911EC9A" w14:textId="047AE439" w:rsidR="00AB20A2" w:rsidRDefault="00C81F2F" w:rsidP="003A28EE">
      <w:r>
        <w:t xml:space="preserve">The </w:t>
      </w:r>
      <w:r w:rsidR="009A12C5">
        <w:t xml:space="preserve">submission </w:t>
      </w:r>
      <w:r>
        <w:t>presented a</w:t>
      </w:r>
      <w:r w:rsidR="003A28EE">
        <w:t xml:space="preserve"> cost-utility analysis</w:t>
      </w:r>
      <w:r w:rsidR="00AB20A2">
        <w:t xml:space="preserve"> (</w:t>
      </w:r>
      <w:r w:rsidR="003A09A4">
        <w:t>decision tree</w:t>
      </w:r>
      <w:r w:rsidR="00AB20A2">
        <w:t xml:space="preserve">) comparing Mentor textured implants </w:t>
      </w:r>
      <w:r w:rsidR="00AB20A2" w:rsidRPr="009A12C5">
        <w:t>v</w:t>
      </w:r>
      <w:r w:rsidR="009A12C5">
        <w:t>ersus:</w:t>
      </w:r>
      <w:r w:rsidR="00AB20A2">
        <w:t xml:space="preserve"> </w:t>
      </w:r>
    </w:p>
    <w:p w14:paraId="3498EC2B" w14:textId="184521D5" w:rsidR="00AB20A2" w:rsidRDefault="00AB20A2" w:rsidP="009A12C5">
      <w:pPr>
        <w:pStyle w:val="ListParagraph"/>
        <w:numPr>
          <w:ilvl w:val="0"/>
          <w:numId w:val="17"/>
        </w:numPr>
      </w:pPr>
      <w:r>
        <w:t>Smooth breast implants</w:t>
      </w:r>
    </w:p>
    <w:p w14:paraId="2F2FB6D5" w14:textId="010CA2D6" w:rsidR="00AB20A2" w:rsidRDefault="00AB20A2" w:rsidP="009A12C5">
      <w:pPr>
        <w:pStyle w:val="ListParagraph"/>
        <w:numPr>
          <w:ilvl w:val="0"/>
          <w:numId w:val="17"/>
        </w:numPr>
      </w:pPr>
      <w:r>
        <w:t>Other textured implants</w:t>
      </w:r>
    </w:p>
    <w:p w14:paraId="7AA4B54D" w14:textId="7734FC74" w:rsidR="00AB20A2" w:rsidRDefault="00AB20A2" w:rsidP="009A12C5">
      <w:pPr>
        <w:pStyle w:val="ListParagraph"/>
        <w:numPr>
          <w:ilvl w:val="0"/>
          <w:numId w:val="17"/>
        </w:numPr>
      </w:pPr>
      <w:r>
        <w:t xml:space="preserve">Combination of smooth and or textured implants (Table 7). </w:t>
      </w:r>
    </w:p>
    <w:p w14:paraId="4396A186" w14:textId="3A0A49C3" w:rsidR="003A09A4" w:rsidRDefault="003A28EE" w:rsidP="00114D7C">
      <w:pPr>
        <w:spacing w:before="240" w:after="240"/>
      </w:pPr>
      <w:r>
        <w:t xml:space="preserve">The </w:t>
      </w:r>
      <w:r w:rsidR="000B4572">
        <w:t>c</w:t>
      </w:r>
      <w:r>
        <w:t xml:space="preserve">ommentary noted that the Mentor textured implant, at $1,170 on the July 2019 PL Part A, is $575 per implant more expensive than the smooth implant, which is listed at </w:t>
      </w:r>
      <w:r w:rsidR="00114D7C">
        <w:t>$595.</w:t>
      </w:r>
    </w:p>
    <w:p w14:paraId="657A2174" w14:textId="5E2ABCAE" w:rsidR="00926657" w:rsidRPr="00114D7C" w:rsidRDefault="003A09A4" w:rsidP="00114D7C">
      <w:r>
        <w:t>The commentary noted i</w:t>
      </w:r>
      <w:r w:rsidR="003A28EE">
        <w:t xml:space="preserve">n terms of assessing this additional cost, Criterion 5 of the Prostheses List guidance advises that cost should be relative to its clinical effectiveness. In the </w:t>
      </w:r>
      <w:r w:rsidR="006B7085">
        <w:t>submission</w:t>
      </w:r>
      <w:r w:rsidR="003A28EE">
        <w:t xml:space="preserve">’s model, clinical effectiveness </w:t>
      </w:r>
      <w:r w:rsidR="00926657">
        <w:t>was</w:t>
      </w:r>
      <w:r w:rsidR="003A28EE">
        <w:t xml:space="preserve"> considered in terms of safety via reduced complications. This appears consistent with other economic evaluations in this area, albeit from settings outside Australia. </w:t>
      </w:r>
      <w:r>
        <w:t xml:space="preserve">The commentary did not perform </w:t>
      </w:r>
      <w:r w:rsidR="003A28EE">
        <w:t xml:space="preserve">additional </w:t>
      </w:r>
      <w:r>
        <w:t xml:space="preserve">modelled </w:t>
      </w:r>
      <w:r w:rsidR="003A28EE">
        <w:t>scenario</w:t>
      </w:r>
      <w:r>
        <w:t xml:space="preserve"> analysis </w:t>
      </w:r>
      <w:r w:rsidR="003A28EE">
        <w:t xml:space="preserve">due to the uncertainty regarding the comparative clinical evidence. </w:t>
      </w:r>
      <w:r w:rsidR="00926657">
        <w:br w:type="page"/>
      </w:r>
    </w:p>
    <w:p w14:paraId="586684F3" w14:textId="25AFD48E" w:rsidR="00761E01" w:rsidRPr="00114D7C" w:rsidRDefault="003E0FC0" w:rsidP="00114D7C">
      <w:pPr>
        <w:rPr>
          <w:rFonts w:ascii="Arial Narrow" w:hAnsi="Arial Narrow"/>
          <w:b/>
          <w:sz w:val="20"/>
        </w:rPr>
      </w:pPr>
      <w:r w:rsidRPr="00114D7C">
        <w:rPr>
          <w:rFonts w:ascii="Arial Narrow" w:hAnsi="Arial Narrow"/>
          <w:b/>
          <w:sz w:val="20"/>
        </w:rPr>
        <w:lastRenderedPageBreak/>
        <w:t xml:space="preserve">Table </w:t>
      </w:r>
      <w:r w:rsidR="003A09A4" w:rsidRPr="00114D7C">
        <w:rPr>
          <w:rFonts w:ascii="Arial Narrow" w:hAnsi="Arial Narrow"/>
          <w:b/>
          <w:sz w:val="20"/>
        </w:rPr>
        <w:t>7</w:t>
      </w:r>
      <w:r w:rsidR="00761E01" w:rsidRPr="00114D7C">
        <w:rPr>
          <w:rFonts w:ascii="Arial Narrow" w:hAnsi="Arial Narrow"/>
          <w:b/>
          <w:sz w:val="20"/>
        </w:rPr>
        <w:tab/>
        <w:t>Key components of the economic evaluation</w:t>
      </w:r>
    </w:p>
    <w:tbl>
      <w:tblPr>
        <w:tblStyle w:val="TableGrid1"/>
        <w:tblW w:w="5000" w:type="pct"/>
        <w:tblLook w:val="0000" w:firstRow="0" w:lastRow="0" w:firstColumn="0" w:lastColumn="0" w:noHBand="0" w:noVBand="0"/>
        <w:tblDescription w:val="Key components of the economic evaluation"/>
      </w:tblPr>
      <w:tblGrid>
        <w:gridCol w:w="2785"/>
        <w:gridCol w:w="2387"/>
        <w:gridCol w:w="3844"/>
      </w:tblGrid>
      <w:tr w:rsidR="00761E01" w:rsidRPr="00AB20A2" w14:paraId="576852E3" w14:textId="77777777" w:rsidTr="003D52DE">
        <w:trPr>
          <w:trHeight w:val="229"/>
          <w:tblHeader/>
        </w:trPr>
        <w:tc>
          <w:tcPr>
            <w:tcW w:w="1544" w:type="pct"/>
          </w:tcPr>
          <w:p w14:paraId="7007326B" w14:textId="77777777" w:rsidR="00761E01" w:rsidRPr="009A12C5" w:rsidRDefault="00761E01" w:rsidP="00FC264D">
            <w:pPr>
              <w:pStyle w:val="01TableHeading"/>
              <w:rPr>
                <w:rFonts w:ascii="Arial Narrow" w:eastAsia="Calibri" w:hAnsi="Arial Narrow"/>
                <w:sz w:val="20"/>
                <w:lang w:eastAsia="en-AU"/>
              </w:rPr>
            </w:pPr>
            <w:r w:rsidRPr="009A12C5">
              <w:rPr>
                <w:rFonts w:ascii="Arial Narrow" w:eastAsia="Calibri" w:hAnsi="Arial Narrow"/>
                <w:sz w:val="20"/>
                <w:lang w:eastAsia="en-AU"/>
              </w:rPr>
              <w:t xml:space="preserve">Component </w:t>
            </w:r>
          </w:p>
        </w:tc>
        <w:tc>
          <w:tcPr>
            <w:tcW w:w="3456" w:type="pct"/>
            <w:gridSpan w:val="2"/>
          </w:tcPr>
          <w:p w14:paraId="5F263266" w14:textId="77777777" w:rsidR="00761E01" w:rsidRPr="009A12C5" w:rsidRDefault="00761E01" w:rsidP="00FC264D">
            <w:pPr>
              <w:pStyle w:val="01TableHeading"/>
              <w:rPr>
                <w:rFonts w:ascii="Arial Narrow" w:eastAsia="Calibri" w:hAnsi="Arial Narrow"/>
                <w:sz w:val="20"/>
                <w:lang w:eastAsia="en-AU"/>
              </w:rPr>
            </w:pPr>
            <w:r w:rsidRPr="009A12C5">
              <w:rPr>
                <w:rFonts w:ascii="Arial Narrow" w:eastAsia="Calibri" w:hAnsi="Arial Narrow"/>
                <w:sz w:val="20"/>
                <w:lang w:eastAsia="en-AU"/>
              </w:rPr>
              <w:t xml:space="preserve">Description </w:t>
            </w:r>
          </w:p>
        </w:tc>
      </w:tr>
      <w:tr w:rsidR="00761E01" w:rsidRPr="00AB20A2" w14:paraId="2BE1B44C" w14:textId="77777777" w:rsidTr="003D52DE">
        <w:trPr>
          <w:trHeight w:val="127"/>
        </w:trPr>
        <w:tc>
          <w:tcPr>
            <w:tcW w:w="1544" w:type="pct"/>
          </w:tcPr>
          <w:p w14:paraId="5840B484"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Type of analysis </w:t>
            </w:r>
          </w:p>
        </w:tc>
        <w:tc>
          <w:tcPr>
            <w:tcW w:w="3456" w:type="pct"/>
            <w:gridSpan w:val="2"/>
          </w:tcPr>
          <w:p w14:paraId="455A14ED"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Cost-utility </w:t>
            </w:r>
          </w:p>
        </w:tc>
      </w:tr>
      <w:tr w:rsidR="00761E01" w:rsidRPr="00AB20A2" w14:paraId="58F1A6F7" w14:textId="77777777" w:rsidTr="003D52DE">
        <w:trPr>
          <w:trHeight w:val="127"/>
        </w:trPr>
        <w:tc>
          <w:tcPr>
            <w:tcW w:w="1544" w:type="pct"/>
          </w:tcPr>
          <w:p w14:paraId="0CCE862E"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Outcomes </w:t>
            </w:r>
          </w:p>
        </w:tc>
        <w:tc>
          <w:tcPr>
            <w:tcW w:w="3456" w:type="pct"/>
            <w:gridSpan w:val="2"/>
          </w:tcPr>
          <w:p w14:paraId="69FE3986"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Quality-adjusted life-years </w:t>
            </w:r>
          </w:p>
        </w:tc>
      </w:tr>
      <w:tr w:rsidR="00761E01" w:rsidRPr="00AB20A2" w14:paraId="74FABE86" w14:textId="77777777" w:rsidTr="003D52DE">
        <w:trPr>
          <w:trHeight w:val="127"/>
        </w:trPr>
        <w:tc>
          <w:tcPr>
            <w:tcW w:w="1544" w:type="pct"/>
          </w:tcPr>
          <w:p w14:paraId="499F310A"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Time horizon </w:t>
            </w:r>
          </w:p>
        </w:tc>
        <w:tc>
          <w:tcPr>
            <w:tcW w:w="3456" w:type="pct"/>
            <w:gridSpan w:val="2"/>
          </w:tcPr>
          <w:p w14:paraId="7B292844"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10 years </w:t>
            </w:r>
          </w:p>
        </w:tc>
      </w:tr>
      <w:tr w:rsidR="00761E01" w:rsidRPr="00AB20A2" w14:paraId="1AAB4AFE" w14:textId="77777777" w:rsidTr="003D52DE">
        <w:trPr>
          <w:trHeight w:val="259"/>
        </w:trPr>
        <w:tc>
          <w:tcPr>
            <w:tcW w:w="1544" w:type="pct"/>
          </w:tcPr>
          <w:p w14:paraId="526C0467"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Method(s) used to generate results </w:t>
            </w:r>
          </w:p>
        </w:tc>
        <w:tc>
          <w:tcPr>
            <w:tcW w:w="3456" w:type="pct"/>
            <w:gridSpan w:val="2"/>
          </w:tcPr>
          <w:p w14:paraId="14F1C8A6"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Decision Tree Analysis </w:t>
            </w:r>
          </w:p>
        </w:tc>
      </w:tr>
      <w:tr w:rsidR="00761E01" w:rsidRPr="00AB20A2" w14:paraId="515BA602" w14:textId="77777777" w:rsidTr="003D52DE">
        <w:trPr>
          <w:trHeight w:val="152"/>
        </w:trPr>
        <w:tc>
          <w:tcPr>
            <w:tcW w:w="1544" w:type="pct"/>
          </w:tcPr>
          <w:p w14:paraId="3868BF13"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Terminal nodes </w:t>
            </w:r>
          </w:p>
        </w:tc>
        <w:tc>
          <w:tcPr>
            <w:tcW w:w="1324" w:type="pct"/>
          </w:tcPr>
          <w:p w14:paraId="25771CB6"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Successful surgery </w:t>
            </w:r>
          </w:p>
          <w:p w14:paraId="65953FAA"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Implant rupture </w:t>
            </w:r>
          </w:p>
          <w:p w14:paraId="29B85CE3"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Hematoma </w:t>
            </w:r>
          </w:p>
          <w:p w14:paraId="20D03B2C"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Seroma </w:t>
            </w:r>
          </w:p>
        </w:tc>
        <w:tc>
          <w:tcPr>
            <w:tcW w:w="2132" w:type="pct"/>
          </w:tcPr>
          <w:p w14:paraId="6F7ABE21"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Reoperation </w:t>
            </w:r>
          </w:p>
          <w:p w14:paraId="52DCEC34"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BIA-ALCL </w:t>
            </w:r>
          </w:p>
          <w:p w14:paraId="005E563E" w14:textId="77777777" w:rsidR="00761E01" w:rsidRPr="009A12C5" w:rsidRDefault="00761E01" w:rsidP="00FC264D">
            <w:pPr>
              <w:pStyle w:val="07Tablebullet"/>
              <w:ind w:left="204" w:hanging="204"/>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Infection </w:t>
            </w:r>
          </w:p>
          <w:p w14:paraId="3E1F49B6" w14:textId="77777777" w:rsidR="00761E01" w:rsidRPr="009A12C5" w:rsidRDefault="00761E01" w:rsidP="00FC264D">
            <w:pPr>
              <w:pStyle w:val="07Tablebullet"/>
              <w:ind w:left="204" w:hanging="204"/>
              <w:rPr>
                <w:rFonts w:ascii="Arial Narrow" w:eastAsia="Calibri" w:hAnsi="Arial Narrow" w:cstheme="minorHAnsi"/>
                <w:color w:val="000000"/>
                <w:sz w:val="20"/>
                <w:szCs w:val="18"/>
                <w:lang w:eastAsia="en-AU"/>
              </w:rPr>
            </w:pPr>
            <w:r w:rsidRPr="009A12C5">
              <w:rPr>
                <w:rFonts w:ascii="Arial Narrow" w:eastAsia="Calibri" w:hAnsi="Arial Narrow" w:cstheme="minorHAnsi"/>
                <w:sz w:val="20"/>
                <w:szCs w:val="18"/>
                <w:lang w:eastAsia="en-AU"/>
              </w:rPr>
              <w:t xml:space="preserve">Capsular contracture </w:t>
            </w:r>
            <w:r w:rsidRPr="009A12C5">
              <w:rPr>
                <w:rFonts w:ascii="Arial Narrow" w:hAnsi="Arial Narrow" w:cstheme="minorHAnsi"/>
                <w:sz w:val="20"/>
                <w:szCs w:val="18"/>
              </w:rPr>
              <w:t>(Baker class III or IV)</w:t>
            </w:r>
          </w:p>
        </w:tc>
      </w:tr>
      <w:tr w:rsidR="00761E01" w:rsidRPr="00AB20A2" w14:paraId="5AC1AA3B" w14:textId="77777777" w:rsidTr="003D52DE">
        <w:trPr>
          <w:trHeight w:val="611"/>
        </w:trPr>
        <w:tc>
          <w:tcPr>
            <w:tcW w:w="1544" w:type="pct"/>
          </w:tcPr>
          <w:p w14:paraId="43FC6940"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Model probabilities and utilities </w:t>
            </w:r>
          </w:p>
        </w:tc>
        <w:tc>
          <w:tcPr>
            <w:tcW w:w="3456" w:type="pct"/>
            <w:gridSpan w:val="2"/>
          </w:tcPr>
          <w:p w14:paraId="455EA3E0" w14:textId="77777777" w:rsidR="00761E01" w:rsidRPr="009A12C5" w:rsidRDefault="00761E01" w:rsidP="00FC264D">
            <w:pPr>
              <w:pStyle w:val="05Tabletext22"/>
              <w:rPr>
                <w:rFonts w:ascii="Arial Narrow" w:eastAsia="Calibri" w:hAnsi="Arial Narrow" w:cstheme="minorHAnsi"/>
                <w:color w:val="000000"/>
                <w:sz w:val="20"/>
                <w:szCs w:val="18"/>
                <w:lang w:eastAsia="en-AU"/>
              </w:rPr>
            </w:pPr>
            <w:r w:rsidRPr="009A12C5">
              <w:rPr>
                <w:rFonts w:ascii="Arial Narrow" w:eastAsia="Calibri" w:hAnsi="Arial Narrow" w:cstheme="minorHAnsi"/>
                <w:sz w:val="20"/>
                <w:szCs w:val="18"/>
                <w:lang w:eastAsia="en-AU"/>
              </w:rPr>
              <w:t xml:space="preserve">Primary data sources: </w:t>
            </w:r>
            <w:r w:rsidRPr="009A12C5">
              <w:rPr>
                <w:rFonts w:ascii="Arial Narrow" w:eastAsia="Calibri" w:hAnsi="Arial Narrow" w:cstheme="minorHAnsi"/>
                <w:noProof/>
                <w:sz w:val="20"/>
                <w:szCs w:val="18"/>
                <w:lang w:eastAsia="en-AU"/>
              </w:rPr>
              <w:t>Hammond et al. (2017); Calobrace et al. (2017)</w:t>
            </w:r>
            <w:r w:rsidRPr="009A12C5">
              <w:rPr>
                <w:rFonts w:ascii="Arial Narrow" w:eastAsia="Calibri" w:hAnsi="Arial Narrow" w:cstheme="minorHAnsi"/>
                <w:sz w:val="20"/>
                <w:szCs w:val="18"/>
                <w:lang w:eastAsia="en-AU"/>
              </w:rPr>
              <w:t xml:space="preserve">; </w:t>
            </w:r>
            <w:r w:rsidRPr="009A12C5">
              <w:rPr>
                <w:rFonts w:ascii="Arial Narrow" w:eastAsia="Calibri" w:hAnsi="Arial Narrow" w:cstheme="minorHAnsi"/>
                <w:noProof/>
                <w:sz w:val="20"/>
                <w:szCs w:val="18"/>
                <w:lang w:eastAsia="en-AU"/>
              </w:rPr>
              <w:t>Collett et al. (2019); Krishnan et al. (2014)</w:t>
            </w:r>
            <w:r w:rsidRPr="009A12C5">
              <w:rPr>
                <w:rFonts w:ascii="Arial Narrow" w:eastAsia="Calibri" w:hAnsi="Arial Narrow" w:cstheme="minorHAnsi"/>
                <w:sz w:val="20"/>
                <w:szCs w:val="18"/>
                <w:lang w:eastAsia="en-AU"/>
              </w:rPr>
              <w:t>;</w:t>
            </w:r>
            <w:r w:rsidRPr="009A12C5">
              <w:rPr>
                <w:rFonts w:ascii="Arial Narrow" w:eastAsia="Calibri" w:hAnsi="Arial Narrow" w:cstheme="minorHAnsi"/>
                <w:noProof/>
                <w:sz w:val="20"/>
                <w:szCs w:val="18"/>
                <w:lang w:eastAsia="en-AU"/>
              </w:rPr>
              <w:t xml:space="preserve"> Collins and Verheyden (2012)</w:t>
            </w:r>
            <w:r w:rsidRPr="009A12C5">
              <w:rPr>
                <w:rFonts w:ascii="Arial Narrow" w:eastAsia="Calibri" w:hAnsi="Arial Narrow" w:cstheme="minorHAnsi"/>
                <w:sz w:val="20"/>
                <w:szCs w:val="18"/>
                <w:lang w:eastAsia="en-AU"/>
              </w:rPr>
              <w:t>;</w:t>
            </w:r>
            <w:r w:rsidRPr="009A12C5">
              <w:rPr>
                <w:rFonts w:ascii="Arial Narrow" w:eastAsia="Calibri" w:hAnsi="Arial Narrow" w:cstheme="minorHAnsi"/>
                <w:noProof/>
                <w:sz w:val="20"/>
                <w:szCs w:val="18"/>
                <w:lang w:eastAsia="en-AU"/>
              </w:rPr>
              <w:t xml:space="preserve"> Maxwell et al. (2012)</w:t>
            </w:r>
          </w:p>
        </w:tc>
      </w:tr>
      <w:tr w:rsidR="00761E01" w:rsidRPr="00AB20A2" w14:paraId="0AEAE460" w14:textId="77777777" w:rsidTr="003D52DE">
        <w:trPr>
          <w:trHeight w:val="127"/>
        </w:trPr>
        <w:tc>
          <w:tcPr>
            <w:tcW w:w="1544" w:type="pct"/>
          </w:tcPr>
          <w:p w14:paraId="52AC7BD0" w14:textId="77777777" w:rsidR="00761E01" w:rsidRPr="009A12C5" w:rsidRDefault="00761E01" w:rsidP="00FC264D">
            <w:pPr>
              <w:pStyle w:val="05Tabletext22"/>
              <w:rPr>
                <w:rFonts w:ascii="Arial Narrow" w:eastAsia="Calibri" w:hAnsi="Arial Narrow" w:cstheme="minorHAnsi"/>
                <w:sz w:val="20"/>
                <w:szCs w:val="18"/>
                <w:lang w:eastAsia="en-AU"/>
              </w:rPr>
            </w:pPr>
            <w:r w:rsidRPr="009A12C5">
              <w:rPr>
                <w:rFonts w:ascii="Arial Narrow" w:eastAsia="Calibri" w:hAnsi="Arial Narrow" w:cstheme="minorHAnsi"/>
                <w:sz w:val="20"/>
                <w:szCs w:val="18"/>
                <w:lang w:eastAsia="en-AU"/>
              </w:rPr>
              <w:t xml:space="preserve">Software </w:t>
            </w:r>
          </w:p>
        </w:tc>
        <w:tc>
          <w:tcPr>
            <w:tcW w:w="3456" w:type="pct"/>
            <w:gridSpan w:val="2"/>
          </w:tcPr>
          <w:p w14:paraId="3E16C75C" w14:textId="77777777" w:rsidR="00761E01" w:rsidRPr="009A12C5" w:rsidRDefault="00761E01" w:rsidP="00FC264D">
            <w:pPr>
              <w:autoSpaceDE w:val="0"/>
              <w:autoSpaceDN w:val="0"/>
              <w:adjustRightInd w:val="0"/>
              <w:rPr>
                <w:rFonts w:eastAsia="Calibri" w:cstheme="minorHAnsi"/>
                <w:color w:val="000000"/>
                <w:szCs w:val="18"/>
                <w:lang w:val="en-US"/>
              </w:rPr>
            </w:pPr>
            <w:r w:rsidRPr="009A12C5">
              <w:rPr>
                <w:rFonts w:eastAsia="Calibri" w:cstheme="minorHAnsi"/>
                <w:color w:val="000000"/>
                <w:szCs w:val="18"/>
                <w:lang w:val="en-US"/>
              </w:rPr>
              <w:t xml:space="preserve">Excel 2016 </w:t>
            </w:r>
          </w:p>
        </w:tc>
      </w:tr>
      <w:tr w:rsidR="003A09A4" w:rsidRPr="00AB20A2" w14:paraId="38AA6EEC" w14:textId="77777777" w:rsidTr="003D52DE">
        <w:trPr>
          <w:trHeight w:val="127"/>
        </w:trPr>
        <w:tc>
          <w:tcPr>
            <w:tcW w:w="1544" w:type="pct"/>
          </w:tcPr>
          <w:p w14:paraId="72A4D991" w14:textId="1D3F0BC0" w:rsidR="003A09A4" w:rsidRPr="00AB20A2" w:rsidRDefault="003A09A4" w:rsidP="00FC264D">
            <w:pPr>
              <w:pStyle w:val="05Tabletext22"/>
              <w:rPr>
                <w:rFonts w:ascii="Arial Narrow" w:eastAsia="Calibri" w:hAnsi="Arial Narrow" w:cstheme="minorHAnsi"/>
                <w:sz w:val="20"/>
                <w:szCs w:val="18"/>
                <w:lang w:eastAsia="en-AU"/>
              </w:rPr>
            </w:pPr>
            <w:r>
              <w:rPr>
                <w:rFonts w:ascii="Arial Narrow" w:eastAsia="Calibri" w:hAnsi="Arial Narrow" w:cstheme="minorHAnsi"/>
                <w:sz w:val="20"/>
                <w:szCs w:val="18"/>
                <w:lang w:eastAsia="en-AU"/>
              </w:rPr>
              <w:t>Discount rate</w:t>
            </w:r>
          </w:p>
        </w:tc>
        <w:tc>
          <w:tcPr>
            <w:tcW w:w="3456" w:type="pct"/>
            <w:gridSpan w:val="2"/>
          </w:tcPr>
          <w:p w14:paraId="393B72A8" w14:textId="257FF358" w:rsidR="003A09A4" w:rsidRPr="00AB20A2" w:rsidRDefault="003A09A4" w:rsidP="00FC264D">
            <w:pPr>
              <w:autoSpaceDE w:val="0"/>
              <w:autoSpaceDN w:val="0"/>
              <w:adjustRightInd w:val="0"/>
              <w:rPr>
                <w:rFonts w:eastAsia="Calibri" w:cstheme="minorHAnsi"/>
                <w:color w:val="000000"/>
                <w:szCs w:val="18"/>
                <w:lang w:val="en-US"/>
              </w:rPr>
            </w:pPr>
            <w:r>
              <w:rPr>
                <w:rFonts w:eastAsia="Calibri" w:cstheme="minorHAnsi"/>
                <w:color w:val="000000"/>
                <w:szCs w:val="18"/>
                <w:lang w:val="en-US"/>
              </w:rPr>
              <w:t>0%</w:t>
            </w:r>
          </w:p>
        </w:tc>
      </w:tr>
    </w:tbl>
    <w:p w14:paraId="7047E314" w14:textId="3749E17F" w:rsidR="000B4572" w:rsidRPr="009A12C5" w:rsidRDefault="000B4572" w:rsidP="00FC264D">
      <w:pPr>
        <w:pStyle w:val="Tablefootnoteslast-nostick"/>
        <w:spacing w:after="0" w:line="240" w:lineRule="auto"/>
        <w:rPr>
          <w:rFonts w:ascii="Arial Narrow" w:hAnsi="Arial Narrow"/>
          <w:sz w:val="18"/>
        </w:rPr>
      </w:pPr>
      <w:r w:rsidRPr="009A12C5">
        <w:rPr>
          <w:rFonts w:ascii="Arial Narrow" w:hAnsi="Arial Narrow"/>
          <w:sz w:val="18"/>
        </w:rPr>
        <w:t>Source:</w:t>
      </w:r>
      <w:r w:rsidR="003A09A4">
        <w:rPr>
          <w:rFonts w:ascii="Arial Narrow" w:hAnsi="Arial Narrow"/>
          <w:sz w:val="18"/>
        </w:rPr>
        <w:t xml:space="preserve"> Table 8</w:t>
      </w:r>
      <w:r w:rsidR="00154A5E">
        <w:rPr>
          <w:rFonts w:ascii="Arial Narrow" w:hAnsi="Arial Narrow"/>
          <w:sz w:val="18"/>
        </w:rPr>
        <w:t>, p19</w:t>
      </w:r>
      <w:r w:rsidR="003A09A4">
        <w:rPr>
          <w:rFonts w:ascii="Arial Narrow" w:hAnsi="Arial Narrow"/>
          <w:sz w:val="18"/>
        </w:rPr>
        <w:t xml:space="preserve"> of the </w:t>
      </w:r>
      <w:r w:rsidR="00753952">
        <w:rPr>
          <w:rFonts w:ascii="Arial Narrow" w:hAnsi="Arial Narrow"/>
          <w:sz w:val="18"/>
        </w:rPr>
        <w:t>c</w:t>
      </w:r>
      <w:r w:rsidR="00154A5E">
        <w:rPr>
          <w:rFonts w:ascii="Arial Narrow" w:hAnsi="Arial Narrow"/>
          <w:sz w:val="18"/>
        </w:rPr>
        <w:t>ommentary</w:t>
      </w:r>
    </w:p>
    <w:p w14:paraId="10DF7CEA" w14:textId="2FEED056" w:rsidR="00761E01" w:rsidRPr="009A12C5" w:rsidRDefault="00761E01" w:rsidP="00FC264D">
      <w:pPr>
        <w:pStyle w:val="Tablefootnoteslast-nostick"/>
        <w:spacing w:after="0" w:line="240" w:lineRule="auto"/>
        <w:rPr>
          <w:rFonts w:ascii="Arial Narrow" w:hAnsi="Arial Narrow"/>
          <w:sz w:val="18"/>
        </w:rPr>
      </w:pPr>
      <w:r w:rsidRPr="009A12C5">
        <w:rPr>
          <w:rFonts w:ascii="Arial Narrow" w:hAnsi="Arial Narrow"/>
          <w:sz w:val="18"/>
        </w:rPr>
        <w:t>Abbreviations: BIA-ALCL</w:t>
      </w:r>
      <w:r w:rsidR="00E6093B" w:rsidRPr="009A12C5">
        <w:rPr>
          <w:rFonts w:ascii="Arial Narrow" w:hAnsi="Arial Narrow"/>
          <w:sz w:val="18"/>
        </w:rPr>
        <w:t>=</w:t>
      </w:r>
      <w:r w:rsidRPr="009A12C5">
        <w:rPr>
          <w:rFonts w:ascii="Arial Narrow" w:hAnsi="Arial Narrow"/>
          <w:sz w:val="18"/>
        </w:rPr>
        <w:t>breast implant-associated anaplastic large cell lymphoma.</w:t>
      </w:r>
    </w:p>
    <w:p w14:paraId="56F19B8F" w14:textId="59DE0955" w:rsidR="00761E01" w:rsidRPr="00DD1FC3" w:rsidRDefault="00AB20A2" w:rsidP="00114D7C">
      <w:pPr>
        <w:pStyle w:val="Heading2"/>
        <w:spacing w:before="240"/>
      </w:pPr>
      <w:r>
        <w:t>Modelling a</w:t>
      </w:r>
      <w:r w:rsidR="00DD1FC3" w:rsidRPr="00DD1FC3">
        <w:t>ssumptions</w:t>
      </w:r>
    </w:p>
    <w:p w14:paraId="57C2F89A" w14:textId="630C9E04" w:rsidR="00DD1FC3" w:rsidRDefault="00A478BE" w:rsidP="00114D7C">
      <w:pPr>
        <w:tabs>
          <w:tab w:val="left" w:pos="720"/>
        </w:tabs>
        <w:spacing w:after="240"/>
      </w:pPr>
      <w:r>
        <w:t xml:space="preserve">The </w:t>
      </w:r>
      <w:r w:rsidR="00C1197E">
        <w:t>submission</w:t>
      </w:r>
      <w:r w:rsidR="00AB20A2">
        <w:t xml:space="preserve"> </w:t>
      </w:r>
      <w:r>
        <w:t>assumed a</w:t>
      </w:r>
      <w:r w:rsidR="00DD1FC3" w:rsidRPr="00DD1FC3">
        <w:t>ll complications occur at some time during the 10-year time horizon, to have a duration of one month, to be mutually exclusive, to occur once only and to be resolved following the one-month duration. The complement of the sum of probabilities for complications was assigned as a ‘successful surgery’ health state. During the complication, a reduced utility value was assigned, with the utility value returning to that of ‘successful surgery’ after one month. All procedures were assumed to be one-stage (e.g. mastectomy and implant fitting in the same procedure).</w:t>
      </w:r>
    </w:p>
    <w:p w14:paraId="194C5D48" w14:textId="2A80D777" w:rsidR="002212F1" w:rsidRPr="00114D7C" w:rsidRDefault="00DD1FC3" w:rsidP="00114D7C">
      <w:pPr>
        <w:pStyle w:val="BodyText"/>
        <w:rPr>
          <w:iCs/>
        </w:rPr>
      </w:pPr>
      <w:r>
        <w:t xml:space="preserve">The </w:t>
      </w:r>
      <w:r w:rsidR="000B4572">
        <w:t>c</w:t>
      </w:r>
      <w:r>
        <w:t xml:space="preserve">ommentary noted that </w:t>
      </w:r>
      <w:r>
        <w:rPr>
          <w:iCs/>
        </w:rPr>
        <w:t>s</w:t>
      </w:r>
      <w:r w:rsidRPr="00DD1FC3">
        <w:rPr>
          <w:iCs/>
        </w:rPr>
        <w:t xml:space="preserve">everal simplifying assumptions have been introduced in conducting the economic evaluation. The assumption of one-stage implantation does not seem consistent with the ABDR data, with 63% (n=1,593) of post-cancer reconstruction procedures in 2018 implanted as a two-stage procedure (i.e. expander, followed by subsequent reoperation to fit a breast implant). This would make a difference if complication rates were different between implant types based on one-stage or two-stage procedures. The inclusion of </w:t>
      </w:r>
      <w:r w:rsidR="00B73FD9">
        <w:rPr>
          <w:iCs/>
        </w:rPr>
        <w:t xml:space="preserve">breast tissue </w:t>
      </w:r>
      <w:r w:rsidRPr="00DD1FC3">
        <w:rPr>
          <w:iCs/>
        </w:rPr>
        <w:t>expanders within scope for the review would also indicate that more thorough discussion of any differences between one- and two-stage inser</w:t>
      </w:r>
      <w:r w:rsidR="00114D7C">
        <w:rPr>
          <w:iCs/>
        </w:rPr>
        <w:t>tions would aid interpretation.</w:t>
      </w:r>
    </w:p>
    <w:p w14:paraId="21A35F5C" w14:textId="77777777" w:rsidR="004A7346" w:rsidRPr="009A12C5" w:rsidRDefault="004A7346" w:rsidP="00E354A8">
      <w:pPr>
        <w:pStyle w:val="Heading2"/>
      </w:pPr>
      <w:r w:rsidRPr="009A12C5">
        <w:t>Results of the economic evaluation</w:t>
      </w:r>
    </w:p>
    <w:p w14:paraId="5132266B" w14:textId="27919260" w:rsidR="00926657" w:rsidRPr="00114D7C" w:rsidRDefault="00694C34" w:rsidP="00114D7C">
      <w:pPr>
        <w:tabs>
          <w:tab w:val="left" w:pos="720"/>
        </w:tabs>
      </w:pPr>
      <w:bookmarkStart w:id="8" w:name="_Ref534185424"/>
      <w:bookmarkStart w:id="9" w:name="_Toc1371963"/>
      <w:r>
        <w:t xml:space="preserve">In </w:t>
      </w:r>
      <w:r w:rsidR="00B07467">
        <w:t xml:space="preserve">the </w:t>
      </w:r>
      <w:r w:rsidR="009A12C5">
        <w:t xml:space="preserve">submission’s </w:t>
      </w:r>
      <w:r w:rsidR="00B07467">
        <w:t>economic evaluation</w:t>
      </w:r>
      <w:r>
        <w:t>, Mentor textured implants dominated, that is that they are both less expensive and associated with more QALYs over the 10-year time horizon, compared with smooth implants</w:t>
      </w:r>
      <w:r w:rsidR="003A09A4">
        <w:t xml:space="preserve"> (Table</w:t>
      </w:r>
      <w:r w:rsidR="005429E2">
        <w:t xml:space="preserve"> 8)</w:t>
      </w:r>
      <w:r>
        <w:t xml:space="preserve">. This finding </w:t>
      </w:r>
      <w:r w:rsidR="00B07467">
        <w:t>was</w:t>
      </w:r>
      <w:r>
        <w:t xml:space="preserve"> the same when comparing with other textured, or textured or smooth implants.</w:t>
      </w:r>
      <w:bookmarkStart w:id="10" w:name="_Ref23906273"/>
      <w:r w:rsidR="00926657">
        <w:br w:type="page"/>
      </w:r>
    </w:p>
    <w:p w14:paraId="1112410A" w14:textId="3C9F955F" w:rsidR="00A806A8" w:rsidRPr="00114D7C" w:rsidRDefault="00A806A8" w:rsidP="00114D7C">
      <w:pPr>
        <w:rPr>
          <w:rFonts w:ascii="Arial Narrow" w:hAnsi="Arial Narrow"/>
          <w:b/>
          <w:sz w:val="20"/>
        </w:rPr>
      </w:pPr>
      <w:r w:rsidRPr="00114D7C">
        <w:rPr>
          <w:rFonts w:ascii="Arial Narrow" w:hAnsi="Arial Narrow"/>
          <w:b/>
          <w:sz w:val="20"/>
        </w:rPr>
        <w:lastRenderedPageBreak/>
        <w:t xml:space="preserve">Table </w:t>
      </w:r>
      <w:bookmarkEnd w:id="10"/>
      <w:r w:rsidR="005429E2" w:rsidRPr="00114D7C">
        <w:rPr>
          <w:rFonts w:ascii="Arial Narrow" w:hAnsi="Arial Narrow"/>
          <w:b/>
          <w:sz w:val="20"/>
        </w:rPr>
        <w:t>8</w:t>
      </w:r>
      <w:r w:rsidRPr="00114D7C">
        <w:rPr>
          <w:rFonts w:ascii="Arial Narrow" w:hAnsi="Arial Narrow"/>
          <w:b/>
          <w:sz w:val="20"/>
        </w:rPr>
        <w:tab/>
        <w:t>Overview of base-case cost-utility analysis results for intervention (Mentor textured) versus three comparators (smooth, other textured, smooth or other textured)</w:t>
      </w:r>
    </w:p>
    <w:tbl>
      <w:tblPr>
        <w:tblStyle w:val="TableGrid"/>
        <w:tblW w:w="5000" w:type="pct"/>
        <w:tblLook w:val="04A0" w:firstRow="1" w:lastRow="0" w:firstColumn="1" w:lastColumn="0" w:noHBand="0" w:noVBand="1"/>
        <w:tblDescription w:val="Overview of base-case cost-utility analysis results for intervention (Mentor textured) versus three comparators (smooth, other textured, smooth or other textured)"/>
      </w:tblPr>
      <w:tblGrid>
        <w:gridCol w:w="3342"/>
        <w:gridCol w:w="1426"/>
        <w:gridCol w:w="1426"/>
        <w:gridCol w:w="1428"/>
        <w:gridCol w:w="1394"/>
      </w:tblGrid>
      <w:tr w:rsidR="00A806A8" w:rsidRPr="005429E2" w14:paraId="5DC13D15" w14:textId="77777777" w:rsidTr="00114D7C">
        <w:trPr>
          <w:tblHeader/>
        </w:trPr>
        <w:tc>
          <w:tcPr>
            <w:tcW w:w="1853" w:type="pct"/>
            <w:tcBorders>
              <w:left w:val="single" w:sz="4" w:space="0" w:color="auto"/>
            </w:tcBorders>
            <w:shd w:val="clear" w:color="auto" w:fill="auto"/>
          </w:tcPr>
          <w:p w14:paraId="0455DF53" w14:textId="77777777" w:rsidR="00A806A8" w:rsidRPr="009A12C5" w:rsidRDefault="00A806A8" w:rsidP="00F367CB">
            <w:pPr>
              <w:pStyle w:val="01TableHeading"/>
              <w:rPr>
                <w:rFonts w:ascii="Arial Narrow" w:hAnsi="Arial Narrow"/>
                <w:sz w:val="20"/>
              </w:rPr>
            </w:pPr>
          </w:p>
        </w:tc>
        <w:tc>
          <w:tcPr>
            <w:tcW w:w="791" w:type="pct"/>
            <w:shd w:val="clear" w:color="auto" w:fill="auto"/>
          </w:tcPr>
          <w:p w14:paraId="6D651997" w14:textId="77777777" w:rsidR="00A806A8" w:rsidRPr="009A12C5" w:rsidRDefault="00A806A8" w:rsidP="004C2611">
            <w:pPr>
              <w:pStyle w:val="01TableHeading"/>
              <w:jc w:val="right"/>
              <w:rPr>
                <w:rFonts w:ascii="Arial Narrow" w:hAnsi="Arial Narrow"/>
                <w:sz w:val="20"/>
              </w:rPr>
            </w:pPr>
            <w:r w:rsidRPr="009A12C5">
              <w:rPr>
                <w:rFonts w:ascii="Arial Narrow" w:hAnsi="Arial Narrow"/>
                <w:sz w:val="20"/>
              </w:rPr>
              <w:t>Mentor textured</w:t>
            </w:r>
          </w:p>
        </w:tc>
        <w:tc>
          <w:tcPr>
            <w:tcW w:w="791" w:type="pct"/>
            <w:shd w:val="clear" w:color="auto" w:fill="auto"/>
          </w:tcPr>
          <w:p w14:paraId="5A9396A9" w14:textId="77777777" w:rsidR="00A806A8" w:rsidRPr="009A12C5" w:rsidRDefault="00A806A8" w:rsidP="00F367CB">
            <w:pPr>
              <w:pStyle w:val="01TableHeading"/>
              <w:jc w:val="right"/>
              <w:rPr>
                <w:rFonts w:ascii="Arial Narrow" w:hAnsi="Arial Narrow"/>
                <w:sz w:val="20"/>
              </w:rPr>
            </w:pPr>
            <w:r w:rsidRPr="009A12C5">
              <w:rPr>
                <w:rFonts w:ascii="Arial Narrow" w:hAnsi="Arial Narrow"/>
                <w:sz w:val="20"/>
              </w:rPr>
              <w:t>Smooth</w:t>
            </w:r>
          </w:p>
        </w:tc>
        <w:tc>
          <w:tcPr>
            <w:tcW w:w="792" w:type="pct"/>
            <w:shd w:val="clear" w:color="auto" w:fill="auto"/>
          </w:tcPr>
          <w:p w14:paraId="6B07C54E" w14:textId="77777777" w:rsidR="00A806A8" w:rsidRPr="009A12C5" w:rsidRDefault="00A806A8" w:rsidP="00F367CB">
            <w:pPr>
              <w:pStyle w:val="01TableHeading"/>
              <w:jc w:val="right"/>
              <w:rPr>
                <w:rFonts w:ascii="Arial Narrow" w:hAnsi="Arial Narrow"/>
                <w:sz w:val="20"/>
                <w:vertAlign w:val="superscript"/>
              </w:rPr>
            </w:pPr>
            <w:r w:rsidRPr="009A12C5">
              <w:rPr>
                <w:rFonts w:ascii="Arial Narrow" w:hAnsi="Arial Narrow"/>
                <w:sz w:val="20"/>
              </w:rPr>
              <w:t>Other textured</w:t>
            </w:r>
            <w:r w:rsidRPr="009A12C5">
              <w:rPr>
                <w:rFonts w:ascii="Arial Narrow" w:hAnsi="Arial Narrow"/>
                <w:sz w:val="20"/>
                <w:vertAlign w:val="superscript"/>
              </w:rPr>
              <w:t>*</w:t>
            </w:r>
          </w:p>
        </w:tc>
        <w:tc>
          <w:tcPr>
            <w:tcW w:w="773" w:type="pct"/>
            <w:tcBorders>
              <w:right w:val="single" w:sz="4" w:space="0" w:color="auto"/>
            </w:tcBorders>
            <w:shd w:val="clear" w:color="auto" w:fill="auto"/>
          </w:tcPr>
          <w:p w14:paraId="24294177" w14:textId="77777777" w:rsidR="00A806A8" w:rsidRPr="009A12C5" w:rsidRDefault="00A806A8" w:rsidP="00F367CB">
            <w:pPr>
              <w:pStyle w:val="01TableHeading"/>
              <w:jc w:val="right"/>
              <w:rPr>
                <w:rFonts w:ascii="Arial Narrow" w:hAnsi="Arial Narrow"/>
                <w:sz w:val="20"/>
              </w:rPr>
            </w:pPr>
            <w:r w:rsidRPr="009A12C5">
              <w:rPr>
                <w:rFonts w:ascii="Arial Narrow" w:hAnsi="Arial Narrow"/>
                <w:sz w:val="20"/>
              </w:rPr>
              <w:t>Smooth or other textured*</w:t>
            </w:r>
          </w:p>
        </w:tc>
      </w:tr>
      <w:tr w:rsidR="00A806A8" w:rsidRPr="005429E2" w14:paraId="16A5F744" w14:textId="77777777" w:rsidTr="00C255BD">
        <w:tc>
          <w:tcPr>
            <w:tcW w:w="1853" w:type="pct"/>
            <w:tcBorders>
              <w:left w:val="single" w:sz="4" w:space="0" w:color="auto"/>
            </w:tcBorders>
          </w:tcPr>
          <w:p w14:paraId="59513A13" w14:textId="77777777" w:rsidR="00A806A8" w:rsidRPr="009A12C5" w:rsidRDefault="00A806A8" w:rsidP="00F367CB">
            <w:pPr>
              <w:pStyle w:val="05Tabletext22"/>
              <w:rPr>
                <w:rFonts w:ascii="Arial Narrow" w:hAnsi="Arial Narrow"/>
                <w:sz w:val="20"/>
              </w:rPr>
            </w:pPr>
            <w:r w:rsidRPr="009A12C5">
              <w:rPr>
                <w:rFonts w:ascii="Arial Narrow" w:hAnsi="Arial Narrow"/>
                <w:sz w:val="20"/>
              </w:rPr>
              <w:t xml:space="preserve">Expected cost per individual </w:t>
            </w:r>
          </w:p>
        </w:tc>
        <w:tc>
          <w:tcPr>
            <w:tcW w:w="791" w:type="pct"/>
          </w:tcPr>
          <w:p w14:paraId="1C2DD6E0" w14:textId="18B9C25E"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c>
          <w:tcPr>
            <w:tcW w:w="791" w:type="pct"/>
          </w:tcPr>
          <w:p w14:paraId="25991F66" w14:textId="2962602C"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c>
          <w:tcPr>
            <w:tcW w:w="792" w:type="pct"/>
          </w:tcPr>
          <w:p w14:paraId="7E566597" w14:textId="3E105186"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c>
          <w:tcPr>
            <w:tcW w:w="773" w:type="pct"/>
            <w:tcBorders>
              <w:right w:val="single" w:sz="4" w:space="0" w:color="auto"/>
            </w:tcBorders>
          </w:tcPr>
          <w:p w14:paraId="53845461" w14:textId="13145DD8"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r>
      <w:tr w:rsidR="00A806A8" w:rsidRPr="005429E2" w14:paraId="763FB4A7" w14:textId="77777777" w:rsidTr="00C255BD">
        <w:tc>
          <w:tcPr>
            <w:tcW w:w="1853" w:type="pct"/>
            <w:tcBorders>
              <w:left w:val="single" w:sz="4" w:space="0" w:color="auto"/>
            </w:tcBorders>
          </w:tcPr>
          <w:p w14:paraId="780BA000" w14:textId="77777777" w:rsidR="00A806A8" w:rsidRPr="009A12C5" w:rsidRDefault="00A806A8" w:rsidP="00F367CB">
            <w:pPr>
              <w:pStyle w:val="05Tabletext22"/>
              <w:rPr>
                <w:rFonts w:ascii="Arial Narrow" w:hAnsi="Arial Narrow"/>
                <w:sz w:val="20"/>
              </w:rPr>
            </w:pPr>
            <w:r w:rsidRPr="009A12C5">
              <w:rPr>
                <w:rFonts w:ascii="Arial Narrow" w:hAnsi="Arial Narrow"/>
                <w:sz w:val="20"/>
              </w:rPr>
              <w:t>Expected QALYs per individual</w:t>
            </w:r>
          </w:p>
        </w:tc>
        <w:tc>
          <w:tcPr>
            <w:tcW w:w="791" w:type="pct"/>
          </w:tcPr>
          <w:p w14:paraId="710617F5" w14:textId="0F60EAFC"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c>
          <w:tcPr>
            <w:tcW w:w="791" w:type="pct"/>
          </w:tcPr>
          <w:p w14:paraId="11D20ADE" w14:textId="14236BEA"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c>
          <w:tcPr>
            <w:tcW w:w="792" w:type="pct"/>
          </w:tcPr>
          <w:p w14:paraId="41F799AD" w14:textId="2DEFA37C"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c>
          <w:tcPr>
            <w:tcW w:w="773" w:type="pct"/>
            <w:tcBorders>
              <w:right w:val="single" w:sz="4" w:space="0" w:color="auto"/>
            </w:tcBorders>
          </w:tcPr>
          <w:p w14:paraId="52CF5012" w14:textId="5D5F9DB8"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r>
      <w:tr w:rsidR="00A806A8" w:rsidRPr="005429E2" w14:paraId="200A44FA" w14:textId="77777777" w:rsidTr="00C255BD">
        <w:tc>
          <w:tcPr>
            <w:tcW w:w="1853" w:type="pct"/>
            <w:tcBorders>
              <w:left w:val="single" w:sz="4" w:space="0" w:color="auto"/>
            </w:tcBorders>
          </w:tcPr>
          <w:p w14:paraId="05025D03" w14:textId="77777777" w:rsidR="00A806A8" w:rsidRPr="009A12C5" w:rsidRDefault="00A806A8" w:rsidP="00F367CB">
            <w:pPr>
              <w:pStyle w:val="05Tabletext22"/>
              <w:rPr>
                <w:rFonts w:ascii="Arial Narrow" w:hAnsi="Arial Narrow"/>
                <w:sz w:val="20"/>
              </w:rPr>
            </w:pPr>
            <w:r w:rsidRPr="009A12C5">
              <w:rPr>
                <w:rFonts w:ascii="Arial Narrow" w:hAnsi="Arial Narrow"/>
                <w:sz w:val="20"/>
              </w:rPr>
              <w:t xml:space="preserve">Incremental cost per individual </w:t>
            </w:r>
          </w:p>
        </w:tc>
        <w:tc>
          <w:tcPr>
            <w:tcW w:w="1582" w:type="pct"/>
            <w:gridSpan w:val="2"/>
          </w:tcPr>
          <w:p w14:paraId="46B6F6C2" w14:textId="02C84D07"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c>
          <w:tcPr>
            <w:tcW w:w="792" w:type="pct"/>
          </w:tcPr>
          <w:p w14:paraId="742552EE" w14:textId="7A8D5ECD"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c>
          <w:tcPr>
            <w:tcW w:w="773" w:type="pct"/>
            <w:tcBorders>
              <w:right w:val="single" w:sz="4" w:space="0" w:color="auto"/>
            </w:tcBorders>
          </w:tcPr>
          <w:p w14:paraId="56EB6839" w14:textId="2F7E52E0" w:rsidR="00A806A8" w:rsidRPr="009A12C5" w:rsidRDefault="00A806A8" w:rsidP="00217FD6">
            <w:pPr>
              <w:pStyle w:val="05Tabletext22"/>
              <w:jc w:val="right"/>
              <w:rPr>
                <w:rFonts w:ascii="Arial Narrow" w:hAnsi="Arial Narrow"/>
                <w:sz w:val="20"/>
              </w:rPr>
            </w:pPr>
            <w:r w:rsidRPr="009A12C5">
              <w:rPr>
                <w:rFonts w:ascii="Arial Narrow" w:hAnsi="Arial Narrow"/>
                <w:sz w:val="20"/>
              </w:rPr>
              <w:t>$</w:t>
            </w:r>
            <w:r w:rsidR="00217FD6">
              <w:rPr>
                <w:rFonts w:ascii="Arial Narrow" w:hAnsi="Arial Narrow"/>
                <w:sz w:val="20"/>
              </w:rPr>
              <w:t>redacted</w:t>
            </w:r>
          </w:p>
        </w:tc>
      </w:tr>
      <w:tr w:rsidR="00A806A8" w:rsidRPr="005429E2" w14:paraId="04DF361E" w14:textId="77777777" w:rsidTr="00C255BD">
        <w:tc>
          <w:tcPr>
            <w:tcW w:w="1853" w:type="pct"/>
            <w:tcBorders>
              <w:left w:val="single" w:sz="4" w:space="0" w:color="auto"/>
            </w:tcBorders>
          </w:tcPr>
          <w:p w14:paraId="4504DE5F" w14:textId="77777777" w:rsidR="00A806A8" w:rsidRPr="009A12C5" w:rsidRDefault="00A806A8" w:rsidP="00F367CB">
            <w:pPr>
              <w:pStyle w:val="05Tabletext22"/>
              <w:rPr>
                <w:rFonts w:ascii="Arial Narrow" w:hAnsi="Arial Narrow"/>
                <w:sz w:val="20"/>
              </w:rPr>
            </w:pPr>
            <w:r w:rsidRPr="009A12C5">
              <w:rPr>
                <w:rFonts w:ascii="Arial Narrow" w:hAnsi="Arial Narrow"/>
                <w:sz w:val="20"/>
              </w:rPr>
              <w:t xml:space="preserve">Incremental QALYs per individual </w:t>
            </w:r>
          </w:p>
        </w:tc>
        <w:tc>
          <w:tcPr>
            <w:tcW w:w="1582" w:type="pct"/>
            <w:gridSpan w:val="2"/>
          </w:tcPr>
          <w:p w14:paraId="66D3BB26" w14:textId="1C3E31D8"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c>
          <w:tcPr>
            <w:tcW w:w="792" w:type="pct"/>
          </w:tcPr>
          <w:p w14:paraId="63BF9C6F" w14:textId="190AF67A"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c>
          <w:tcPr>
            <w:tcW w:w="773" w:type="pct"/>
            <w:tcBorders>
              <w:right w:val="single" w:sz="4" w:space="0" w:color="auto"/>
            </w:tcBorders>
          </w:tcPr>
          <w:p w14:paraId="48E14349" w14:textId="549E52FA" w:rsidR="00A806A8" w:rsidRPr="009A12C5" w:rsidRDefault="00217FD6" w:rsidP="00F367CB">
            <w:pPr>
              <w:pStyle w:val="05Tabletext22"/>
              <w:jc w:val="right"/>
              <w:rPr>
                <w:rFonts w:ascii="Arial Narrow" w:hAnsi="Arial Narrow"/>
                <w:sz w:val="20"/>
              </w:rPr>
            </w:pPr>
            <w:r>
              <w:rPr>
                <w:rFonts w:ascii="Arial Narrow" w:hAnsi="Arial Narrow"/>
                <w:sz w:val="20"/>
              </w:rPr>
              <w:t>redacted</w:t>
            </w:r>
          </w:p>
        </w:tc>
      </w:tr>
      <w:tr w:rsidR="00A806A8" w:rsidRPr="005429E2" w14:paraId="1F0E448F" w14:textId="77777777" w:rsidTr="00C255BD">
        <w:tc>
          <w:tcPr>
            <w:tcW w:w="1853" w:type="pct"/>
            <w:tcBorders>
              <w:left w:val="single" w:sz="4" w:space="0" w:color="auto"/>
            </w:tcBorders>
          </w:tcPr>
          <w:p w14:paraId="022BD446" w14:textId="77777777" w:rsidR="00A806A8" w:rsidRPr="009A12C5" w:rsidRDefault="00A806A8" w:rsidP="00F367CB">
            <w:pPr>
              <w:pStyle w:val="05Tabletext22"/>
              <w:rPr>
                <w:rFonts w:ascii="Arial Narrow" w:hAnsi="Arial Narrow"/>
                <w:b/>
                <w:sz w:val="20"/>
              </w:rPr>
            </w:pPr>
            <w:r w:rsidRPr="009A12C5">
              <w:rPr>
                <w:rFonts w:ascii="Arial Narrow" w:hAnsi="Arial Narrow"/>
                <w:b/>
                <w:sz w:val="20"/>
              </w:rPr>
              <w:t xml:space="preserve">Incremental cost per QALY gained </w:t>
            </w:r>
          </w:p>
        </w:tc>
        <w:tc>
          <w:tcPr>
            <w:tcW w:w="1582" w:type="pct"/>
            <w:gridSpan w:val="2"/>
          </w:tcPr>
          <w:p w14:paraId="667B3DD2" w14:textId="58E2248C" w:rsidR="00A806A8" w:rsidRPr="009A12C5" w:rsidRDefault="00217FD6" w:rsidP="00F367CB">
            <w:pPr>
              <w:pStyle w:val="05Tabletext22"/>
              <w:jc w:val="right"/>
              <w:rPr>
                <w:rFonts w:ascii="Arial Narrow" w:hAnsi="Arial Narrow"/>
                <w:b/>
                <w:sz w:val="20"/>
              </w:rPr>
            </w:pPr>
            <w:r>
              <w:rPr>
                <w:rFonts w:ascii="Arial Narrow" w:hAnsi="Arial Narrow"/>
                <w:b/>
                <w:sz w:val="20"/>
              </w:rPr>
              <w:t>redacted</w:t>
            </w:r>
          </w:p>
        </w:tc>
        <w:tc>
          <w:tcPr>
            <w:tcW w:w="792" w:type="pct"/>
          </w:tcPr>
          <w:p w14:paraId="20FF8A91" w14:textId="76A105FE" w:rsidR="00A806A8" w:rsidRPr="009A12C5" w:rsidRDefault="00217FD6" w:rsidP="00F367CB">
            <w:pPr>
              <w:pStyle w:val="05Tabletext22"/>
              <w:jc w:val="right"/>
              <w:rPr>
                <w:rFonts w:ascii="Arial Narrow" w:hAnsi="Arial Narrow"/>
                <w:b/>
                <w:sz w:val="20"/>
              </w:rPr>
            </w:pPr>
            <w:r>
              <w:rPr>
                <w:rFonts w:ascii="Arial Narrow" w:hAnsi="Arial Narrow"/>
                <w:b/>
                <w:sz w:val="20"/>
              </w:rPr>
              <w:t>redacted</w:t>
            </w:r>
          </w:p>
        </w:tc>
        <w:tc>
          <w:tcPr>
            <w:tcW w:w="773" w:type="pct"/>
            <w:tcBorders>
              <w:right w:val="single" w:sz="4" w:space="0" w:color="auto"/>
            </w:tcBorders>
          </w:tcPr>
          <w:p w14:paraId="0673AF07" w14:textId="1A6FDA23" w:rsidR="00A806A8" w:rsidRPr="009A12C5" w:rsidRDefault="00217FD6" w:rsidP="00F367CB">
            <w:pPr>
              <w:pStyle w:val="05Tabletext22"/>
              <w:jc w:val="right"/>
              <w:rPr>
                <w:rFonts w:ascii="Arial Narrow" w:hAnsi="Arial Narrow"/>
                <w:b/>
                <w:sz w:val="20"/>
              </w:rPr>
            </w:pPr>
            <w:r>
              <w:rPr>
                <w:rFonts w:ascii="Arial Narrow" w:hAnsi="Arial Narrow"/>
                <w:b/>
                <w:sz w:val="20"/>
              </w:rPr>
              <w:t>redacted</w:t>
            </w:r>
          </w:p>
        </w:tc>
      </w:tr>
      <w:tr w:rsidR="00A806A8" w:rsidRPr="005429E2" w14:paraId="419D47CD" w14:textId="77777777" w:rsidTr="00C255BD">
        <w:tc>
          <w:tcPr>
            <w:tcW w:w="1853" w:type="pct"/>
            <w:tcBorders>
              <w:left w:val="single" w:sz="4" w:space="0" w:color="auto"/>
            </w:tcBorders>
          </w:tcPr>
          <w:p w14:paraId="0168F174" w14:textId="77777777" w:rsidR="00A806A8" w:rsidRPr="009A12C5" w:rsidRDefault="00A806A8" w:rsidP="00F367CB">
            <w:pPr>
              <w:pStyle w:val="05Tabletext22"/>
              <w:rPr>
                <w:rFonts w:ascii="Arial Narrow" w:hAnsi="Arial Narrow"/>
                <w:b/>
                <w:sz w:val="20"/>
                <w:vertAlign w:val="superscript"/>
              </w:rPr>
            </w:pPr>
            <w:r w:rsidRPr="009A12C5">
              <w:rPr>
                <w:rFonts w:ascii="Arial Narrow" w:hAnsi="Arial Narrow"/>
                <w:b/>
                <w:sz w:val="20"/>
              </w:rPr>
              <w:t>Net monetary benefit</w:t>
            </w:r>
            <w:r w:rsidRPr="009A12C5">
              <w:rPr>
                <w:rFonts w:ascii="Arial Narrow" w:hAnsi="Arial Narrow"/>
                <w:b/>
                <w:sz w:val="20"/>
                <w:vertAlign w:val="superscript"/>
              </w:rPr>
              <w:t>#</w:t>
            </w:r>
          </w:p>
        </w:tc>
        <w:tc>
          <w:tcPr>
            <w:tcW w:w="1582" w:type="pct"/>
            <w:gridSpan w:val="2"/>
          </w:tcPr>
          <w:p w14:paraId="320397E7" w14:textId="501023BE" w:rsidR="00A806A8" w:rsidRPr="009A12C5" w:rsidRDefault="00A806A8" w:rsidP="00217FD6">
            <w:pPr>
              <w:pStyle w:val="05Tabletext22"/>
              <w:jc w:val="right"/>
              <w:rPr>
                <w:rFonts w:ascii="Arial Narrow" w:hAnsi="Arial Narrow"/>
                <w:b/>
                <w:sz w:val="20"/>
              </w:rPr>
            </w:pPr>
            <w:r w:rsidRPr="009A12C5">
              <w:rPr>
                <w:rFonts w:ascii="Arial Narrow" w:hAnsi="Arial Narrow"/>
                <w:b/>
                <w:sz w:val="20"/>
              </w:rPr>
              <w:t>$</w:t>
            </w:r>
            <w:r w:rsidR="00217FD6">
              <w:rPr>
                <w:rFonts w:ascii="Arial Narrow" w:hAnsi="Arial Narrow"/>
                <w:b/>
                <w:sz w:val="20"/>
              </w:rPr>
              <w:t>redacted</w:t>
            </w:r>
          </w:p>
        </w:tc>
        <w:tc>
          <w:tcPr>
            <w:tcW w:w="792" w:type="pct"/>
          </w:tcPr>
          <w:p w14:paraId="4EE74B91" w14:textId="1637FE40" w:rsidR="00A806A8" w:rsidRPr="009A12C5" w:rsidRDefault="00A806A8" w:rsidP="00217FD6">
            <w:pPr>
              <w:pStyle w:val="05Tabletext22"/>
              <w:jc w:val="right"/>
              <w:rPr>
                <w:rFonts w:ascii="Arial Narrow" w:hAnsi="Arial Narrow"/>
                <w:b/>
                <w:sz w:val="20"/>
              </w:rPr>
            </w:pPr>
            <w:r w:rsidRPr="009A12C5">
              <w:rPr>
                <w:rFonts w:ascii="Arial Narrow" w:hAnsi="Arial Narrow"/>
                <w:b/>
                <w:sz w:val="20"/>
              </w:rPr>
              <w:t>$</w:t>
            </w:r>
            <w:r w:rsidR="00217FD6">
              <w:rPr>
                <w:rFonts w:ascii="Arial Narrow" w:hAnsi="Arial Narrow"/>
                <w:b/>
                <w:sz w:val="20"/>
              </w:rPr>
              <w:t>redacted</w:t>
            </w:r>
          </w:p>
        </w:tc>
        <w:tc>
          <w:tcPr>
            <w:tcW w:w="773" w:type="pct"/>
            <w:tcBorders>
              <w:right w:val="single" w:sz="4" w:space="0" w:color="auto"/>
            </w:tcBorders>
          </w:tcPr>
          <w:p w14:paraId="1A4AC611" w14:textId="7D21A900" w:rsidR="00A806A8" w:rsidRPr="009A12C5" w:rsidRDefault="00A806A8" w:rsidP="00217FD6">
            <w:pPr>
              <w:pStyle w:val="05Tabletext22"/>
              <w:jc w:val="right"/>
              <w:rPr>
                <w:rFonts w:ascii="Arial Narrow" w:hAnsi="Arial Narrow"/>
                <w:b/>
                <w:sz w:val="20"/>
              </w:rPr>
            </w:pPr>
            <w:r w:rsidRPr="009A12C5">
              <w:rPr>
                <w:rFonts w:ascii="Arial Narrow" w:hAnsi="Arial Narrow"/>
                <w:b/>
                <w:sz w:val="20"/>
              </w:rPr>
              <w:t>$</w:t>
            </w:r>
            <w:r w:rsidR="00217FD6">
              <w:rPr>
                <w:rFonts w:ascii="Arial Narrow" w:hAnsi="Arial Narrow"/>
                <w:b/>
                <w:sz w:val="20"/>
              </w:rPr>
              <w:t>redacted</w:t>
            </w:r>
          </w:p>
        </w:tc>
      </w:tr>
    </w:tbl>
    <w:p w14:paraId="222B20F5" w14:textId="77777777" w:rsidR="00154A5E" w:rsidRDefault="00A076DB" w:rsidP="00A806A8">
      <w:pPr>
        <w:pStyle w:val="10Tablefootnotes"/>
        <w:rPr>
          <w:rFonts w:ascii="Arial Narrow" w:hAnsi="Arial Narrow"/>
          <w:sz w:val="18"/>
        </w:rPr>
      </w:pPr>
      <w:r w:rsidRPr="009A12C5">
        <w:rPr>
          <w:rFonts w:ascii="Arial Narrow" w:hAnsi="Arial Narrow"/>
          <w:sz w:val="18"/>
        </w:rPr>
        <w:t xml:space="preserve">Source: </w:t>
      </w:r>
      <w:r w:rsidR="00753952">
        <w:rPr>
          <w:rFonts w:ascii="Arial Narrow" w:hAnsi="Arial Narrow"/>
          <w:sz w:val="18"/>
        </w:rPr>
        <w:t>Table 13, p 27 of the c</w:t>
      </w:r>
      <w:r w:rsidRPr="009A12C5">
        <w:rPr>
          <w:rFonts w:ascii="Arial Narrow" w:hAnsi="Arial Narrow"/>
          <w:sz w:val="18"/>
        </w:rPr>
        <w:t>ommentary</w:t>
      </w:r>
    </w:p>
    <w:p w14:paraId="0D890BD7" w14:textId="43FB7E5A" w:rsidR="00A806A8" w:rsidRPr="009A12C5" w:rsidRDefault="00A806A8" w:rsidP="00A806A8">
      <w:pPr>
        <w:pStyle w:val="10Tablefootnotes"/>
        <w:rPr>
          <w:rFonts w:ascii="Arial Narrow" w:hAnsi="Arial Narrow"/>
          <w:sz w:val="18"/>
        </w:rPr>
      </w:pPr>
      <w:r w:rsidRPr="009A12C5">
        <w:rPr>
          <w:rFonts w:ascii="Arial Narrow" w:hAnsi="Arial Narrow"/>
          <w:sz w:val="18"/>
        </w:rPr>
        <w:t>Abbreviations: QALY</w:t>
      </w:r>
      <w:r w:rsidR="00E6093B" w:rsidRPr="009A12C5">
        <w:rPr>
          <w:rFonts w:ascii="Arial Narrow" w:hAnsi="Arial Narrow"/>
          <w:sz w:val="18"/>
        </w:rPr>
        <w:t>=</w:t>
      </w:r>
      <w:r w:rsidRPr="009A12C5">
        <w:rPr>
          <w:rFonts w:ascii="Arial Narrow" w:hAnsi="Arial Narrow"/>
          <w:sz w:val="18"/>
        </w:rPr>
        <w:t xml:space="preserve">quality-adjusted life year. </w:t>
      </w:r>
    </w:p>
    <w:p w14:paraId="5D97EEA0" w14:textId="77777777" w:rsidR="00A806A8" w:rsidRPr="009A12C5" w:rsidRDefault="00A806A8" w:rsidP="00A806A8">
      <w:pPr>
        <w:pStyle w:val="10Tablefootnotes"/>
        <w:rPr>
          <w:rFonts w:ascii="Arial Narrow" w:hAnsi="Arial Narrow"/>
          <w:sz w:val="18"/>
        </w:rPr>
      </w:pPr>
      <w:r w:rsidRPr="009A12C5">
        <w:rPr>
          <w:rFonts w:ascii="Arial Narrow" w:hAnsi="Arial Narrow"/>
          <w:sz w:val="18"/>
        </w:rPr>
        <w:t xml:space="preserve">*Incremental values refer to Mentor textured versus the comparator. </w:t>
      </w:r>
    </w:p>
    <w:p w14:paraId="0848D677" w14:textId="39C39FB3" w:rsidR="00AB20A2" w:rsidRDefault="00A806A8" w:rsidP="00926657">
      <w:pPr>
        <w:pStyle w:val="11Tablefootnoteslast-nostick"/>
        <w:spacing w:after="240"/>
      </w:pPr>
      <w:r w:rsidRPr="009A12C5">
        <w:rPr>
          <w:rFonts w:ascii="Arial Narrow" w:hAnsi="Arial Narrow"/>
          <w:sz w:val="18"/>
        </w:rPr>
        <w:t># A positive net monetary benefit indicates cost-utility at the willingness-to-pay value of $45,000</w:t>
      </w:r>
      <w:r>
        <w:t xml:space="preserve">. </w:t>
      </w:r>
      <w:bookmarkStart w:id="11" w:name="_Ref23954149"/>
      <w:bookmarkEnd w:id="8"/>
      <w:bookmarkEnd w:id="9"/>
    </w:p>
    <w:p w14:paraId="3ED9F861" w14:textId="77777777" w:rsidR="008B409A" w:rsidRPr="00A806A8" w:rsidRDefault="008B409A" w:rsidP="008B409A">
      <w:pPr>
        <w:pStyle w:val="Heading2"/>
      </w:pPr>
      <w:r w:rsidRPr="00A806A8">
        <w:t xml:space="preserve">One-way sensitivity analysis </w:t>
      </w:r>
    </w:p>
    <w:p w14:paraId="4B1A6AE4" w14:textId="2E681A88" w:rsidR="008B409A" w:rsidRDefault="008B409A" w:rsidP="008B409A">
      <w:pPr>
        <w:pStyle w:val="Default"/>
        <w:spacing w:after="240"/>
        <w:rPr>
          <w:i/>
          <w:color w:val="auto"/>
        </w:rPr>
      </w:pPr>
      <w:r>
        <w:t xml:space="preserve">The results of the one-way sensitivity analysis were provided in the </w:t>
      </w:r>
      <w:r w:rsidR="00C1197E">
        <w:t>submission</w:t>
      </w:r>
      <w:r>
        <w:t xml:space="preserve"> (shown below Figure 1)</w:t>
      </w:r>
      <w:r w:rsidRPr="0098020B">
        <w:t>. The compo</w:t>
      </w:r>
      <w:r>
        <w:t xml:space="preserve">nents having the most effect on </w:t>
      </w:r>
      <w:r w:rsidR="00926657">
        <w:t>the net monetary benefit (</w:t>
      </w:r>
      <w:r>
        <w:t>NMB</w:t>
      </w:r>
      <w:r w:rsidR="00926657">
        <w:t>)</w:t>
      </w:r>
      <w:r>
        <w:t xml:space="preserve"> were: probability of reoperation; probability of capsular contracture with smooth implants; probability of smooth implant rupture; and the cost of the Mentor textured implant. None of the one-way sensitivity analysis values indicated a negative NMB. A negative NMB would indicate the intervention is not cost</w:t>
      </w:r>
      <w:r w:rsidR="003B5919">
        <w:t>-</w:t>
      </w:r>
      <w:r>
        <w:t xml:space="preserve">effective at the </w:t>
      </w:r>
      <w:r w:rsidR="004F6ACB">
        <w:t>willingness-to-pay</w:t>
      </w:r>
      <w:r>
        <w:t xml:space="preserve"> threshold of $45,000.</w:t>
      </w:r>
    </w:p>
    <w:p w14:paraId="4D421E53" w14:textId="189ABE30" w:rsidR="008B409A" w:rsidRPr="004B2A80" w:rsidRDefault="00E354A8" w:rsidP="00926657">
      <w:pPr>
        <w:pStyle w:val="11Tablefootnoteslast-nostick"/>
        <w:spacing w:after="240"/>
      </w:pPr>
      <w:r w:rsidRPr="00E354A8">
        <w:rPr>
          <w:rFonts w:ascii="Times New Roman" w:hAnsi="Times New Roman"/>
          <w:sz w:val="24"/>
          <w:szCs w:val="24"/>
        </w:rPr>
        <w:t xml:space="preserve">Figure </w:t>
      </w:r>
      <w:r w:rsidRPr="00114D7C">
        <w:rPr>
          <w:rFonts w:ascii="Times New Roman" w:hAnsi="Times New Roman"/>
          <w:b/>
          <w:sz w:val="24"/>
          <w:szCs w:val="24"/>
        </w:rPr>
        <w:t>redacted</w:t>
      </w:r>
      <w:r>
        <w:t xml:space="preserve"> </w:t>
      </w:r>
    </w:p>
    <w:p w14:paraId="2B5112F6" w14:textId="4BF602BB" w:rsidR="00E62033" w:rsidRDefault="000B4572" w:rsidP="00EB72DB">
      <w:pPr>
        <w:rPr>
          <w:i/>
        </w:rPr>
      </w:pPr>
      <w:r>
        <w:t>The c</w:t>
      </w:r>
      <w:r w:rsidR="00E62033">
        <w:t>ommentary queried the economic model regarding whether the:</w:t>
      </w:r>
    </w:p>
    <w:p w14:paraId="60512375" w14:textId="77777777" w:rsidR="00E62033" w:rsidRDefault="00E62033" w:rsidP="00120505">
      <w:pPr>
        <w:pStyle w:val="ListParagraph"/>
        <w:numPr>
          <w:ilvl w:val="0"/>
          <w:numId w:val="13"/>
        </w:numPr>
      </w:pPr>
      <w:r>
        <w:t>I</w:t>
      </w:r>
      <w:r w:rsidRPr="00E62033">
        <w:t>nclusion of complication rates from aesthetic augmentation populations is appropriate, given there are fundamental differences between aesthetic and reconstructive indications in terms of patient risk profile and surgical pathways</w:t>
      </w:r>
      <w:r>
        <w:t>.</w:t>
      </w:r>
    </w:p>
    <w:p w14:paraId="23CA3345" w14:textId="77777777" w:rsidR="00E62033" w:rsidRDefault="00E62033" w:rsidP="00120505">
      <w:pPr>
        <w:pStyle w:val="ListParagraph"/>
        <w:numPr>
          <w:ilvl w:val="0"/>
          <w:numId w:val="13"/>
        </w:numPr>
      </w:pPr>
      <w:r>
        <w:t>U</w:t>
      </w:r>
      <w:r w:rsidRPr="00E62033">
        <w:t>se of non-comparative data on complication rates is appropriate given that the mix of reconstructive and augmentation patients is inconsistent across studi</w:t>
      </w:r>
      <w:r>
        <w:t xml:space="preserve">es and </w:t>
      </w:r>
      <w:r w:rsidRPr="00E62033">
        <w:t>differences in complications between textured and smooth implants are not observed in comparative studies.</w:t>
      </w:r>
    </w:p>
    <w:p w14:paraId="500B8923" w14:textId="567DD2DE" w:rsidR="00E62033" w:rsidRPr="00E62033" w:rsidRDefault="00E62033" w:rsidP="00926657">
      <w:pPr>
        <w:pStyle w:val="ListParagraph"/>
        <w:numPr>
          <w:ilvl w:val="0"/>
          <w:numId w:val="13"/>
        </w:numPr>
      </w:pPr>
      <w:r>
        <w:t>I</w:t>
      </w:r>
      <w:r w:rsidRPr="00E62033">
        <w:t>nclusion of reoperation as a health state has the potential for double counting.</w:t>
      </w:r>
    </w:p>
    <w:p w14:paraId="6598E079" w14:textId="631FFC6F" w:rsidR="002212F1" w:rsidRDefault="0064744A" w:rsidP="00E354A8">
      <w:pPr>
        <w:spacing w:before="240"/>
      </w:pPr>
      <w:r>
        <w:t>In the pre-MSAC response t</w:t>
      </w:r>
      <w:r w:rsidR="000B4572">
        <w:t>he a</w:t>
      </w:r>
      <w:r w:rsidR="002212F1">
        <w:t xml:space="preserve">pplicant provided additional analysis (Table </w:t>
      </w:r>
      <w:r w:rsidR="00926657">
        <w:t>9</w:t>
      </w:r>
      <w:r w:rsidR="002212F1">
        <w:t>) that explored</w:t>
      </w:r>
      <w:r w:rsidR="003E0FC0">
        <w:t xml:space="preserve"> the impact of</w:t>
      </w:r>
      <w:r w:rsidR="002212F1">
        <w:t>:</w:t>
      </w:r>
    </w:p>
    <w:p w14:paraId="34E87D37" w14:textId="77777777" w:rsidR="002212F1" w:rsidRDefault="002212F1" w:rsidP="00120505">
      <w:pPr>
        <w:pStyle w:val="ListParagraph"/>
        <w:numPr>
          <w:ilvl w:val="0"/>
          <w:numId w:val="11"/>
        </w:numPr>
      </w:pPr>
      <w:r>
        <w:t>removing complication rates from aesthetic augmentation populations (scenario analysis 1)</w:t>
      </w:r>
    </w:p>
    <w:p w14:paraId="5618791A" w14:textId="77777777" w:rsidR="00E01E23" w:rsidRDefault="002212F1" w:rsidP="00120505">
      <w:pPr>
        <w:pStyle w:val="ListParagraph"/>
        <w:numPr>
          <w:ilvl w:val="0"/>
          <w:numId w:val="11"/>
        </w:numPr>
      </w:pPr>
      <w:r>
        <w:t>primary reconstruction patients only (scenario analysis 2</w:t>
      </w:r>
      <w:r w:rsidR="003E0FC0">
        <w:t>)</w:t>
      </w:r>
    </w:p>
    <w:p w14:paraId="5E862104" w14:textId="7A06C31B" w:rsidR="003E0FC0" w:rsidRDefault="003E0FC0" w:rsidP="003E0FC0">
      <w:pPr>
        <w:pStyle w:val="ListParagraph"/>
        <w:numPr>
          <w:ilvl w:val="0"/>
          <w:numId w:val="11"/>
        </w:numPr>
      </w:pPr>
      <w:r>
        <w:t>excluding re-operation from the econom</w:t>
      </w:r>
      <w:r w:rsidR="00114D7C">
        <w:t>ic model (scenario analysis 3).</w:t>
      </w:r>
    </w:p>
    <w:p w14:paraId="5AAD8AD1" w14:textId="09353E7D" w:rsidR="003E0FC0" w:rsidRDefault="000B4572" w:rsidP="00114D7C">
      <w:pPr>
        <w:spacing w:before="240"/>
      </w:pPr>
      <w:r>
        <w:t>The a</w:t>
      </w:r>
      <w:r w:rsidR="003E0FC0">
        <w:t>pplicant claim</w:t>
      </w:r>
      <w:r w:rsidR="00926657">
        <w:t>ed</w:t>
      </w:r>
      <w:r w:rsidR="003E0FC0">
        <w:t xml:space="preserve"> that the results of the additional analyses </w:t>
      </w:r>
      <w:r w:rsidR="003E0FC0" w:rsidRPr="003E0FC0">
        <w:t>show that Mentor textured implants are cost</w:t>
      </w:r>
      <w:r w:rsidR="003B5919">
        <w:t>-</w:t>
      </w:r>
      <w:r w:rsidR="003E0FC0" w:rsidRPr="003E0FC0">
        <w:t>effective in comparison to smooth implants.</w:t>
      </w:r>
    </w:p>
    <w:p w14:paraId="4EB35123" w14:textId="771A98B9" w:rsidR="003E0FC0" w:rsidRPr="00114D7C" w:rsidRDefault="003E0FC0" w:rsidP="00114D7C">
      <w:pPr>
        <w:keepNext/>
        <w:keepLines/>
        <w:rPr>
          <w:rFonts w:ascii="Arial Narrow" w:hAnsi="Arial Narrow"/>
          <w:b/>
          <w:sz w:val="20"/>
        </w:rPr>
      </w:pPr>
      <w:r w:rsidRPr="00114D7C">
        <w:rPr>
          <w:rFonts w:ascii="Arial Narrow" w:hAnsi="Arial Narrow"/>
          <w:b/>
          <w:sz w:val="20"/>
        </w:rPr>
        <w:lastRenderedPageBreak/>
        <w:t xml:space="preserve">Table </w:t>
      </w:r>
      <w:r w:rsidR="00926657" w:rsidRPr="00114D7C">
        <w:rPr>
          <w:rFonts w:ascii="Arial Narrow" w:hAnsi="Arial Narrow"/>
          <w:b/>
          <w:sz w:val="20"/>
        </w:rPr>
        <w:t>9</w:t>
      </w:r>
      <w:r w:rsidRPr="00114D7C">
        <w:rPr>
          <w:rFonts w:ascii="Arial Narrow" w:hAnsi="Arial Narrow"/>
          <w:b/>
          <w:sz w:val="20"/>
        </w:rPr>
        <w:tab/>
        <w:t>Additional scenario analyses comparing Mentor textured and smooth breast implants</w:t>
      </w:r>
    </w:p>
    <w:tbl>
      <w:tblPr>
        <w:tblStyle w:val="TableGrid"/>
        <w:tblW w:w="4955" w:type="pct"/>
        <w:tblLook w:val="04A0" w:firstRow="1" w:lastRow="0" w:firstColumn="1" w:lastColumn="0" w:noHBand="0" w:noVBand="1"/>
        <w:tblDescription w:val="Additional scenario analyses comparing Mentor textured and smooth breast implants"/>
      </w:tblPr>
      <w:tblGrid>
        <w:gridCol w:w="7509"/>
        <w:gridCol w:w="1426"/>
      </w:tblGrid>
      <w:tr w:rsidR="00C255BD" w:rsidRPr="008B409A" w14:paraId="5164F98D" w14:textId="77777777" w:rsidTr="00114D7C">
        <w:trPr>
          <w:tblHeader/>
        </w:trPr>
        <w:tc>
          <w:tcPr>
            <w:tcW w:w="4202" w:type="pct"/>
            <w:tcBorders>
              <w:left w:val="single" w:sz="4" w:space="0" w:color="auto"/>
            </w:tcBorders>
            <w:shd w:val="clear" w:color="auto" w:fill="auto"/>
          </w:tcPr>
          <w:p w14:paraId="503C840E" w14:textId="77777777" w:rsidR="00C255BD" w:rsidRPr="009A12C5" w:rsidRDefault="00C255BD" w:rsidP="00114D7C">
            <w:pPr>
              <w:pStyle w:val="01TableHeading"/>
              <w:keepNext/>
              <w:keepLines/>
              <w:rPr>
                <w:rFonts w:ascii="Arial Narrow" w:hAnsi="Arial Narrow"/>
                <w:sz w:val="20"/>
                <w:szCs w:val="18"/>
              </w:rPr>
            </w:pPr>
            <w:r w:rsidRPr="009A12C5">
              <w:rPr>
                <w:rFonts w:ascii="Arial Narrow" w:eastAsia="Calibri" w:hAnsi="Arial Narrow" w:cstheme="minorHAnsi"/>
                <w:bCs/>
                <w:sz w:val="20"/>
                <w:szCs w:val="18"/>
              </w:rPr>
              <w:t>Scenario</w:t>
            </w:r>
          </w:p>
        </w:tc>
        <w:tc>
          <w:tcPr>
            <w:tcW w:w="798" w:type="pct"/>
            <w:shd w:val="clear" w:color="auto" w:fill="auto"/>
          </w:tcPr>
          <w:p w14:paraId="3CA2ECD8" w14:textId="77777777" w:rsidR="00C255BD" w:rsidRPr="009A12C5" w:rsidRDefault="00C255BD" w:rsidP="00114D7C">
            <w:pPr>
              <w:pStyle w:val="01TableHeading"/>
              <w:keepNext/>
              <w:keepLines/>
              <w:jc w:val="center"/>
              <w:rPr>
                <w:rFonts w:ascii="Arial Narrow" w:hAnsi="Arial Narrow"/>
                <w:sz w:val="20"/>
                <w:szCs w:val="18"/>
              </w:rPr>
            </w:pPr>
            <w:r w:rsidRPr="009A12C5">
              <w:rPr>
                <w:rFonts w:ascii="Arial Narrow" w:hAnsi="Arial Narrow"/>
                <w:sz w:val="20"/>
                <w:szCs w:val="18"/>
              </w:rPr>
              <w:t>Net Monetary Benefit</w:t>
            </w:r>
            <w:r w:rsidRPr="009A12C5">
              <w:rPr>
                <w:rFonts w:ascii="Arial Narrow" w:hAnsi="Arial Narrow"/>
                <w:sz w:val="20"/>
                <w:szCs w:val="18"/>
                <w:vertAlign w:val="superscript"/>
              </w:rPr>
              <w:t>1</w:t>
            </w:r>
          </w:p>
        </w:tc>
      </w:tr>
      <w:tr w:rsidR="00C255BD" w:rsidRPr="008B409A" w14:paraId="1B667007" w14:textId="77777777" w:rsidTr="00C255BD">
        <w:tc>
          <w:tcPr>
            <w:tcW w:w="4202" w:type="pct"/>
            <w:tcBorders>
              <w:left w:val="single" w:sz="4" w:space="0" w:color="auto"/>
            </w:tcBorders>
          </w:tcPr>
          <w:p w14:paraId="29C68352" w14:textId="037EEE4A" w:rsidR="00C255BD" w:rsidRPr="009A12C5" w:rsidRDefault="00C255BD" w:rsidP="00FB4E6B">
            <w:pPr>
              <w:pStyle w:val="05Tabletext22"/>
              <w:keepNext/>
              <w:keepLines/>
              <w:numPr>
                <w:ilvl w:val="0"/>
                <w:numId w:val="16"/>
              </w:numPr>
              <w:rPr>
                <w:rFonts w:ascii="Arial Narrow" w:hAnsi="Arial Narrow"/>
                <w:sz w:val="20"/>
                <w:szCs w:val="18"/>
              </w:rPr>
            </w:pPr>
            <w:r w:rsidRPr="009A12C5">
              <w:rPr>
                <w:rFonts w:ascii="Arial Narrow" w:eastAsia="Tahoma" w:hAnsi="Arial Narrow"/>
                <w:sz w:val="20"/>
                <w:szCs w:val="18"/>
              </w:rPr>
              <w:t xml:space="preserve">Modelling includes only </w:t>
            </w:r>
            <w:r w:rsidR="00FB4E6B">
              <w:rPr>
                <w:rFonts w:ascii="Arial Narrow" w:eastAsia="Tahoma" w:hAnsi="Arial Narrow"/>
                <w:sz w:val="20"/>
                <w:szCs w:val="18"/>
              </w:rPr>
              <w:t>redacted</w:t>
            </w:r>
            <w:r w:rsidRPr="009A12C5">
              <w:rPr>
                <w:rFonts w:ascii="Arial Narrow" w:eastAsia="Tahoma" w:hAnsi="Arial Narrow"/>
                <w:sz w:val="20"/>
                <w:szCs w:val="18"/>
              </w:rPr>
              <w:t xml:space="preserve"> as per the original model while other complications are set to 0%: comparing Mentor Textured </w:t>
            </w:r>
            <w:r w:rsidR="002D636F" w:rsidRPr="009A12C5">
              <w:rPr>
                <w:rFonts w:ascii="Arial Narrow" w:eastAsia="Tahoma" w:hAnsi="Arial Narrow"/>
                <w:sz w:val="20"/>
                <w:szCs w:val="18"/>
              </w:rPr>
              <w:t>versus</w:t>
            </w:r>
            <w:r w:rsidRPr="009A12C5">
              <w:rPr>
                <w:rFonts w:ascii="Arial Narrow" w:eastAsia="Tahoma" w:hAnsi="Arial Narrow"/>
                <w:sz w:val="20"/>
                <w:szCs w:val="18"/>
              </w:rPr>
              <w:t xml:space="preserve"> Other Smooth, augmentation &amp; reconstruction patients as per OHTA accepted PICO</w:t>
            </w:r>
          </w:p>
        </w:tc>
        <w:tc>
          <w:tcPr>
            <w:tcW w:w="798" w:type="pct"/>
          </w:tcPr>
          <w:p w14:paraId="3FA8A63F" w14:textId="37883EDC" w:rsidR="00C255BD" w:rsidRPr="009A12C5" w:rsidRDefault="00C255BD" w:rsidP="007D29D5">
            <w:pPr>
              <w:keepNext/>
              <w:keepLines/>
              <w:jc w:val="center"/>
              <w:rPr>
                <w:rFonts w:ascii="Arial Narrow" w:eastAsia="Tahoma" w:hAnsi="Arial Narrow" w:cstheme="minorHAnsi"/>
                <w:sz w:val="20"/>
                <w:szCs w:val="18"/>
              </w:rPr>
            </w:pPr>
            <w:r w:rsidRPr="009A12C5">
              <w:rPr>
                <w:rFonts w:ascii="Arial Narrow" w:eastAsia="Tahoma" w:hAnsi="Arial Narrow" w:cstheme="minorHAnsi"/>
                <w:sz w:val="20"/>
                <w:szCs w:val="18"/>
              </w:rPr>
              <w:t>$</w:t>
            </w:r>
            <w:r w:rsidR="00FB4E6B">
              <w:rPr>
                <w:rFonts w:ascii="Arial Narrow" w:eastAsia="Tahoma" w:hAnsi="Arial Narrow" w:cstheme="minorHAnsi"/>
                <w:sz w:val="20"/>
                <w:szCs w:val="18"/>
              </w:rPr>
              <w:t>redacted</w:t>
            </w:r>
          </w:p>
          <w:p w14:paraId="43FEA756" w14:textId="77777777" w:rsidR="00C255BD" w:rsidRPr="009A12C5" w:rsidRDefault="00C255BD" w:rsidP="007D29D5">
            <w:pPr>
              <w:pStyle w:val="05Tabletext22"/>
              <w:keepNext/>
              <w:keepLines/>
              <w:jc w:val="center"/>
              <w:rPr>
                <w:rFonts w:ascii="Arial Narrow" w:hAnsi="Arial Narrow"/>
                <w:sz w:val="20"/>
                <w:szCs w:val="18"/>
              </w:rPr>
            </w:pPr>
          </w:p>
        </w:tc>
      </w:tr>
      <w:tr w:rsidR="00C255BD" w:rsidRPr="008B409A" w14:paraId="0365E182" w14:textId="77777777" w:rsidTr="00C255BD">
        <w:tc>
          <w:tcPr>
            <w:tcW w:w="4202" w:type="pct"/>
            <w:tcBorders>
              <w:left w:val="single" w:sz="4" w:space="0" w:color="auto"/>
            </w:tcBorders>
          </w:tcPr>
          <w:p w14:paraId="43E47198" w14:textId="00E05DAF" w:rsidR="00C255BD" w:rsidRPr="009A12C5" w:rsidRDefault="00C255BD" w:rsidP="00FB4E6B">
            <w:pPr>
              <w:pStyle w:val="05Tabletext22"/>
              <w:keepNext/>
              <w:keepLines/>
              <w:numPr>
                <w:ilvl w:val="0"/>
                <w:numId w:val="16"/>
              </w:numPr>
              <w:rPr>
                <w:rFonts w:ascii="Arial Narrow" w:hAnsi="Arial Narrow"/>
                <w:sz w:val="20"/>
                <w:szCs w:val="18"/>
              </w:rPr>
            </w:pPr>
            <w:r w:rsidRPr="009A12C5">
              <w:rPr>
                <w:rFonts w:ascii="Arial Narrow" w:eastAsia="Tahoma" w:hAnsi="Arial Narrow"/>
                <w:sz w:val="20"/>
                <w:szCs w:val="18"/>
              </w:rPr>
              <w:t xml:space="preserve">Modelling includes only </w:t>
            </w:r>
            <w:r w:rsidR="00FB4E6B">
              <w:rPr>
                <w:rFonts w:ascii="Arial Narrow" w:eastAsia="Tahoma" w:hAnsi="Arial Narrow"/>
                <w:sz w:val="20"/>
                <w:szCs w:val="18"/>
              </w:rPr>
              <w:t>redacted</w:t>
            </w:r>
            <w:r w:rsidRPr="009A12C5">
              <w:rPr>
                <w:rFonts w:ascii="Arial Narrow" w:eastAsia="Tahoma" w:hAnsi="Arial Narrow"/>
                <w:sz w:val="20"/>
                <w:szCs w:val="18"/>
              </w:rPr>
              <w:t xml:space="preserve"> for </w:t>
            </w:r>
            <w:r w:rsidRPr="009A12C5">
              <w:rPr>
                <w:rFonts w:ascii="Arial Narrow" w:eastAsia="Tahoma" w:hAnsi="Arial Narrow"/>
                <w:sz w:val="20"/>
                <w:szCs w:val="18"/>
                <w:u w:val="single"/>
              </w:rPr>
              <w:t>primary reconstruction patient population</w:t>
            </w:r>
            <w:r w:rsidRPr="009A12C5">
              <w:rPr>
                <w:rFonts w:ascii="Arial Narrow" w:eastAsia="Tahoma" w:hAnsi="Arial Narrow"/>
                <w:sz w:val="20"/>
                <w:szCs w:val="18"/>
              </w:rPr>
              <w:t xml:space="preserve"> only- sourced from Wixtrom 2019 et al (Mentor Textured </w:t>
            </w:r>
            <w:r w:rsidR="002D636F" w:rsidRPr="009A12C5">
              <w:rPr>
                <w:rFonts w:ascii="Arial Narrow" w:eastAsia="Tahoma" w:hAnsi="Arial Narrow"/>
                <w:sz w:val="20"/>
                <w:szCs w:val="18"/>
              </w:rPr>
              <w:t>versus</w:t>
            </w:r>
            <w:r w:rsidRPr="009A12C5">
              <w:rPr>
                <w:rFonts w:ascii="Arial Narrow" w:eastAsia="Tahoma" w:hAnsi="Arial Narrow"/>
                <w:sz w:val="20"/>
                <w:szCs w:val="18"/>
              </w:rPr>
              <w:t xml:space="preserve"> Mentor Smooth: 3.88% </w:t>
            </w:r>
            <w:r w:rsidR="002D636F" w:rsidRPr="009A12C5">
              <w:rPr>
                <w:rFonts w:ascii="Arial Narrow" w:eastAsia="Tahoma" w:hAnsi="Arial Narrow"/>
                <w:sz w:val="20"/>
                <w:szCs w:val="18"/>
              </w:rPr>
              <w:t>versus</w:t>
            </w:r>
            <w:r w:rsidRPr="009A12C5">
              <w:rPr>
                <w:rFonts w:ascii="Arial Narrow" w:eastAsia="Tahoma" w:hAnsi="Arial Narrow"/>
                <w:sz w:val="20"/>
                <w:szCs w:val="18"/>
              </w:rPr>
              <w:t xml:space="preserve"> 11.10%)</w:t>
            </w:r>
          </w:p>
        </w:tc>
        <w:tc>
          <w:tcPr>
            <w:tcW w:w="798" w:type="pct"/>
          </w:tcPr>
          <w:p w14:paraId="2DE69EC6" w14:textId="3A76BB4C" w:rsidR="00C255BD" w:rsidRPr="009A12C5" w:rsidRDefault="00C255BD" w:rsidP="00FB4E6B">
            <w:pPr>
              <w:pStyle w:val="05Tabletext22"/>
              <w:keepNext/>
              <w:keepLines/>
              <w:jc w:val="center"/>
              <w:rPr>
                <w:rFonts w:ascii="Arial Narrow" w:hAnsi="Arial Narrow"/>
                <w:sz w:val="20"/>
                <w:szCs w:val="18"/>
              </w:rPr>
            </w:pPr>
            <w:r w:rsidRPr="009A12C5">
              <w:rPr>
                <w:rFonts w:ascii="Arial Narrow" w:hAnsi="Arial Narrow"/>
                <w:sz w:val="20"/>
                <w:szCs w:val="18"/>
              </w:rPr>
              <w:t>$</w:t>
            </w:r>
            <w:r w:rsidR="00FB4E6B">
              <w:rPr>
                <w:rFonts w:ascii="Arial Narrow" w:hAnsi="Arial Narrow"/>
                <w:sz w:val="20"/>
                <w:szCs w:val="18"/>
              </w:rPr>
              <w:t>redacted</w:t>
            </w:r>
          </w:p>
        </w:tc>
      </w:tr>
      <w:tr w:rsidR="00C255BD" w:rsidRPr="008B409A" w14:paraId="52E4D2AB" w14:textId="77777777" w:rsidTr="00C255BD">
        <w:tc>
          <w:tcPr>
            <w:tcW w:w="4202" w:type="pct"/>
            <w:tcBorders>
              <w:left w:val="single" w:sz="4" w:space="0" w:color="auto"/>
            </w:tcBorders>
          </w:tcPr>
          <w:p w14:paraId="7688E7F4" w14:textId="251A4ED8" w:rsidR="00C255BD" w:rsidRPr="009A12C5" w:rsidRDefault="00C255BD" w:rsidP="007D29D5">
            <w:pPr>
              <w:pStyle w:val="05Tabletext22"/>
              <w:keepNext/>
              <w:keepLines/>
              <w:numPr>
                <w:ilvl w:val="0"/>
                <w:numId w:val="16"/>
              </w:numPr>
              <w:rPr>
                <w:rFonts w:ascii="Arial Narrow" w:hAnsi="Arial Narrow"/>
                <w:sz w:val="20"/>
                <w:szCs w:val="18"/>
              </w:rPr>
            </w:pPr>
            <w:r w:rsidRPr="009A12C5">
              <w:rPr>
                <w:rFonts w:ascii="Arial Narrow" w:eastAsia="Tahoma" w:hAnsi="Arial Narrow"/>
                <w:sz w:val="20"/>
                <w:szCs w:val="18"/>
              </w:rPr>
              <w:t xml:space="preserve">Modelling excludes re-operation in both arms; – Mentor Textured </w:t>
            </w:r>
            <w:r w:rsidR="002D636F" w:rsidRPr="009A12C5">
              <w:rPr>
                <w:rFonts w:ascii="Arial Narrow" w:eastAsia="Tahoma" w:hAnsi="Arial Narrow"/>
                <w:sz w:val="20"/>
                <w:szCs w:val="18"/>
              </w:rPr>
              <w:t>versus</w:t>
            </w:r>
            <w:r w:rsidRPr="009A12C5">
              <w:rPr>
                <w:rFonts w:ascii="Arial Narrow" w:eastAsia="Tahoma" w:hAnsi="Arial Narrow"/>
                <w:sz w:val="20"/>
                <w:szCs w:val="18"/>
              </w:rPr>
              <w:t xml:space="preserve"> Other Smooth (remaining complication data points remains unchanged as per the original model), augmentation &amp; reconstruction patients as per OHTA accepted PICO</w:t>
            </w:r>
          </w:p>
        </w:tc>
        <w:tc>
          <w:tcPr>
            <w:tcW w:w="798" w:type="pct"/>
          </w:tcPr>
          <w:p w14:paraId="7D377086" w14:textId="77FC1957" w:rsidR="00C255BD" w:rsidRPr="009A12C5" w:rsidRDefault="00C255BD" w:rsidP="00FB4E6B">
            <w:pPr>
              <w:pStyle w:val="05Tabletext22"/>
              <w:keepNext/>
              <w:keepLines/>
              <w:jc w:val="center"/>
              <w:rPr>
                <w:rFonts w:ascii="Arial Narrow" w:hAnsi="Arial Narrow"/>
                <w:sz w:val="20"/>
                <w:szCs w:val="18"/>
              </w:rPr>
            </w:pPr>
            <w:r w:rsidRPr="009A12C5">
              <w:rPr>
                <w:rFonts w:ascii="Arial Narrow" w:hAnsi="Arial Narrow"/>
                <w:sz w:val="20"/>
                <w:szCs w:val="18"/>
              </w:rPr>
              <w:t>$</w:t>
            </w:r>
            <w:r w:rsidR="00FB4E6B">
              <w:rPr>
                <w:rFonts w:ascii="Arial Narrow" w:hAnsi="Arial Narrow"/>
                <w:sz w:val="20"/>
                <w:szCs w:val="18"/>
              </w:rPr>
              <w:t>redacted</w:t>
            </w:r>
          </w:p>
        </w:tc>
      </w:tr>
    </w:tbl>
    <w:p w14:paraId="2F72CC0E" w14:textId="77777777" w:rsidR="000B4572" w:rsidRPr="009A12C5" w:rsidRDefault="000B4572" w:rsidP="007D29D5">
      <w:pPr>
        <w:keepNext/>
        <w:keepLines/>
        <w:rPr>
          <w:rFonts w:ascii="Arial Narrow" w:eastAsia="Calibri" w:hAnsi="Arial Narrow" w:cstheme="minorHAnsi"/>
          <w:sz w:val="18"/>
          <w:szCs w:val="16"/>
        </w:rPr>
      </w:pPr>
      <w:r w:rsidRPr="009A12C5">
        <w:rPr>
          <w:rFonts w:ascii="Arial Narrow" w:eastAsia="Calibri" w:hAnsi="Arial Narrow" w:cstheme="minorHAnsi"/>
          <w:sz w:val="18"/>
          <w:szCs w:val="16"/>
        </w:rPr>
        <w:t>Source:</w:t>
      </w:r>
      <w:r w:rsidR="00274CAB" w:rsidRPr="009A12C5">
        <w:rPr>
          <w:rFonts w:ascii="Arial Narrow" w:eastAsia="Calibri" w:hAnsi="Arial Narrow" w:cstheme="minorHAnsi"/>
          <w:sz w:val="18"/>
          <w:szCs w:val="16"/>
        </w:rPr>
        <w:t xml:space="preserve"> Applicant pre-MSAC response p</w:t>
      </w:r>
      <w:r w:rsidR="00C255BD" w:rsidRPr="009A12C5">
        <w:rPr>
          <w:rFonts w:ascii="Arial Narrow" w:eastAsia="Calibri" w:hAnsi="Arial Narrow" w:cstheme="minorHAnsi"/>
          <w:sz w:val="18"/>
          <w:szCs w:val="16"/>
        </w:rPr>
        <w:t>6</w:t>
      </w:r>
    </w:p>
    <w:p w14:paraId="620AF812" w14:textId="352E01A0" w:rsidR="003E0FC0" w:rsidRPr="009A12C5" w:rsidRDefault="003E0FC0" w:rsidP="007D29D5">
      <w:pPr>
        <w:keepNext/>
        <w:keepLines/>
        <w:rPr>
          <w:rFonts w:ascii="Arial Narrow" w:eastAsia="Calibri" w:hAnsi="Arial Narrow" w:cstheme="minorHAnsi"/>
          <w:sz w:val="18"/>
          <w:szCs w:val="16"/>
        </w:rPr>
      </w:pPr>
      <w:r w:rsidRPr="009A12C5">
        <w:rPr>
          <w:rFonts w:ascii="Arial Narrow" w:eastAsia="Calibri" w:hAnsi="Arial Narrow" w:cstheme="minorHAnsi"/>
          <w:sz w:val="18"/>
          <w:szCs w:val="16"/>
        </w:rPr>
        <w:t>Abbreviations: PICO</w:t>
      </w:r>
      <w:r w:rsidR="00E6093B" w:rsidRPr="009A12C5">
        <w:rPr>
          <w:rFonts w:ascii="Arial Narrow" w:eastAsia="Calibri" w:hAnsi="Arial Narrow" w:cstheme="minorHAnsi"/>
          <w:sz w:val="18"/>
          <w:szCs w:val="16"/>
        </w:rPr>
        <w:t>=</w:t>
      </w:r>
      <w:r w:rsidRPr="009A12C5">
        <w:rPr>
          <w:rFonts w:ascii="Arial Narrow" w:eastAsia="Calibri" w:hAnsi="Arial Narrow" w:cstheme="minorHAnsi"/>
          <w:sz w:val="18"/>
          <w:szCs w:val="16"/>
        </w:rPr>
        <w:t xml:space="preserve">Patients Intervention, </w:t>
      </w:r>
      <w:r w:rsidR="00E6093B" w:rsidRPr="009A12C5">
        <w:rPr>
          <w:rFonts w:ascii="Arial Narrow" w:eastAsia="Calibri" w:hAnsi="Arial Narrow" w:cstheme="minorHAnsi"/>
          <w:sz w:val="18"/>
          <w:szCs w:val="16"/>
        </w:rPr>
        <w:t>Comparator, Outcomes; OHTA=</w:t>
      </w:r>
      <w:r w:rsidRPr="009A12C5">
        <w:rPr>
          <w:rFonts w:ascii="Arial Narrow" w:eastAsia="Calibri" w:hAnsi="Arial Narrow" w:cstheme="minorHAnsi"/>
          <w:sz w:val="18"/>
          <w:szCs w:val="16"/>
        </w:rPr>
        <w:t>Office of Health Technology Assessment</w:t>
      </w:r>
      <w:r w:rsidR="00E6093B" w:rsidRPr="009A12C5">
        <w:rPr>
          <w:rFonts w:ascii="Arial Narrow" w:eastAsia="Calibri" w:hAnsi="Arial Narrow" w:cstheme="minorHAnsi"/>
          <w:sz w:val="18"/>
          <w:szCs w:val="16"/>
        </w:rPr>
        <w:t>.</w:t>
      </w:r>
    </w:p>
    <w:p w14:paraId="5C77154D" w14:textId="74E1B8EF" w:rsidR="003E0FC0" w:rsidRPr="00926657" w:rsidRDefault="003E0FC0" w:rsidP="00926657">
      <w:pPr>
        <w:keepNext/>
        <w:keepLines/>
        <w:rPr>
          <w:rFonts w:ascii="Arial Narrow" w:eastAsia="Calibri" w:hAnsi="Arial Narrow" w:cstheme="minorHAnsi"/>
          <w:sz w:val="18"/>
          <w:szCs w:val="16"/>
        </w:rPr>
      </w:pPr>
      <w:r w:rsidRPr="009A12C5">
        <w:rPr>
          <w:rFonts w:ascii="Arial Narrow" w:eastAsia="Calibri" w:hAnsi="Arial Narrow" w:cstheme="minorHAnsi"/>
          <w:sz w:val="18"/>
          <w:szCs w:val="16"/>
          <w:vertAlign w:val="superscript"/>
        </w:rPr>
        <w:t>1</w:t>
      </w:r>
      <w:r w:rsidRPr="009A12C5">
        <w:rPr>
          <w:rFonts w:ascii="Arial Narrow" w:eastAsia="Calibri" w:hAnsi="Arial Narrow" w:cstheme="minorHAnsi"/>
          <w:sz w:val="18"/>
          <w:szCs w:val="16"/>
        </w:rPr>
        <w:t>Positive net monetary benefit indicates that the intervention is cost</w:t>
      </w:r>
      <w:r w:rsidR="003B5919">
        <w:rPr>
          <w:rFonts w:ascii="Arial Narrow" w:eastAsia="Calibri" w:hAnsi="Arial Narrow" w:cstheme="minorHAnsi"/>
          <w:sz w:val="18"/>
          <w:szCs w:val="16"/>
        </w:rPr>
        <w:t>-</w:t>
      </w:r>
      <w:r w:rsidRPr="009A12C5">
        <w:rPr>
          <w:rFonts w:ascii="Arial Narrow" w:eastAsia="Calibri" w:hAnsi="Arial Narrow" w:cstheme="minorHAnsi"/>
          <w:sz w:val="18"/>
          <w:szCs w:val="16"/>
        </w:rPr>
        <w:t>effective where the willingness-to-pay threshold is AU $45,000 per QALY.</w:t>
      </w:r>
    </w:p>
    <w:bookmarkEnd w:id="11"/>
    <w:p w14:paraId="0071B967" w14:textId="77777777" w:rsidR="003647F8" w:rsidRPr="00F715D1" w:rsidRDefault="003647F8" w:rsidP="003647F8">
      <w:pPr>
        <w:pStyle w:val="Heading1"/>
      </w:pPr>
      <w:r w:rsidRPr="00F715D1">
        <w:t>Applicant’s comments on MSAC’s Public Summary Document</w:t>
      </w:r>
    </w:p>
    <w:p w14:paraId="0A5C8B36" w14:textId="75120918" w:rsidR="00217FD6" w:rsidRPr="007B1CC6" w:rsidRDefault="00217FD6" w:rsidP="00217FD6">
      <w:pPr>
        <w:rPr>
          <w:szCs w:val="24"/>
        </w:rPr>
      </w:pPr>
      <w:r>
        <w:t xml:space="preserve">Johnson &amp; Johnson Medical (JJM) thanks MSAC for their time in evaluating this submission. In support of clinicians and patients, we remain committed to ensuring access to Mentor textured breast implants of which </w:t>
      </w:r>
      <w:r>
        <w:rPr>
          <w:lang w:val="en-US"/>
        </w:rPr>
        <w:t>safety and performance has been deemed acceptable by the TGA</w:t>
      </w:r>
      <w:r w:rsidR="00114D7C">
        <w:t xml:space="preserve">. </w:t>
      </w:r>
      <w:r>
        <w:t>We acknowledge MSAC’s advice with regards to the scope of th</w:t>
      </w:r>
      <w:r w:rsidR="00114D7C">
        <w:t xml:space="preserve">e review, however are concerned </w:t>
      </w:r>
      <w:r>
        <w:t>that this assessment is not an optimal approach to address the Office of Health Technology Assessment’s PLAC Criteria 5 of the Prostheses List. We are of the opinion, in light of this with no formal PICO agreement, that this could</w:t>
      </w:r>
      <w:r>
        <w:rPr>
          <w:i/>
          <w:iCs/>
        </w:rPr>
        <w:t xml:space="preserve"> </w:t>
      </w:r>
      <w:r>
        <w:t xml:space="preserve">unintentionally disadvantage JJM. As a result of this, JJM are concerned that there may be unintended consequences for patient and surgeon access to Mentor textured implants. MSAC has noted there are limitations to comparative clinical evidence which flows into the economic modelling. This assessment highlights the challenge to inform decision-making about the relative benefits of one type of permanent gel implant vs another for breast reconstructive surgery. The reality within the Prostheses List processes is, any change to the current reimbursement arrangements requires ongoing consultation with JJM, taking into account MSAC’s advise to PLAC, and clinical experts’ interest in retaining the availability of temporary textured expanders. </w:t>
      </w:r>
    </w:p>
    <w:p w14:paraId="7710A0D6" w14:textId="77777777" w:rsidR="003647F8" w:rsidRPr="00F715D1" w:rsidRDefault="003647F8" w:rsidP="003647F8">
      <w:pPr>
        <w:pStyle w:val="Heading1"/>
      </w:pPr>
      <w:r w:rsidRPr="00F715D1">
        <w:t>Further information on MSAC</w:t>
      </w:r>
    </w:p>
    <w:p w14:paraId="188AB54D" w14:textId="2B122C59" w:rsidR="00280050" w:rsidRPr="00114D7C" w:rsidRDefault="003647F8" w:rsidP="00114D7C">
      <w:pPr>
        <w:spacing w:after="240"/>
        <w:rPr>
          <w:szCs w:val="24"/>
        </w:rPr>
      </w:pPr>
      <w:r w:rsidRPr="00F715D1">
        <w:rPr>
          <w:szCs w:val="24"/>
        </w:rPr>
        <w:t xml:space="preserve">MSAC Terms of Reference and other information are available on the MSAC Website: </w:t>
      </w:r>
      <w:r>
        <w:rPr>
          <w:szCs w:val="24"/>
        </w:rPr>
        <w:br/>
      </w:r>
      <w:hyperlink r:id="rId12" w:tooltip="Link to Medical Services Advisory Committee website" w:history="1">
        <w:r w:rsidRPr="00F715D1">
          <w:rPr>
            <w:rStyle w:val="Hyperlink"/>
            <w:szCs w:val="24"/>
          </w:rPr>
          <w:t>visit the MSAC website</w:t>
        </w:r>
      </w:hyperlink>
    </w:p>
    <w:sectPr w:rsidR="00280050" w:rsidRPr="00114D7C" w:rsidSect="0057043B">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7350D" w16cid:durableId="2211FF84"/>
  <w16cid:commentId w16cid:paraId="7342C89F" w16cid:durableId="22126D7F"/>
  <w16cid:commentId w16cid:paraId="6B73B0E8" w16cid:durableId="2211FF85"/>
  <w16cid:commentId w16cid:paraId="3DF288FB" w16cid:durableId="22126D8B"/>
  <w16cid:commentId w16cid:paraId="3BC33EE8" w16cid:durableId="2211FF86"/>
  <w16cid:commentId w16cid:paraId="79674B76" w16cid:durableId="22126E01"/>
  <w16cid:commentId w16cid:paraId="1ED7B912" w16cid:durableId="2211FF87"/>
  <w16cid:commentId w16cid:paraId="2F903F7D" w16cid:durableId="22126E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DDB39" w14:textId="77777777" w:rsidR="00114D7C" w:rsidRDefault="00114D7C">
      <w:r>
        <w:separator/>
      </w:r>
    </w:p>
  </w:endnote>
  <w:endnote w:type="continuationSeparator" w:id="0">
    <w:p w14:paraId="1B77D881" w14:textId="77777777" w:rsidR="00114D7C" w:rsidRDefault="0011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401A" w14:textId="77777777" w:rsidR="00114D7C" w:rsidRDefault="0011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D93D7B6" w14:textId="485573BA" w:rsidR="00114D7C" w:rsidRDefault="00114D7C">
        <w:pPr>
          <w:pStyle w:val="Footer"/>
          <w:jc w:val="right"/>
        </w:pPr>
        <w:r>
          <w:fldChar w:fldCharType="begin"/>
        </w:r>
        <w:r>
          <w:instrText xml:space="preserve"> PAGE   \* MERGEFORMAT </w:instrText>
        </w:r>
        <w:r>
          <w:fldChar w:fldCharType="separate"/>
        </w:r>
        <w:r w:rsidR="002D29A3">
          <w:rPr>
            <w:noProof/>
          </w:rPr>
          <w:t>1</w:t>
        </w:r>
        <w:r>
          <w:rPr>
            <w:noProof/>
          </w:rPr>
          <w:fldChar w:fldCharType="end"/>
        </w:r>
      </w:p>
    </w:sdtContent>
  </w:sdt>
  <w:p w14:paraId="5BC74C1D" w14:textId="77777777" w:rsidR="00114D7C" w:rsidRDefault="00114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A246" w14:textId="77777777" w:rsidR="00114D7C" w:rsidRDefault="0011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D921" w14:textId="77777777" w:rsidR="00114D7C" w:rsidRDefault="00114D7C">
      <w:r>
        <w:separator/>
      </w:r>
    </w:p>
  </w:footnote>
  <w:footnote w:type="continuationSeparator" w:id="0">
    <w:p w14:paraId="31B7382F" w14:textId="77777777" w:rsidR="00114D7C" w:rsidRDefault="0011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1DB05" w14:textId="77777777" w:rsidR="00114D7C" w:rsidRDefault="00114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8F26" w14:textId="77777777" w:rsidR="00114D7C" w:rsidRDefault="00114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A24A" w14:textId="77777777" w:rsidR="00114D7C" w:rsidRDefault="00114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33E"/>
    <w:multiLevelType w:val="hybridMultilevel"/>
    <w:tmpl w:val="79A050A6"/>
    <w:lvl w:ilvl="0" w:tplc="709A5E5C">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04AF5798"/>
    <w:multiLevelType w:val="hybridMultilevel"/>
    <w:tmpl w:val="65D62D66"/>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6361A"/>
    <w:multiLevelType w:val="hybridMultilevel"/>
    <w:tmpl w:val="7B96C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F61E09"/>
    <w:multiLevelType w:val="hybridMultilevel"/>
    <w:tmpl w:val="01CA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22812"/>
    <w:multiLevelType w:val="hybridMultilevel"/>
    <w:tmpl w:val="DE8E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3289"/>
    <w:multiLevelType w:val="hybridMultilevel"/>
    <w:tmpl w:val="E1E25A0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255E37FF"/>
    <w:multiLevelType w:val="hybridMultilevel"/>
    <w:tmpl w:val="DDCEE2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E34BC"/>
    <w:multiLevelType w:val="hybridMultilevel"/>
    <w:tmpl w:val="8D3A7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FC031F"/>
    <w:multiLevelType w:val="hybridMultilevel"/>
    <w:tmpl w:val="CD8E42C4"/>
    <w:lvl w:ilvl="0" w:tplc="C184A09A">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35A4C"/>
    <w:multiLevelType w:val="hybridMultilevel"/>
    <w:tmpl w:val="D84EA6A2"/>
    <w:lvl w:ilvl="0" w:tplc="442A88E6">
      <w:start w:val="1"/>
      <w:numFmt w:val="decimal"/>
      <w:lvlText w:val="%1."/>
      <w:lvlJc w:val="left"/>
      <w:pPr>
        <w:ind w:left="720" w:hanging="360"/>
      </w:pPr>
    </w:lvl>
    <w:lvl w:ilvl="1" w:tplc="5BF2B62C">
      <w:start w:val="1"/>
      <w:numFmt w:val="lowerLetter"/>
      <w:lvlText w:val="%2."/>
      <w:lvlJc w:val="left"/>
      <w:pPr>
        <w:ind w:left="1440" w:hanging="360"/>
      </w:pPr>
    </w:lvl>
    <w:lvl w:ilvl="2" w:tplc="644E897E">
      <w:start w:val="1"/>
      <w:numFmt w:val="lowerRoman"/>
      <w:lvlText w:val="%3."/>
      <w:lvlJc w:val="right"/>
      <w:pPr>
        <w:ind w:left="2160" w:hanging="180"/>
      </w:pPr>
    </w:lvl>
    <w:lvl w:ilvl="3" w:tplc="140085B2">
      <w:start w:val="1"/>
      <w:numFmt w:val="decimal"/>
      <w:lvlText w:val="%4."/>
      <w:lvlJc w:val="left"/>
      <w:pPr>
        <w:ind w:left="2880" w:hanging="360"/>
      </w:pPr>
    </w:lvl>
    <w:lvl w:ilvl="4" w:tplc="7EDEADC8">
      <w:start w:val="1"/>
      <w:numFmt w:val="lowerLetter"/>
      <w:lvlText w:val="%5."/>
      <w:lvlJc w:val="left"/>
      <w:pPr>
        <w:ind w:left="3600" w:hanging="360"/>
      </w:pPr>
    </w:lvl>
    <w:lvl w:ilvl="5" w:tplc="614AE894">
      <w:start w:val="1"/>
      <w:numFmt w:val="lowerRoman"/>
      <w:lvlText w:val="%6."/>
      <w:lvlJc w:val="right"/>
      <w:pPr>
        <w:ind w:left="4320" w:hanging="180"/>
      </w:pPr>
    </w:lvl>
    <w:lvl w:ilvl="6" w:tplc="11CAC2DA">
      <w:start w:val="1"/>
      <w:numFmt w:val="decimal"/>
      <w:lvlText w:val="%7."/>
      <w:lvlJc w:val="left"/>
      <w:pPr>
        <w:ind w:left="5040" w:hanging="360"/>
      </w:pPr>
    </w:lvl>
    <w:lvl w:ilvl="7" w:tplc="B634854C">
      <w:start w:val="1"/>
      <w:numFmt w:val="lowerLetter"/>
      <w:lvlText w:val="%8."/>
      <w:lvlJc w:val="left"/>
      <w:pPr>
        <w:ind w:left="5760" w:hanging="360"/>
      </w:pPr>
    </w:lvl>
    <w:lvl w:ilvl="8" w:tplc="4AFAF1C6">
      <w:start w:val="1"/>
      <w:numFmt w:val="lowerRoman"/>
      <w:lvlText w:val="%9."/>
      <w:lvlJc w:val="right"/>
      <w:pPr>
        <w:ind w:left="6480" w:hanging="180"/>
      </w:pPr>
    </w:lvl>
  </w:abstractNum>
  <w:abstractNum w:abstractNumId="11" w15:restartNumberingAfterBreak="0">
    <w:nsid w:val="520D1570"/>
    <w:multiLevelType w:val="hybridMultilevel"/>
    <w:tmpl w:val="4EC06BA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1F23E7"/>
    <w:multiLevelType w:val="hybridMultilevel"/>
    <w:tmpl w:val="29388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2E07BB"/>
    <w:multiLevelType w:val="hybridMultilevel"/>
    <w:tmpl w:val="95C8A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B3B3D"/>
    <w:multiLevelType w:val="hybridMultilevel"/>
    <w:tmpl w:val="23BAD9AC"/>
    <w:lvl w:ilvl="0" w:tplc="1384F62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5C0F7F"/>
    <w:multiLevelType w:val="hybridMultilevel"/>
    <w:tmpl w:val="5E5ECE8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703B5608"/>
    <w:multiLevelType w:val="hybridMultilevel"/>
    <w:tmpl w:val="773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6"/>
  </w:num>
  <w:num w:numId="4">
    <w:abstractNumId w:val="13"/>
  </w:num>
  <w:num w:numId="5">
    <w:abstractNumId w:val="5"/>
  </w:num>
  <w:num w:numId="6">
    <w:abstractNumId w:val="9"/>
  </w:num>
  <w:num w:numId="7">
    <w:abstractNumId w:val="1"/>
  </w:num>
  <w:num w:numId="8">
    <w:abstractNumId w:val="0"/>
  </w:num>
  <w:num w:numId="9">
    <w:abstractNumId w:val="11"/>
  </w:num>
  <w:num w:numId="10">
    <w:abstractNumId w:val="7"/>
  </w:num>
  <w:num w:numId="11">
    <w:abstractNumId w:val="6"/>
  </w:num>
  <w:num w:numId="12">
    <w:abstractNumId w:val="10"/>
  </w:num>
  <w:num w:numId="13">
    <w:abstractNumId w:val="12"/>
  </w:num>
  <w:num w:numId="14">
    <w:abstractNumId w:val="3"/>
  </w:num>
  <w:num w:numId="15">
    <w:abstractNumId w:val="15"/>
  </w:num>
  <w:num w:numId="16">
    <w:abstractNumId w:val="2"/>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F8"/>
    <w:rsid w:val="00000314"/>
    <w:rsid w:val="00004260"/>
    <w:rsid w:val="00014C3D"/>
    <w:rsid w:val="00017FA7"/>
    <w:rsid w:val="0002774D"/>
    <w:rsid w:val="000474AD"/>
    <w:rsid w:val="00067BE7"/>
    <w:rsid w:val="00071433"/>
    <w:rsid w:val="00087D7C"/>
    <w:rsid w:val="000A3AAB"/>
    <w:rsid w:val="000A49DD"/>
    <w:rsid w:val="000B34E4"/>
    <w:rsid w:val="000B3732"/>
    <w:rsid w:val="000B4572"/>
    <w:rsid w:val="000F26B4"/>
    <w:rsid w:val="000F6EB9"/>
    <w:rsid w:val="001055CA"/>
    <w:rsid w:val="00114D7C"/>
    <w:rsid w:val="00117897"/>
    <w:rsid w:val="00120505"/>
    <w:rsid w:val="0012667B"/>
    <w:rsid w:val="00126DC7"/>
    <w:rsid w:val="00143A01"/>
    <w:rsid w:val="00147355"/>
    <w:rsid w:val="00151757"/>
    <w:rsid w:val="00154A5E"/>
    <w:rsid w:val="0017323C"/>
    <w:rsid w:val="00180662"/>
    <w:rsid w:val="0019375C"/>
    <w:rsid w:val="00195754"/>
    <w:rsid w:val="001A7EE3"/>
    <w:rsid w:val="001B4CFF"/>
    <w:rsid w:val="001C6D56"/>
    <w:rsid w:val="001D2ECA"/>
    <w:rsid w:val="002039B4"/>
    <w:rsid w:val="002049DD"/>
    <w:rsid w:val="00204CDF"/>
    <w:rsid w:val="00206EA1"/>
    <w:rsid w:val="00217FD6"/>
    <w:rsid w:val="002212F1"/>
    <w:rsid w:val="00221DAB"/>
    <w:rsid w:val="0022584A"/>
    <w:rsid w:val="00230A57"/>
    <w:rsid w:val="00240B7A"/>
    <w:rsid w:val="0025213B"/>
    <w:rsid w:val="0025574C"/>
    <w:rsid w:val="00256B6C"/>
    <w:rsid w:val="0026051C"/>
    <w:rsid w:val="002644E6"/>
    <w:rsid w:val="00274CAB"/>
    <w:rsid w:val="00280050"/>
    <w:rsid w:val="002865DD"/>
    <w:rsid w:val="00295E89"/>
    <w:rsid w:val="00296707"/>
    <w:rsid w:val="002A1ADC"/>
    <w:rsid w:val="002C5C15"/>
    <w:rsid w:val="002D29A3"/>
    <w:rsid w:val="002D636F"/>
    <w:rsid w:val="002E148C"/>
    <w:rsid w:val="002E48EE"/>
    <w:rsid w:val="002F027B"/>
    <w:rsid w:val="0031426B"/>
    <w:rsid w:val="00322300"/>
    <w:rsid w:val="00323375"/>
    <w:rsid w:val="00342447"/>
    <w:rsid w:val="00345F7C"/>
    <w:rsid w:val="003647F8"/>
    <w:rsid w:val="00381524"/>
    <w:rsid w:val="003921A2"/>
    <w:rsid w:val="0039237B"/>
    <w:rsid w:val="00392497"/>
    <w:rsid w:val="003A0522"/>
    <w:rsid w:val="003A09A4"/>
    <w:rsid w:val="003A15A0"/>
    <w:rsid w:val="003A1710"/>
    <w:rsid w:val="003A28EE"/>
    <w:rsid w:val="003A36A7"/>
    <w:rsid w:val="003A673A"/>
    <w:rsid w:val="003B5919"/>
    <w:rsid w:val="003D52DE"/>
    <w:rsid w:val="003E0FC0"/>
    <w:rsid w:val="003E2EE2"/>
    <w:rsid w:val="0040241A"/>
    <w:rsid w:val="004153B2"/>
    <w:rsid w:val="00425D68"/>
    <w:rsid w:val="00435259"/>
    <w:rsid w:val="00436235"/>
    <w:rsid w:val="0047200B"/>
    <w:rsid w:val="00473DC1"/>
    <w:rsid w:val="004A7346"/>
    <w:rsid w:val="004C2611"/>
    <w:rsid w:val="004D1555"/>
    <w:rsid w:val="004D7964"/>
    <w:rsid w:val="004F2307"/>
    <w:rsid w:val="004F545D"/>
    <w:rsid w:val="004F6ACB"/>
    <w:rsid w:val="004F7E6D"/>
    <w:rsid w:val="00505213"/>
    <w:rsid w:val="005158C4"/>
    <w:rsid w:val="00525752"/>
    <w:rsid w:val="00526953"/>
    <w:rsid w:val="005307F0"/>
    <w:rsid w:val="00531279"/>
    <w:rsid w:val="005429E2"/>
    <w:rsid w:val="00554F49"/>
    <w:rsid w:val="00563D47"/>
    <w:rsid w:val="0057043B"/>
    <w:rsid w:val="005709FF"/>
    <w:rsid w:val="005819DB"/>
    <w:rsid w:val="005A235E"/>
    <w:rsid w:val="005B687A"/>
    <w:rsid w:val="006043CA"/>
    <w:rsid w:val="006334ED"/>
    <w:rsid w:val="0063471C"/>
    <w:rsid w:val="006448A1"/>
    <w:rsid w:val="006460A3"/>
    <w:rsid w:val="0064744A"/>
    <w:rsid w:val="006508A1"/>
    <w:rsid w:val="00651AA1"/>
    <w:rsid w:val="006570AD"/>
    <w:rsid w:val="006906FB"/>
    <w:rsid w:val="00694C34"/>
    <w:rsid w:val="0069693D"/>
    <w:rsid w:val="006A06A7"/>
    <w:rsid w:val="006A578D"/>
    <w:rsid w:val="006B407A"/>
    <w:rsid w:val="006B673C"/>
    <w:rsid w:val="006B7085"/>
    <w:rsid w:val="006C1184"/>
    <w:rsid w:val="006C35BF"/>
    <w:rsid w:val="006F395E"/>
    <w:rsid w:val="00705BD8"/>
    <w:rsid w:val="00716341"/>
    <w:rsid w:val="007226E1"/>
    <w:rsid w:val="00730CF2"/>
    <w:rsid w:val="00732A99"/>
    <w:rsid w:val="00734690"/>
    <w:rsid w:val="007466B2"/>
    <w:rsid w:val="00750703"/>
    <w:rsid w:val="00753952"/>
    <w:rsid w:val="00761E01"/>
    <w:rsid w:val="007630B4"/>
    <w:rsid w:val="00793E8A"/>
    <w:rsid w:val="00796E9F"/>
    <w:rsid w:val="007A30F8"/>
    <w:rsid w:val="007A706E"/>
    <w:rsid w:val="007B02E6"/>
    <w:rsid w:val="007B1015"/>
    <w:rsid w:val="007B17D8"/>
    <w:rsid w:val="007C3E90"/>
    <w:rsid w:val="007C4154"/>
    <w:rsid w:val="007C6288"/>
    <w:rsid w:val="007C7454"/>
    <w:rsid w:val="007D29D5"/>
    <w:rsid w:val="007D3CD0"/>
    <w:rsid w:val="007F6932"/>
    <w:rsid w:val="008059BD"/>
    <w:rsid w:val="00810E6F"/>
    <w:rsid w:val="008121E0"/>
    <w:rsid w:val="00822EBA"/>
    <w:rsid w:val="00826A92"/>
    <w:rsid w:val="00831309"/>
    <w:rsid w:val="00831FC4"/>
    <w:rsid w:val="00836D5B"/>
    <w:rsid w:val="00851074"/>
    <w:rsid w:val="008518AC"/>
    <w:rsid w:val="00860FFB"/>
    <w:rsid w:val="00861B8F"/>
    <w:rsid w:val="008712C6"/>
    <w:rsid w:val="008737C7"/>
    <w:rsid w:val="008835F9"/>
    <w:rsid w:val="008849E7"/>
    <w:rsid w:val="00892A3E"/>
    <w:rsid w:val="0089340D"/>
    <w:rsid w:val="008B409A"/>
    <w:rsid w:val="008C6D96"/>
    <w:rsid w:val="008D1B2D"/>
    <w:rsid w:val="008D501B"/>
    <w:rsid w:val="008D79A2"/>
    <w:rsid w:val="008E5CCE"/>
    <w:rsid w:val="008F0061"/>
    <w:rsid w:val="008F3207"/>
    <w:rsid w:val="00900296"/>
    <w:rsid w:val="00902404"/>
    <w:rsid w:val="00926657"/>
    <w:rsid w:val="0093359F"/>
    <w:rsid w:val="00935856"/>
    <w:rsid w:val="00961B60"/>
    <w:rsid w:val="009760FB"/>
    <w:rsid w:val="009873C6"/>
    <w:rsid w:val="009903C0"/>
    <w:rsid w:val="00997A2D"/>
    <w:rsid w:val="009A08B5"/>
    <w:rsid w:val="009A12C5"/>
    <w:rsid w:val="009A4569"/>
    <w:rsid w:val="009A6895"/>
    <w:rsid w:val="009D0D65"/>
    <w:rsid w:val="009E0458"/>
    <w:rsid w:val="009E75A8"/>
    <w:rsid w:val="009E7F44"/>
    <w:rsid w:val="00A076DB"/>
    <w:rsid w:val="00A15F4F"/>
    <w:rsid w:val="00A35E6F"/>
    <w:rsid w:val="00A4096F"/>
    <w:rsid w:val="00A478BE"/>
    <w:rsid w:val="00A50F2A"/>
    <w:rsid w:val="00A5414D"/>
    <w:rsid w:val="00A60F2F"/>
    <w:rsid w:val="00A806A8"/>
    <w:rsid w:val="00A80A50"/>
    <w:rsid w:val="00A81E84"/>
    <w:rsid w:val="00AA04F1"/>
    <w:rsid w:val="00AA1A07"/>
    <w:rsid w:val="00AB20A2"/>
    <w:rsid w:val="00AB4494"/>
    <w:rsid w:val="00AB4810"/>
    <w:rsid w:val="00B050AC"/>
    <w:rsid w:val="00B07467"/>
    <w:rsid w:val="00B50EE1"/>
    <w:rsid w:val="00B62091"/>
    <w:rsid w:val="00B63E25"/>
    <w:rsid w:val="00B7038D"/>
    <w:rsid w:val="00B73FD9"/>
    <w:rsid w:val="00B769B6"/>
    <w:rsid w:val="00B82653"/>
    <w:rsid w:val="00B84CED"/>
    <w:rsid w:val="00B91F20"/>
    <w:rsid w:val="00BB1794"/>
    <w:rsid w:val="00BC0C4B"/>
    <w:rsid w:val="00BC35FD"/>
    <w:rsid w:val="00BC6F21"/>
    <w:rsid w:val="00BD0D4B"/>
    <w:rsid w:val="00BE2210"/>
    <w:rsid w:val="00BE2DB9"/>
    <w:rsid w:val="00BF0A71"/>
    <w:rsid w:val="00BF702A"/>
    <w:rsid w:val="00C027A5"/>
    <w:rsid w:val="00C1197E"/>
    <w:rsid w:val="00C16A9C"/>
    <w:rsid w:val="00C255BD"/>
    <w:rsid w:val="00C30B45"/>
    <w:rsid w:val="00C470DF"/>
    <w:rsid w:val="00C616AB"/>
    <w:rsid w:val="00C73457"/>
    <w:rsid w:val="00C735D6"/>
    <w:rsid w:val="00C74548"/>
    <w:rsid w:val="00C81F2F"/>
    <w:rsid w:val="00C90E3E"/>
    <w:rsid w:val="00CA56C6"/>
    <w:rsid w:val="00CE3C1A"/>
    <w:rsid w:val="00D22416"/>
    <w:rsid w:val="00D22988"/>
    <w:rsid w:val="00D23473"/>
    <w:rsid w:val="00D262A6"/>
    <w:rsid w:val="00D30745"/>
    <w:rsid w:val="00D44320"/>
    <w:rsid w:val="00D44480"/>
    <w:rsid w:val="00D44874"/>
    <w:rsid w:val="00D45725"/>
    <w:rsid w:val="00D635A8"/>
    <w:rsid w:val="00D7330C"/>
    <w:rsid w:val="00D865DC"/>
    <w:rsid w:val="00D947FE"/>
    <w:rsid w:val="00DA361F"/>
    <w:rsid w:val="00DA59BC"/>
    <w:rsid w:val="00DB1C29"/>
    <w:rsid w:val="00DB7EE4"/>
    <w:rsid w:val="00DD1FC3"/>
    <w:rsid w:val="00DD78CB"/>
    <w:rsid w:val="00DF57CC"/>
    <w:rsid w:val="00E01E23"/>
    <w:rsid w:val="00E0218B"/>
    <w:rsid w:val="00E07DB6"/>
    <w:rsid w:val="00E10182"/>
    <w:rsid w:val="00E33630"/>
    <w:rsid w:val="00E354A8"/>
    <w:rsid w:val="00E35983"/>
    <w:rsid w:val="00E4010D"/>
    <w:rsid w:val="00E44AEB"/>
    <w:rsid w:val="00E6093B"/>
    <w:rsid w:val="00E61DF5"/>
    <w:rsid w:val="00E62033"/>
    <w:rsid w:val="00E64234"/>
    <w:rsid w:val="00E80B67"/>
    <w:rsid w:val="00E80BD5"/>
    <w:rsid w:val="00E828DE"/>
    <w:rsid w:val="00E866DD"/>
    <w:rsid w:val="00E94A3E"/>
    <w:rsid w:val="00EA046C"/>
    <w:rsid w:val="00EA1F1F"/>
    <w:rsid w:val="00EA5D0A"/>
    <w:rsid w:val="00EA7B77"/>
    <w:rsid w:val="00EB2F7F"/>
    <w:rsid w:val="00EB72DB"/>
    <w:rsid w:val="00EC48B7"/>
    <w:rsid w:val="00EF7624"/>
    <w:rsid w:val="00F00A0F"/>
    <w:rsid w:val="00F03D7C"/>
    <w:rsid w:val="00F05C1E"/>
    <w:rsid w:val="00F07661"/>
    <w:rsid w:val="00F076FD"/>
    <w:rsid w:val="00F11030"/>
    <w:rsid w:val="00F12DBB"/>
    <w:rsid w:val="00F14D6C"/>
    <w:rsid w:val="00F238D7"/>
    <w:rsid w:val="00F24BC0"/>
    <w:rsid w:val="00F367CB"/>
    <w:rsid w:val="00F466F3"/>
    <w:rsid w:val="00F47CC2"/>
    <w:rsid w:val="00F51AD8"/>
    <w:rsid w:val="00F5469B"/>
    <w:rsid w:val="00F642E1"/>
    <w:rsid w:val="00F75BDD"/>
    <w:rsid w:val="00F8237F"/>
    <w:rsid w:val="00F8683A"/>
    <w:rsid w:val="00F93745"/>
    <w:rsid w:val="00FB0580"/>
    <w:rsid w:val="00FB1DDC"/>
    <w:rsid w:val="00FB2542"/>
    <w:rsid w:val="00FB4491"/>
    <w:rsid w:val="00FB47EB"/>
    <w:rsid w:val="00FB4E6B"/>
    <w:rsid w:val="00FC1A88"/>
    <w:rsid w:val="00FC264D"/>
    <w:rsid w:val="00FC2E2F"/>
    <w:rsid w:val="00FD5FC9"/>
    <w:rsid w:val="00FD7076"/>
    <w:rsid w:val="00FE5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4A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F8"/>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3647F8"/>
    <w:pPr>
      <w:keepNext/>
      <w:keepLines/>
      <w:numPr>
        <w:numId w:val="1"/>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F93745"/>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25574C"/>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6570A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706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806A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47F8"/>
    <w:rPr>
      <w:rFonts w:ascii="Arial" w:eastAsia="Times New Roman" w:hAnsi="Arial"/>
      <w:b/>
      <w:bCs/>
      <w:szCs w:val="28"/>
      <w:lang w:eastAsia="en-AU"/>
    </w:rPr>
  </w:style>
  <w:style w:type="character" w:styleId="Hyperlink">
    <w:name w:val="Hyperlink"/>
    <w:basedOn w:val="DefaultParagraphFont"/>
    <w:uiPriority w:val="99"/>
    <w:rsid w:val="003647F8"/>
    <w:rPr>
      <w:rFonts w:cs="Times New Roman"/>
      <w:color w:val="0000FF"/>
      <w:u w:val="single"/>
    </w:rPr>
  </w:style>
  <w:style w:type="paragraph" w:styleId="ListParagraph">
    <w:name w:val="List Paragraph"/>
    <w:aliases w:val="Styl moj,Akapit z listą1,Akapit z listą11,#List Paragraph,Recommendation,List Paragraph1,List Paragraph11,L,Bullet Level 1,Bullet Point,Bullet point,Bulletr List Paragraph,Content descriptions,FooterText,List Bullet 1,List Paragraph2"/>
    <w:basedOn w:val="Normal"/>
    <w:link w:val="ListParagraphChar"/>
    <w:uiPriority w:val="34"/>
    <w:qFormat/>
    <w:rsid w:val="003647F8"/>
    <w:pPr>
      <w:ind w:left="720"/>
      <w:contextualSpacing/>
    </w:pPr>
  </w:style>
  <w:style w:type="paragraph" w:styleId="Footer">
    <w:name w:val="footer"/>
    <w:basedOn w:val="Normal"/>
    <w:link w:val="FooterChar"/>
    <w:uiPriority w:val="99"/>
    <w:rsid w:val="003647F8"/>
    <w:pPr>
      <w:tabs>
        <w:tab w:val="center" w:pos="4513"/>
        <w:tab w:val="right" w:pos="9026"/>
      </w:tabs>
    </w:pPr>
  </w:style>
  <w:style w:type="character" w:customStyle="1" w:styleId="FooterChar">
    <w:name w:val="Footer Char"/>
    <w:basedOn w:val="DefaultParagraphFont"/>
    <w:link w:val="Footer"/>
    <w:uiPriority w:val="99"/>
    <w:rsid w:val="003647F8"/>
    <w:rPr>
      <w:rFonts w:eastAsia="Times New Roman"/>
      <w:szCs w:val="20"/>
      <w:lang w:eastAsia="en-AU"/>
    </w:rPr>
  </w:style>
  <w:style w:type="paragraph" w:customStyle="1" w:styleId="Default">
    <w:name w:val="Default"/>
    <w:rsid w:val="003647F8"/>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3647F8"/>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3647F8"/>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3647F8"/>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3647F8"/>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F93745"/>
    <w:rPr>
      <w:rFonts w:eastAsiaTheme="majorEastAsia" w:cstheme="majorBidi"/>
      <w:i/>
      <w:szCs w:val="26"/>
      <w:lang w:eastAsia="en-AU"/>
    </w:rPr>
  </w:style>
  <w:style w:type="table" w:styleId="TableGrid">
    <w:name w:val="Table Grid"/>
    <w:aliases w:val="Summary box,Table Gridbeth,RTI AMCP Table,new style,ASD Table"/>
    <w:basedOn w:val="TableNormal"/>
    <w:uiPriority w:val="39"/>
    <w:rsid w:val="00425D6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341"/>
    <w:rPr>
      <w:sz w:val="16"/>
      <w:szCs w:val="16"/>
    </w:rPr>
  </w:style>
  <w:style w:type="paragraph" w:styleId="CommentText">
    <w:name w:val="annotation text"/>
    <w:basedOn w:val="Normal"/>
    <w:link w:val="CommentTextChar"/>
    <w:uiPriority w:val="99"/>
    <w:unhideWhenUsed/>
    <w:rsid w:val="00716341"/>
    <w:rPr>
      <w:sz w:val="20"/>
    </w:rPr>
  </w:style>
  <w:style w:type="character" w:customStyle="1" w:styleId="CommentTextChar">
    <w:name w:val="Comment Text Char"/>
    <w:basedOn w:val="DefaultParagraphFont"/>
    <w:link w:val="CommentText"/>
    <w:uiPriority w:val="99"/>
    <w:rsid w:val="00716341"/>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16341"/>
    <w:rPr>
      <w:b/>
      <w:bCs/>
    </w:rPr>
  </w:style>
  <w:style w:type="character" w:customStyle="1" w:styleId="CommentSubjectChar">
    <w:name w:val="Comment Subject Char"/>
    <w:basedOn w:val="CommentTextChar"/>
    <w:link w:val="CommentSubject"/>
    <w:uiPriority w:val="99"/>
    <w:semiHidden/>
    <w:rsid w:val="00716341"/>
    <w:rPr>
      <w:rFonts w:eastAsia="Times New Roman"/>
      <w:b/>
      <w:bCs/>
      <w:sz w:val="20"/>
      <w:szCs w:val="20"/>
      <w:lang w:eastAsia="en-AU"/>
    </w:rPr>
  </w:style>
  <w:style w:type="paragraph" w:styleId="BalloonText">
    <w:name w:val="Balloon Text"/>
    <w:basedOn w:val="Normal"/>
    <w:link w:val="BalloonTextChar"/>
    <w:uiPriority w:val="99"/>
    <w:semiHidden/>
    <w:unhideWhenUsed/>
    <w:rsid w:val="00716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341"/>
    <w:rPr>
      <w:rFonts w:ascii="Segoe UI" w:eastAsia="Times New Roman" w:hAnsi="Segoe UI" w:cs="Segoe UI"/>
      <w:sz w:val="18"/>
      <w:szCs w:val="18"/>
      <w:lang w:eastAsia="en-AU"/>
    </w:rPr>
  </w:style>
  <w:style w:type="paragraph" w:styleId="FootnoteText">
    <w:name w:val="footnote text"/>
    <w:basedOn w:val="Normal"/>
    <w:link w:val="FootnoteTextChar"/>
    <w:uiPriority w:val="99"/>
    <w:unhideWhenUsed/>
    <w:rsid w:val="007A30F8"/>
    <w:rPr>
      <w:sz w:val="20"/>
    </w:rPr>
  </w:style>
  <w:style w:type="character" w:customStyle="1" w:styleId="FootnoteTextChar">
    <w:name w:val="Footnote Text Char"/>
    <w:basedOn w:val="DefaultParagraphFont"/>
    <w:link w:val="FootnoteText"/>
    <w:uiPriority w:val="99"/>
    <w:rsid w:val="007A30F8"/>
    <w:rPr>
      <w:rFonts w:eastAsia="Times New Roman"/>
      <w:sz w:val="20"/>
      <w:szCs w:val="20"/>
      <w:lang w:eastAsia="en-AU"/>
    </w:rPr>
  </w:style>
  <w:style w:type="character" w:styleId="FootnoteReference">
    <w:name w:val="footnote reference"/>
    <w:basedOn w:val="DefaultParagraphFont"/>
    <w:uiPriority w:val="99"/>
    <w:unhideWhenUsed/>
    <w:rsid w:val="007A30F8"/>
    <w:rPr>
      <w:vertAlign w:val="superscript"/>
    </w:rPr>
  </w:style>
  <w:style w:type="paragraph" w:customStyle="1" w:styleId="01TableHeading">
    <w:name w:val="01. Table Heading"/>
    <w:qFormat/>
    <w:rsid w:val="000F26B4"/>
    <w:pPr>
      <w:spacing w:before="80" w:after="40"/>
    </w:pPr>
    <w:rPr>
      <w:rFonts w:ascii="Calibri" w:eastAsia="Times New Roman" w:hAnsi="Calibri"/>
      <w:b/>
      <w:sz w:val="18"/>
      <w:szCs w:val="22"/>
      <w:lang w:val="en-US" w:eastAsia="ja-JP"/>
    </w:rPr>
  </w:style>
  <w:style w:type="paragraph" w:customStyle="1" w:styleId="05Tabletext22">
    <w:name w:val="05. Table text 2:2"/>
    <w:link w:val="05Tabletext22Char"/>
    <w:qFormat/>
    <w:rsid w:val="000F26B4"/>
    <w:pPr>
      <w:spacing w:before="40" w:after="40" w:line="240" w:lineRule="auto"/>
    </w:pPr>
    <w:rPr>
      <w:rFonts w:ascii="Calibri" w:eastAsia="Times New Roman" w:hAnsi="Calibri"/>
      <w:sz w:val="18"/>
      <w:szCs w:val="22"/>
      <w:lang w:val="en-US" w:eastAsia="ja-JP"/>
    </w:rPr>
  </w:style>
  <w:style w:type="character" w:customStyle="1" w:styleId="05Tabletext22Char">
    <w:name w:val="05. Table text 2:2 Char"/>
    <w:link w:val="05Tabletext22"/>
    <w:rsid w:val="000F26B4"/>
    <w:rPr>
      <w:rFonts w:ascii="Calibri" w:eastAsia="Times New Roman" w:hAnsi="Calibri"/>
      <w:sz w:val="18"/>
      <w:szCs w:val="22"/>
      <w:lang w:val="en-US" w:eastAsia="ja-JP"/>
    </w:rPr>
  </w:style>
  <w:style w:type="character" w:customStyle="1" w:styleId="Heading4Char">
    <w:name w:val="Heading 4 Char"/>
    <w:basedOn w:val="DefaultParagraphFont"/>
    <w:link w:val="Heading4"/>
    <w:uiPriority w:val="9"/>
    <w:rsid w:val="006570AD"/>
    <w:rPr>
      <w:rFonts w:asciiTheme="majorHAnsi" w:eastAsiaTheme="majorEastAsia" w:hAnsiTheme="majorHAnsi" w:cstheme="majorBidi"/>
      <w:i/>
      <w:iCs/>
      <w:color w:val="2E74B5" w:themeColor="accent1" w:themeShade="BF"/>
      <w:szCs w:val="20"/>
      <w:lang w:eastAsia="en-AU"/>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F93745"/>
    <w:pPr>
      <w:keepNext/>
      <w:spacing w:after="40"/>
      <w:jc w:val="both"/>
      <w:outlineLvl w:val="4"/>
    </w:pPr>
    <w:rPr>
      <w:rFonts w:ascii="Arial Narrow" w:hAnsi="Arial Narrow"/>
      <w:b/>
      <w:iCs/>
      <w:sz w:val="20"/>
      <w:szCs w:val="18"/>
      <w:lang w:eastAsia="ja-JP"/>
    </w:rPr>
  </w:style>
  <w:style w:type="paragraph" w:customStyle="1" w:styleId="10Tablefootnotes">
    <w:name w:val="10. Table footnotes"/>
    <w:link w:val="10TablefootnotesChar"/>
    <w:qFormat/>
    <w:rsid w:val="007A706E"/>
    <w:pPr>
      <w:keepNext/>
      <w:spacing w:after="0"/>
    </w:pPr>
    <w:rPr>
      <w:rFonts w:ascii="Calibri" w:eastAsia="Times New Roman" w:hAnsi="Calibri"/>
      <w:sz w:val="16"/>
      <w:szCs w:val="22"/>
      <w:lang w:val="en-US" w:eastAsia="ja-JP"/>
    </w:rPr>
  </w:style>
  <w:style w:type="character" w:customStyle="1" w:styleId="10TablefootnotesChar">
    <w:name w:val="10. Table footnotes Char"/>
    <w:link w:val="10Tablefootnotes"/>
    <w:rsid w:val="007A706E"/>
    <w:rPr>
      <w:rFonts w:ascii="Calibri" w:eastAsia="Times New Roman" w:hAnsi="Calibri"/>
      <w:sz w:val="16"/>
      <w:szCs w:val="22"/>
      <w:lang w:val="en-US" w:eastAsia="ja-JP"/>
    </w:rPr>
  </w:style>
  <w:style w:type="paragraph" w:customStyle="1" w:styleId="03Tablesubheading">
    <w:name w:val="03. Table subheading"/>
    <w:qFormat/>
    <w:rsid w:val="007A706E"/>
    <w:pPr>
      <w:keepNext/>
      <w:spacing w:before="40" w:after="40"/>
    </w:pPr>
    <w:rPr>
      <w:rFonts w:ascii="Calibri" w:eastAsia="Times New Roman" w:hAnsi="Calibri"/>
      <w:b/>
      <w:sz w:val="18"/>
      <w:szCs w:val="22"/>
      <w:lang w:val="en-US" w:eastAsia="ja-JP"/>
    </w:rPr>
  </w:style>
  <w:style w:type="paragraph" w:customStyle="1" w:styleId="Tablefootnoteslast-nostick">
    <w:name w:val="Table footnotes last - no stick"/>
    <w:next w:val="BodyText"/>
    <w:qFormat/>
    <w:rsid w:val="007A706E"/>
    <w:pPr>
      <w:spacing w:after="360"/>
    </w:pPr>
    <w:rPr>
      <w:rFonts w:ascii="Calibri" w:eastAsia="Times New Roman" w:hAnsi="Calibri"/>
      <w:sz w:val="16"/>
      <w:szCs w:val="22"/>
      <w:lang w:val="en-US" w:eastAsia="ja-JP"/>
    </w:rPr>
  </w:style>
  <w:style w:type="paragraph" w:styleId="BodyText">
    <w:name w:val="Body Text"/>
    <w:basedOn w:val="Normal"/>
    <w:link w:val="BodyTextChar"/>
    <w:uiPriority w:val="99"/>
    <w:unhideWhenUsed/>
    <w:rsid w:val="007A706E"/>
    <w:pPr>
      <w:spacing w:after="120"/>
    </w:pPr>
  </w:style>
  <w:style w:type="character" w:customStyle="1" w:styleId="BodyTextChar">
    <w:name w:val="Body Text Char"/>
    <w:basedOn w:val="DefaultParagraphFont"/>
    <w:link w:val="BodyText"/>
    <w:uiPriority w:val="99"/>
    <w:rsid w:val="007A706E"/>
    <w:rPr>
      <w:rFonts w:eastAsia="Times New Roman"/>
      <w:szCs w:val="20"/>
      <w:lang w:eastAsia="en-AU"/>
    </w:rPr>
  </w:style>
  <w:style w:type="character" w:customStyle="1" w:styleId="Heading5Char">
    <w:name w:val="Heading 5 Char"/>
    <w:basedOn w:val="DefaultParagraphFont"/>
    <w:link w:val="Heading5"/>
    <w:uiPriority w:val="9"/>
    <w:semiHidden/>
    <w:rsid w:val="007A706E"/>
    <w:rPr>
      <w:rFonts w:asciiTheme="majorHAnsi" w:eastAsiaTheme="majorEastAsia" w:hAnsiTheme="majorHAnsi" w:cstheme="majorBidi"/>
      <w:color w:val="2E74B5" w:themeColor="accent1" w:themeShade="BF"/>
      <w:szCs w:val="20"/>
      <w:lang w:eastAsia="en-AU"/>
    </w:rPr>
  </w:style>
  <w:style w:type="paragraph" w:customStyle="1" w:styleId="08Tablefootnoteslast-nostick">
    <w:name w:val="08. Table footnotes last - no stick"/>
    <w:next w:val="BodyText"/>
    <w:qFormat/>
    <w:rsid w:val="007A706E"/>
    <w:pPr>
      <w:spacing w:after="360"/>
    </w:pPr>
    <w:rPr>
      <w:rFonts w:ascii="Calibri" w:eastAsia="Times New Roman" w:hAnsi="Calibri"/>
      <w:sz w:val="16"/>
      <w:szCs w:val="22"/>
      <w:lang w:val="en-US" w:eastAsia="ja-JP"/>
    </w:rPr>
  </w:style>
  <w:style w:type="paragraph" w:customStyle="1" w:styleId="11Tablefootnoteslast-nostick">
    <w:name w:val="11. Table footnotes last - no stick"/>
    <w:next w:val="BodyText"/>
    <w:qFormat/>
    <w:rsid w:val="007A706E"/>
    <w:pPr>
      <w:spacing w:after="360"/>
    </w:pPr>
    <w:rPr>
      <w:rFonts w:ascii="Calibri" w:eastAsia="Times New Roman" w:hAnsi="Calibri"/>
      <w:sz w:val="16"/>
      <w:szCs w:val="22"/>
      <w:lang w:val="en-US" w:eastAsia="ja-JP"/>
    </w:rPr>
  </w:style>
  <w:style w:type="paragraph" w:styleId="Revision">
    <w:name w:val="Revision"/>
    <w:hidden/>
    <w:uiPriority w:val="99"/>
    <w:semiHidden/>
    <w:rsid w:val="00822EBA"/>
    <w:pPr>
      <w:spacing w:after="0" w:line="240" w:lineRule="auto"/>
    </w:pPr>
    <w:rPr>
      <w:rFonts w:eastAsia="Times New Roman"/>
      <w:szCs w:val="20"/>
      <w:lang w:eastAsia="en-AU"/>
    </w:rPr>
  </w:style>
  <w:style w:type="paragraph" w:customStyle="1" w:styleId="Tabletext">
    <w:name w:val="Table text"/>
    <w:basedOn w:val="Normal"/>
    <w:link w:val="TabletextChar"/>
    <w:qFormat/>
    <w:rsid w:val="00761E01"/>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761E01"/>
    <w:rPr>
      <w:rFonts w:ascii="Arial Narrow" w:eastAsia="Times New Roman" w:hAnsi="Arial Narrow"/>
      <w:sz w:val="20"/>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F93745"/>
    <w:rPr>
      <w:rFonts w:ascii="Arial Narrow" w:eastAsia="Times New Roman" w:hAnsi="Arial Narrow"/>
      <w:b/>
      <w:iCs/>
      <w:sz w:val="20"/>
      <w:szCs w:val="18"/>
      <w:lang w:eastAsia="ja-JP"/>
    </w:rPr>
  </w:style>
  <w:style w:type="table" w:customStyle="1" w:styleId="TableGrid2">
    <w:name w:val="Table Grid2"/>
    <w:basedOn w:val="TableNormal"/>
    <w:next w:val="TableGrid"/>
    <w:rsid w:val="00761E01"/>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ListParagraphChar">
    <w:name w:val="List Paragraph Char"/>
    <w:aliases w:val="Styl moj Char,Akapit z listą1 Char,Akapit z listą11 Char,#List Paragraph Char,Recommendation Char,List Paragraph1 Char,List Paragraph11 Char,L Char,Bullet Level 1 Char,Bullet Point Char,Bullet point Char,Bulletr List Paragraph Char"/>
    <w:link w:val="ListParagraph"/>
    <w:uiPriority w:val="34"/>
    <w:qFormat/>
    <w:rsid w:val="00761E01"/>
    <w:rPr>
      <w:rFonts w:eastAsia="Times New Roman"/>
      <w:szCs w:val="20"/>
      <w:lang w:eastAsia="en-AU"/>
    </w:rPr>
  </w:style>
  <w:style w:type="table" w:customStyle="1" w:styleId="TableGrid1">
    <w:name w:val="Table Grid1"/>
    <w:basedOn w:val="TableNormal"/>
    <w:next w:val="TableGrid"/>
    <w:rsid w:val="00761E01"/>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paragraph" w:customStyle="1" w:styleId="07Tablebullet">
    <w:name w:val="07. Table bullet"/>
    <w:qFormat/>
    <w:rsid w:val="00761E01"/>
    <w:pPr>
      <w:numPr>
        <w:numId w:val="6"/>
      </w:numPr>
      <w:spacing w:before="40" w:after="40"/>
    </w:pPr>
    <w:rPr>
      <w:rFonts w:ascii="Calibri" w:eastAsia="Times New Roman" w:hAnsi="Calibri"/>
      <w:sz w:val="18"/>
      <w:szCs w:val="22"/>
      <w:lang w:val="en-US" w:eastAsia="ja-JP"/>
    </w:rPr>
  </w:style>
  <w:style w:type="character" w:customStyle="1" w:styleId="Heading6Char">
    <w:name w:val="Heading 6 Char"/>
    <w:basedOn w:val="DefaultParagraphFont"/>
    <w:link w:val="Heading6"/>
    <w:uiPriority w:val="9"/>
    <w:rsid w:val="00A806A8"/>
    <w:rPr>
      <w:rFonts w:asciiTheme="majorHAnsi" w:eastAsiaTheme="majorEastAsia" w:hAnsiTheme="majorHAnsi" w:cstheme="majorBidi"/>
      <w:color w:val="1F4D78" w:themeColor="accent1" w:themeShade="7F"/>
      <w:szCs w:val="20"/>
      <w:lang w:eastAsia="en-AU"/>
    </w:rPr>
  </w:style>
  <w:style w:type="paragraph" w:styleId="NormalWeb">
    <w:name w:val="Normal (Web)"/>
    <w:basedOn w:val="Normal"/>
    <w:uiPriority w:val="99"/>
    <w:rsid w:val="00900296"/>
    <w:pPr>
      <w:spacing w:before="100" w:beforeAutospacing="1" w:after="100" w:afterAutospacing="1"/>
    </w:pPr>
    <w:rPr>
      <w:color w:val="000000"/>
      <w:szCs w:val="24"/>
      <w:lang w:val="en-US" w:eastAsia="en-US"/>
    </w:rPr>
  </w:style>
  <w:style w:type="character" w:styleId="FollowedHyperlink">
    <w:name w:val="FollowedHyperlink"/>
    <w:basedOn w:val="DefaultParagraphFont"/>
    <w:uiPriority w:val="99"/>
    <w:semiHidden/>
    <w:unhideWhenUsed/>
    <w:rsid w:val="008F0061"/>
    <w:rPr>
      <w:color w:val="954F72" w:themeColor="followedHyperlink"/>
      <w:u w:val="single"/>
    </w:rPr>
  </w:style>
  <w:style w:type="character" w:customStyle="1" w:styleId="Heading3Char">
    <w:name w:val="Heading 3 Char"/>
    <w:basedOn w:val="DefaultParagraphFont"/>
    <w:link w:val="Heading3"/>
    <w:uiPriority w:val="9"/>
    <w:rsid w:val="0025574C"/>
    <w:rPr>
      <w:rFonts w:eastAsiaTheme="majorEastAsia" w:cstheme="majorBidi"/>
      <w:u w:val="single"/>
      <w:lang w:eastAsia="en-AU"/>
    </w:rPr>
  </w:style>
  <w:style w:type="paragraph" w:styleId="Header">
    <w:name w:val="header"/>
    <w:basedOn w:val="Normal"/>
    <w:link w:val="HeaderChar"/>
    <w:uiPriority w:val="99"/>
    <w:unhideWhenUsed/>
    <w:rsid w:val="000A3AAB"/>
    <w:pPr>
      <w:tabs>
        <w:tab w:val="center" w:pos="4513"/>
        <w:tab w:val="right" w:pos="9026"/>
      </w:tabs>
    </w:pPr>
  </w:style>
  <w:style w:type="character" w:customStyle="1" w:styleId="HeaderChar">
    <w:name w:val="Header Char"/>
    <w:basedOn w:val="DefaultParagraphFont"/>
    <w:link w:val="Header"/>
    <w:uiPriority w:val="99"/>
    <w:rsid w:val="000A3AAB"/>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6157">
      <w:bodyDiv w:val="1"/>
      <w:marLeft w:val="0"/>
      <w:marRight w:val="0"/>
      <w:marTop w:val="0"/>
      <w:marBottom w:val="0"/>
      <w:divBdr>
        <w:top w:val="none" w:sz="0" w:space="0" w:color="auto"/>
        <w:left w:val="none" w:sz="0" w:space="0" w:color="auto"/>
        <w:bottom w:val="none" w:sz="0" w:space="0" w:color="auto"/>
        <w:right w:val="none" w:sz="0" w:space="0" w:color="auto"/>
      </w:divBdr>
      <w:divsChild>
        <w:div w:id="68385310">
          <w:marLeft w:val="0"/>
          <w:marRight w:val="0"/>
          <w:marTop w:val="0"/>
          <w:marBottom w:val="0"/>
          <w:divBdr>
            <w:top w:val="none" w:sz="0" w:space="0" w:color="auto"/>
            <w:left w:val="none" w:sz="0" w:space="0" w:color="auto"/>
            <w:bottom w:val="none" w:sz="0" w:space="0" w:color="auto"/>
            <w:right w:val="none" w:sz="0" w:space="0" w:color="auto"/>
          </w:divBdr>
          <w:divsChild>
            <w:div w:id="78019126">
              <w:marLeft w:val="0"/>
              <w:marRight w:val="0"/>
              <w:marTop w:val="0"/>
              <w:marBottom w:val="0"/>
              <w:divBdr>
                <w:top w:val="none" w:sz="0" w:space="0" w:color="auto"/>
                <w:left w:val="none" w:sz="0" w:space="0" w:color="auto"/>
                <w:bottom w:val="none" w:sz="0" w:space="0" w:color="auto"/>
                <w:right w:val="none" w:sz="0" w:space="0" w:color="auto"/>
              </w:divBdr>
              <w:divsChild>
                <w:div w:id="872159217">
                  <w:marLeft w:val="0"/>
                  <w:marRight w:val="0"/>
                  <w:marTop w:val="0"/>
                  <w:marBottom w:val="0"/>
                  <w:divBdr>
                    <w:top w:val="none" w:sz="0" w:space="0" w:color="auto"/>
                    <w:left w:val="none" w:sz="0" w:space="0" w:color="auto"/>
                    <w:bottom w:val="none" w:sz="0" w:space="0" w:color="auto"/>
                    <w:right w:val="none" w:sz="0" w:space="0" w:color="auto"/>
                  </w:divBdr>
                  <w:divsChild>
                    <w:div w:id="1587032532">
                      <w:marLeft w:val="0"/>
                      <w:marRight w:val="0"/>
                      <w:marTop w:val="0"/>
                      <w:marBottom w:val="0"/>
                      <w:divBdr>
                        <w:top w:val="none" w:sz="0" w:space="0" w:color="auto"/>
                        <w:left w:val="none" w:sz="0" w:space="0" w:color="auto"/>
                        <w:bottom w:val="none" w:sz="0" w:space="0" w:color="auto"/>
                        <w:right w:val="none" w:sz="0" w:space="0" w:color="auto"/>
                      </w:divBdr>
                      <w:divsChild>
                        <w:div w:id="1282760540">
                          <w:marLeft w:val="0"/>
                          <w:marRight w:val="0"/>
                          <w:marTop w:val="0"/>
                          <w:marBottom w:val="0"/>
                          <w:divBdr>
                            <w:top w:val="none" w:sz="0" w:space="0" w:color="auto"/>
                            <w:left w:val="none" w:sz="0" w:space="0" w:color="auto"/>
                            <w:bottom w:val="none" w:sz="0" w:space="0" w:color="auto"/>
                            <w:right w:val="none" w:sz="0" w:space="0" w:color="auto"/>
                          </w:divBdr>
                          <w:divsChild>
                            <w:div w:id="1924222793">
                              <w:marLeft w:val="0"/>
                              <w:marRight w:val="0"/>
                              <w:marTop w:val="0"/>
                              <w:marBottom w:val="0"/>
                              <w:divBdr>
                                <w:top w:val="none" w:sz="0" w:space="0" w:color="auto"/>
                                <w:left w:val="none" w:sz="0" w:space="0" w:color="auto"/>
                                <w:bottom w:val="none" w:sz="0" w:space="0" w:color="auto"/>
                                <w:right w:val="none" w:sz="0" w:space="0" w:color="auto"/>
                              </w:divBdr>
                              <w:divsChild>
                                <w:div w:id="1328285573">
                                  <w:marLeft w:val="0"/>
                                  <w:marRight w:val="0"/>
                                  <w:marTop w:val="0"/>
                                  <w:marBottom w:val="0"/>
                                  <w:divBdr>
                                    <w:top w:val="none" w:sz="0" w:space="0" w:color="auto"/>
                                    <w:left w:val="none" w:sz="0" w:space="0" w:color="auto"/>
                                    <w:bottom w:val="none" w:sz="0" w:space="0" w:color="auto"/>
                                    <w:right w:val="none" w:sz="0" w:space="0" w:color="auto"/>
                                  </w:divBdr>
                                  <w:divsChild>
                                    <w:div w:id="1028064355">
                                      <w:marLeft w:val="0"/>
                                      <w:marRight w:val="0"/>
                                      <w:marTop w:val="0"/>
                                      <w:marBottom w:val="0"/>
                                      <w:divBdr>
                                        <w:top w:val="none" w:sz="0" w:space="0" w:color="auto"/>
                                        <w:left w:val="none" w:sz="0" w:space="0" w:color="auto"/>
                                        <w:bottom w:val="none" w:sz="0" w:space="0" w:color="auto"/>
                                        <w:right w:val="none" w:sz="0" w:space="0" w:color="auto"/>
                                      </w:divBdr>
                                      <w:divsChild>
                                        <w:div w:id="10449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861288">
      <w:bodyDiv w:val="1"/>
      <w:marLeft w:val="0"/>
      <w:marRight w:val="0"/>
      <w:marTop w:val="0"/>
      <w:marBottom w:val="0"/>
      <w:divBdr>
        <w:top w:val="none" w:sz="0" w:space="0" w:color="auto"/>
        <w:left w:val="none" w:sz="0" w:space="0" w:color="auto"/>
        <w:bottom w:val="none" w:sz="0" w:space="0" w:color="auto"/>
        <w:right w:val="none" w:sz="0" w:space="0" w:color="auto"/>
      </w:divBdr>
      <w:divsChild>
        <w:div w:id="2135564224">
          <w:marLeft w:val="0"/>
          <w:marRight w:val="0"/>
          <w:marTop w:val="0"/>
          <w:marBottom w:val="0"/>
          <w:divBdr>
            <w:top w:val="none" w:sz="0" w:space="0" w:color="auto"/>
            <w:left w:val="none" w:sz="0" w:space="0" w:color="auto"/>
            <w:bottom w:val="none" w:sz="0" w:space="0" w:color="auto"/>
            <w:right w:val="none" w:sz="0" w:space="0" w:color="auto"/>
          </w:divBdr>
          <w:divsChild>
            <w:div w:id="1868719381">
              <w:marLeft w:val="0"/>
              <w:marRight w:val="0"/>
              <w:marTop w:val="0"/>
              <w:marBottom w:val="0"/>
              <w:divBdr>
                <w:top w:val="none" w:sz="0" w:space="0" w:color="auto"/>
                <w:left w:val="none" w:sz="0" w:space="0" w:color="auto"/>
                <w:bottom w:val="none" w:sz="0" w:space="0" w:color="auto"/>
                <w:right w:val="none" w:sz="0" w:space="0" w:color="auto"/>
              </w:divBdr>
              <w:divsChild>
                <w:div w:id="1151480231">
                  <w:marLeft w:val="0"/>
                  <w:marRight w:val="0"/>
                  <w:marTop w:val="0"/>
                  <w:marBottom w:val="0"/>
                  <w:divBdr>
                    <w:top w:val="none" w:sz="0" w:space="0" w:color="auto"/>
                    <w:left w:val="none" w:sz="0" w:space="0" w:color="auto"/>
                    <w:bottom w:val="none" w:sz="0" w:space="0" w:color="auto"/>
                    <w:right w:val="none" w:sz="0" w:space="0" w:color="auto"/>
                  </w:divBdr>
                  <w:divsChild>
                    <w:div w:id="1583297174">
                      <w:marLeft w:val="0"/>
                      <w:marRight w:val="0"/>
                      <w:marTop w:val="0"/>
                      <w:marBottom w:val="0"/>
                      <w:divBdr>
                        <w:top w:val="none" w:sz="0" w:space="0" w:color="auto"/>
                        <w:left w:val="none" w:sz="0" w:space="0" w:color="auto"/>
                        <w:bottom w:val="none" w:sz="0" w:space="0" w:color="auto"/>
                        <w:right w:val="none" w:sz="0" w:space="0" w:color="auto"/>
                      </w:divBdr>
                      <w:divsChild>
                        <w:div w:id="1944485566">
                          <w:marLeft w:val="0"/>
                          <w:marRight w:val="0"/>
                          <w:marTop w:val="0"/>
                          <w:marBottom w:val="0"/>
                          <w:divBdr>
                            <w:top w:val="none" w:sz="0" w:space="0" w:color="auto"/>
                            <w:left w:val="none" w:sz="0" w:space="0" w:color="auto"/>
                            <w:bottom w:val="none" w:sz="0" w:space="0" w:color="auto"/>
                            <w:right w:val="none" w:sz="0" w:space="0" w:color="auto"/>
                          </w:divBdr>
                          <w:divsChild>
                            <w:div w:id="681932544">
                              <w:marLeft w:val="0"/>
                              <w:marRight w:val="0"/>
                              <w:marTop w:val="0"/>
                              <w:marBottom w:val="0"/>
                              <w:divBdr>
                                <w:top w:val="none" w:sz="0" w:space="0" w:color="auto"/>
                                <w:left w:val="none" w:sz="0" w:space="0" w:color="auto"/>
                                <w:bottom w:val="none" w:sz="0" w:space="0" w:color="auto"/>
                                <w:right w:val="none" w:sz="0" w:space="0" w:color="auto"/>
                              </w:divBdr>
                              <w:divsChild>
                                <w:div w:id="632830587">
                                  <w:marLeft w:val="0"/>
                                  <w:marRight w:val="0"/>
                                  <w:marTop w:val="0"/>
                                  <w:marBottom w:val="0"/>
                                  <w:divBdr>
                                    <w:top w:val="none" w:sz="0" w:space="0" w:color="auto"/>
                                    <w:left w:val="none" w:sz="0" w:space="0" w:color="auto"/>
                                    <w:bottom w:val="none" w:sz="0" w:space="0" w:color="auto"/>
                                    <w:right w:val="none" w:sz="0" w:space="0" w:color="auto"/>
                                  </w:divBdr>
                                  <w:divsChild>
                                    <w:div w:id="1807893179">
                                      <w:marLeft w:val="0"/>
                                      <w:marRight w:val="0"/>
                                      <w:marTop w:val="0"/>
                                      <w:marBottom w:val="0"/>
                                      <w:divBdr>
                                        <w:top w:val="none" w:sz="0" w:space="0" w:color="auto"/>
                                        <w:left w:val="none" w:sz="0" w:space="0" w:color="auto"/>
                                        <w:bottom w:val="none" w:sz="0" w:space="0" w:color="auto"/>
                                        <w:right w:val="none" w:sz="0" w:space="0" w:color="auto"/>
                                      </w:divBdr>
                                      <w:divsChild>
                                        <w:div w:id="1928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81976">
      <w:bodyDiv w:val="1"/>
      <w:marLeft w:val="0"/>
      <w:marRight w:val="0"/>
      <w:marTop w:val="0"/>
      <w:marBottom w:val="0"/>
      <w:divBdr>
        <w:top w:val="none" w:sz="0" w:space="0" w:color="auto"/>
        <w:left w:val="none" w:sz="0" w:space="0" w:color="auto"/>
        <w:bottom w:val="none" w:sz="0" w:space="0" w:color="auto"/>
        <w:right w:val="none" w:sz="0" w:space="0" w:color="auto"/>
      </w:divBdr>
    </w:div>
    <w:div w:id="1044909929">
      <w:bodyDiv w:val="1"/>
      <w:marLeft w:val="0"/>
      <w:marRight w:val="0"/>
      <w:marTop w:val="0"/>
      <w:marBottom w:val="0"/>
      <w:divBdr>
        <w:top w:val="none" w:sz="0" w:space="0" w:color="auto"/>
        <w:left w:val="none" w:sz="0" w:space="0" w:color="auto"/>
        <w:bottom w:val="none" w:sz="0" w:space="0" w:color="auto"/>
        <w:right w:val="none" w:sz="0" w:space="0" w:color="auto"/>
      </w:divBdr>
      <w:divsChild>
        <w:div w:id="859390645">
          <w:marLeft w:val="0"/>
          <w:marRight w:val="0"/>
          <w:marTop w:val="0"/>
          <w:marBottom w:val="0"/>
          <w:divBdr>
            <w:top w:val="none" w:sz="0" w:space="0" w:color="auto"/>
            <w:left w:val="none" w:sz="0" w:space="0" w:color="auto"/>
            <w:bottom w:val="none" w:sz="0" w:space="0" w:color="auto"/>
            <w:right w:val="none" w:sz="0" w:space="0" w:color="auto"/>
          </w:divBdr>
          <w:divsChild>
            <w:div w:id="2043895319">
              <w:marLeft w:val="0"/>
              <w:marRight w:val="0"/>
              <w:marTop w:val="0"/>
              <w:marBottom w:val="0"/>
              <w:divBdr>
                <w:top w:val="none" w:sz="0" w:space="0" w:color="auto"/>
                <w:left w:val="none" w:sz="0" w:space="0" w:color="auto"/>
                <w:bottom w:val="none" w:sz="0" w:space="0" w:color="auto"/>
                <w:right w:val="none" w:sz="0" w:space="0" w:color="auto"/>
              </w:divBdr>
              <w:divsChild>
                <w:div w:id="966350580">
                  <w:marLeft w:val="0"/>
                  <w:marRight w:val="0"/>
                  <w:marTop w:val="0"/>
                  <w:marBottom w:val="0"/>
                  <w:divBdr>
                    <w:top w:val="none" w:sz="0" w:space="0" w:color="auto"/>
                    <w:left w:val="none" w:sz="0" w:space="0" w:color="auto"/>
                    <w:bottom w:val="none" w:sz="0" w:space="0" w:color="auto"/>
                    <w:right w:val="none" w:sz="0" w:space="0" w:color="auto"/>
                  </w:divBdr>
                  <w:divsChild>
                    <w:div w:id="1298099109">
                      <w:marLeft w:val="0"/>
                      <w:marRight w:val="0"/>
                      <w:marTop w:val="0"/>
                      <w:marBottom w:val="0"/>
                      <w:divBdr>
                        <w:top w:val="none" w:sz="0" w:space="0" w:color="auto"/>
                        <w:left w:val="none" w:sz="0" w:space="0" w:color="auto"/>
                        <w:bottom w:val="none" w:sz="0" w:space="0" w:color="auto"/>
                        <w:right w:val="none" w:sz="0" w:space="0" w:color="auto"/>
                      </w:divBdr>
                      <w:divsChild>
                        <w:div w:id="2067027496">
                          <w:marLeft w:val="0"/>
                          <w:marRight w:val="0"/>
                          <w:marTop w:val="0"/>
                          <w:marBottom w:val="0"/>
                          <w:divBdr>
                            <w:top w:val="none" w:sz="0" w:space="0" w:color="auto"/>
                            <w:left w:val="none" w:sz="0" w:space="0" w:color="auto"/>
                            <w:bottom w:val="none" w:sz="0" w:space="0" w:color="auto"/>
                            <w:right w:val="none" w:sz="0" w:space="0" w:color="auto"/>
                          </w:divBdr>
                          <w:divsChild>
                            <w:div w:id="1944995304">
                              <w:marLeft w:val="0"/>
                              <w:marRight w:val="0"/>
                              <w:marTop w:val="0"/>
                              <w:marBottom w:val="0"/>
                              <w:divBdr>
                                <w:top w:val="none" w:sz="0" w:space="0" w:color="auto"/>
                                <w:left w:val="none" w:sz="0" w:space="0" w:color="auto"/>
                                <w:bottom w:val="none" w:sz="0" w:space="0" w:color="auto"/>
                                <w:right w:val="none" w:sz="0" w:space="0" w:color="auto"/>
                              </w:divBdr>
                              <w:divsChild>
                                <w:div w:id="2071266564">
                                  <w:marLeft w:val="0"/>
                                  <w:marRight w:val="0"/>
                                  <w:marTop w:val="0"/>
                                  <w:marBottom w:val="0"/>
                                  <w:divBdr>
                                    <w:top w:val="none" w:sz="0" w:space="0" w:color="auto"/>
                                    <w:left w:val="none" w:sz="0" w:space="0" w:color="auto"/>
                                    <w:bottom w:val="none" w:sz="0" w:space="0" w:color="auto"/>
                                    <w:right w:val="none" w:sz="0" w:space="0" w:color="auto"/>
                                  </w:divBdr>
                                  <w:divsChild>
                                    <w:div w:id="1666321145">
                                      <w:marLeft w:val="0"/>
                                      <w:marRight w:val="0"/>
                                      <w:marTop w:val="0"/>
                                      <w:marBottom w:val="0"/>
                                      <w:divBdr>
                                        <w:top w:val="none" w:sz="0" w:space="0" w:color="auto"/>
                                        <w:left w:val="none" w:sz="0" w:space="0" w:color="auto"/>
                                        <w:bottom w:val="none" w:sz="0" w:space="0" w:color="auto"/>
                                        <w:right w:val="none" w:sz="0" w:space="0" w:color="auto"/>
                                      </w:divBdr>
                                      <w:divsChild>
                                        <w:div w:id="14502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health-privatehealth-prostheseslis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ga.gov.au/australian-register-therapeutic-goo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255A-EBF4-42A5-B7C6-BD9C1E1D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6639</Words>
  <Characters>37844</Characters>
  <Application>Microsoft Office Word</Application>
  <DocSecurity>0</DocSecurity>
  <Lines>315</Lines>
  <Paragraphs>88</Paragraphs>
  <ScaleCrop>false</ScaleCrop>
  <Company/>
  <LinksUpToDate>false</LinksUpToDate>
  <CharactersWithSpaces>44395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1626 Final PSD_redacted</dc:title>
  <dc:subject/>
  <dc:creator/>
  <cp:keywords/>
  <dc:description/>
  <cp:lastModifiedBy/>
  <cp:revision>1</cp:revision>
  <dcterms:created xsi:type="dcterms:W3CDTF">2020-03-17T21:57:00Z</dcterms:created>
  <dcterms:modified xsi:type="dcterms:W3CDTF">2020-03-17T21:58:00Z</dcterms:modified>
</cp:coreProperties>
</file>